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60" w:before="0"/>
        <w:jc w:val="center"/>
      </w:pPr>
      <w:r>
        <w:rPr>
          <w:rFonts w:ascii="Calibri" w:cs="Calibri" w:eastAsia="Calibri" w:hAnsi="Calibri"/>
          <w:b/>
          <w:bCs/>
          <w:color w:val="2563EB"/>
          <w:sz w:val="26"/>
          <w:szCs w:val="26"/>
        </w:rPr>
        <w:t xml:space="preserve">BUSINESS REQUIREMENTS DOCUMENT</w:t>
      </w:r>
    </w:p>
    <w:p>
      <w:pPr>
        <w:spacing w:after="120" w:before="160"/>
        <w:jc w:val="center"/>
      </w:pPr>
      <w:r>
        <w:rPr>
          <w:rFonts w:ascii="Calibri" w:cs="Calibri" w:eastAsia="Calibri" w:hAnsi="Calibri"/>
          <w:b/>
          <w:bCs/>
          <w:color w:val="1E3A8A"/>
          <w:sz w:val="60"/>
          <w:szCs w:val="60"/>
        </w:rPr>
        <w:t xml:space="preserve">Model Monitoring Platform</w:t>
      </w:r>
    </w:p>
    <w:p>
      <w:pPr>
        <w:spacing w:after="480" w:before="120"/>
        <w:jc w:val="center"/>
      </w:pPr>
      <w:r>
        <w:rPr>
          <w:rFonts w:ascii="Calibri" w:cs="Calibri" w:eastAsia="Calibri" w:hAnsi="Calibri"/>
          <w:i/>
          <w:iCs/>
          <w:color w:val="64748B"/>
          <w:sz w:val="26"/>
          <w:szCs w:val="26"/>
        </w:rPr>
        <w:t xml:space="preserve">Enterprise-Grade Agentic Model Monitoring Solution</w:t>
      </w:r>
    </w:p>
    <w:p>
      <w:pPr>
        <w:pBdr>
          <w:top w:val="single" w:color="2563EB" w:sz="12" w:space="8"/>
        </w:pBdr>
        <w:spacing w:after="160" w:before="600"/>
        <w:jc w:val="center"/>
      </w:pPr>
      <w:r>
        <w:rPr>
          <w:rFonts w:ascii="Calibri" w:cs="Calibri" w:eastAsia="Calibri" w:hAnsi="Calibri"/>
          <w:b/>
          <w:bCs/>
          <w:color w:val="1E3A8A"/>
          <w:sz w:val="36"/>
          <w:szCs w:val="36"/>
        </w:rPr>
        <w:t xml:space="preserve">Foundational BRD — Platform Overview</w:t>
      </w:r>
    </w:p>
    <w:p>
      <w:pPr>
        <w:spacing w:after="600" w:before="120"/>
        <w:jc w:val="center"/>
      </w:pPr>
      <w:r>
        <w:rPr>
          <w:rFonts w:ascii="Calibri" w:cs="Calibri" w:eastAsia="Calibri" w:hAnsi="Calibri"/>
          <w:color w:val="64748B"/>
          <w:sz w:val="22"/>
          <w:szCs w:val="22"/>
        </w:rPr>
        <w:t xml:space="preserve">Executive Summary  •  Purpose &amp; Scope  •  Applicable Agents  •  User Personas &amp; Roles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Document Title</w:t>
            </w:r>
          </w:p>
        </w:tc>
        <w:tc>
          <w:tcPr>
            <w:tcW w:type="dxa" w:w="4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Foundational BRD — Model Monitoring Platform: Platform Overview</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Version</w:t>
            </w:r>
          </w:p>
        </w:tc>
        <w:tc>
          <w:tcPr>
            <w:tcW w:type="dxa" w:w="4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1.0</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Status</w:t>
            </w:r>
          </w:p>
        </w:tc>
        <w:tc>
          <w:tcPr>
            <w:tcW w:type="dxa" w:w="4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Draft for Review</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Date</w:t>
            </w:r>
          </w:p>
        </w:tc>
        <w:tc>
          <w:tcPr>
            <w:tcW w:type="dxa" w:w="4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May 2026</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Coverage</w:t>
            </w:r>
          </w:p>
        </w:tc>
        <w:tc>
          <w:tcPr>
            <w:tcW w:type="dxa" w:w="4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Executive Summary, Purpose &amp; Scope, Applicable Agents, User Personas &amp; Roles</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Document Owner</w:t>
            </w:r>
          </w:p>
        </w:tc>
        <w:tc>
          <w:tcPr>
            <w:tcW w:type="dxa" w:w="4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Product / Business Analyst</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Distribution</w:t>
            </w:r>
          </w:p>
        </w:tc>
        <w:tc>
          <w:tcPr>
            <w:tcW w:type="dxa" w:w="4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Development Team, Architects, Security, QA, Governance</w:t>
            </w:r>
          </w:p>
        </w:tc>
      </w:tr>
    </w:tbl>
    <w:p>
      <w:r>
        <w:br w:type="page"/>
      </w:r>
    </w:p>
    <w:p>
      <w:pPr>
        <w:pStyle w:val="Heading1"/>
        <w:spacing w:after="200" w:before="400"/>
      </w:pPr>
      <w:r>
        <w:rPr>
          <w:rFonts w:ascii="Calibri" w:cs="Calibri" w:eastAsia="Calibri" w:hAnsi="Calibri"/>
          <w:b/>
          <w:bCs/>
          <w:color w:val="1E3A8A"/>
          <w:sz w:val="34"/>
          <w:szCs w:val="34"/>
        </w:rPr>
        <w:t xml:space="preserve">Document Control</w:t>
      </w:r>
    </w:p>
    <w:p>
      <w:pPr>
        <w:pStyle w:val="Heading3"/>
        <w:spacing w:after="120" w:before="220"/>
      </w:pPr>
      <w:r>
        <w:rPr>
          <w:rFonts w:ascii="Calibri" w:cs="Calibri" w:eastAsia="Calibri" w:hAnsi="Calibri"/>
          <w:b/>
          <w:bCs/>
          <w:color w:val="2563EB"/>
          <w:sz w:val="23"/>
          <w:szCs w:val="23"/>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4760"/>
      </w:tblGrid>
      <w:tr>
        <w:trPr>
          <w:tblHeader/>
        </w:trPr>
        <w:tc>
          <w:tcPr>
            <w:tcW w:type="dxa" w:w="11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Version</w:t>
            </w:r>
          </w:p>
        </w:tc>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Date</w:t>
            </w:r>
          </w:p>
        </w:tc>
        <w:tc>
          <w:tcPr>
            <w:tcW w:type="dxa" w:w="2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Author</w:t>
            </w:r>
          </w:p>
        </w:tc>
        <w:tc>
          <w:tcPr>
            <w:tcW w:type="dxa" w:w="47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Description of Change</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0.1</w:t>
            </w:r>
          </w:p>
        </w:tc>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May 2026</w:t>
            </w:r>
          </w:p>
        </w:tc>
        <w:tc>
          <w:tcPr>
            <w:tcW w:type="dxa" w:w="2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BA / Product</w:t>
            </w:r>
          </w:p>
        </w:tc>
        <w:tc>
          <w:tcPr>
            <w:tcW w:type="dxa" w:w="47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Initial foundational draft — Executive Summary, Scope, Agents, Personas</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1.0</w:t>
            </w:r>
          </w:p>
        </w:tc>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May 2026</w:t>
            </w:r>
          </w:p>
        </w:tc>
        <w:tc>
          <w:tcPr>
            <w:tcW w:type="dxa" w:w="2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BA / Product</w:t>
            </w:r>
          </w:p>
        </w:tc>
        <w:tc>
          <w:tcPr>
            <w:tcW w:type="dxa" w:w="47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Stakeholder inputs incorporated; retention policy, agent model, raise-request flows confirmed</w:t>
            </w:r>
          </w:p>
        </w:tc>
      </w:tr>
    </w:tbl>
    <w:p>
      <w:pPr>
        <w:spacing w:after="80" w:before="80"/>
      </w:pPr>
      <w:r>
        <w:t xml:space="preserve"/>
      </w:r>
    </w:p>
    <w:p>
      <w:pPr>
        <w:pStyle w:val="Heading3"/>
        <w:spacing w:after="120" w:before="220"/>
      </w:pPr>
      <w:r>
        <w:rPr>
          <w:rFonts w:ascii="Calibri" w:cs="Calibri" w:eastAsia="Calibri" w:hAnsi="Calibri"/>
          <w:b/>
          <w:bCs/>
          <w:color w:val="2563EB"/>
          <w:sz w:val="23"/>
          <w:szCs w:val="23"/>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Role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Name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Signature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Date</w:t>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Business Sponsor</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r>
      <w:tr>
        <w:tc>
          <w:tcPr>
            <w:tcW w:type="dxa" w:w="234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Product Owner</w:t>
            </w:r>
          </w:p>
        </w:tc>
        <w:tc>
          <w:tcPr>
            <w:tcW w:type="dxa" w:w="234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c>
          <w:tcPr>
            <w:tcW w:type="dxa" w:w="234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c>
          <w:tcPr>
            <w:tcW w:type="dxa" w:w="234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Tech Lead / Architect</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r>
      <w:tr>
        <w:tc>
          <w:tcPr>
            <w:tcW w:type="dxa" w:w="234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Security / Governance Lead</w:t>
            </w:r>
          </w:p>
        </w:tc>
        <w:tc>
          <w:tcPr>
            <w:tcW w:type="dxa" w:w="234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c>
          <w:tcPr>
            <w:tcW w:type="dxa" w:w="234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c>
          <w:tcPr>
            <w:tcW w:type="dxa" w:w="234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QA Lead</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 </w:t>
            </w:r>
          </w:p>
        </w:tc>
      </w:tr>
    </w:tbl>
    <w:p>
      <w:r>
        <w:br w:type="page"/>
      </w:r>
    </w:p>
    <w:p>
      <w:pPr>
        <w:pStyle w:val="Heading1"/>
        <w:spacing w:after="200" w:before="400"/>
      </w:pPr>
      <w:r>
        <w:rPr>
          <w:rFonts w:ascii="Calibri" w:cs="Calibri" w:eastAsia="Calibri" w:hAnsi="Calibri"/>
          <w:b/>
          <w:bCs/>
          <w:color w:val="1E3A8A"/>
          <w:sz w:val="34"/>
          <w:szCs w:val="34"/>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1.</w:t>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Executive Summary</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2.</w:t>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Purpose and Scope</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2.1  Purpose</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2.2  Scope of the BRD</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2.3  Out of Scope</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2.4  Data Retention Policy</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3.</w:t>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Applicable Agents</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3.1  Agent Architecture Overview</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3.2  Agent Definitions</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3.3  Cross-Cutting Agent Principles</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3.4  Agent Execution Modes</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3.5  Agent Failure &amp; Observability</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4.</w:t>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User Personas and Roles</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4.1  Admin</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4.2  User</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4.3  Viewer (External / Read-Only)</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4.4  Multi-Role Users</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1E3A8A"/>
                <w:sz w:val="22"/>
                <w:szCs w:val="22"/>
              </w:rPr>
              <w:t xml:space="preserve"/>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val="false"/>
                <w:bCs w:val="false"/>
                <w:color w:val="475569"/>
                <w:sz w:val="22"/>
                <w:szCs w:val="22"/>
              </w:rPr>
              <w:t xml:space="preserve">    4.5  Role Privilege Hierarchy</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5.</w:t>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Open Items and Parked Gaps</w:t>
            </w:r>
          </w:p>
        </w:tc>
      </w:tr>
      <w:t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6.</w:t>
            </w:r>
          </w:p>
        </w:tc>
        <w:tc>
          <w:tcPr>
            <w:tcW w:type="dxa" w:w="846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Calibri" w:cs="Calibri" w:eastAsia="Calibri" w:hAnsi="Calibri"/>
                <w:b/>
                <w:bCs/>
                <w:color w:val="1E3A8A"/>
                <w:sz w:val="22"/>
                <w:szCs w:val="22"/>
              </w:rPr>
              <w:t xml:space="preserve">Glossary</w:t>
            </w:r>
          </w:p>
        </w:tc>
      </w:tr>
    </w:tbl>
    <w:p>
      <w:r>
        <w:br w:type="page"/>
      </w:r>
    </w:p>
    <w:p>
      <w:pPr>
        <w:pStyle w:val="Heading1"/>
        <w:spacing w:after="200" w:before="400"/>
      </w:pPr>
      <w:r>
        <w:rPr>
          <w:rFonts w:ascii="Calibri" w:cs="Calibri" w:eastAsia="Calibri" w:hAnsi="Calibri"/>
          <w:b/>
          <w:bCs/>
          <w:color w:val="1E3A8A"/>
          <w:sz w:val="34"/>
          <w:szCs w:val="34"/>
        </w:rPr>
        <w:t xml:space="preserve">1. Executive Summary</w:t>
      </w:r>
    </w:p>
    <w:p>
      <w:pPr>
        <w:spacing w:after="100" w:before="80" w:line="300"/>
        <w:jc w:val="both"/>
      </w:pPr>
      <w:r>
        <w:rPr>
          <w:rFonts w:ascii="Calibri" w:cs="Calibri" w:eastAsia="Calibri" w:hAnsi="Calibri"/>
          <w:sz w:val="22"/>
          <w:szCs w:val="22"/>
        </w:rPr>
        <w:t xml:space="preserve">The Model Monitoring Platform is an enterprise-grade, agentic model monitoring solution designed to provide end-to-end oversight of the organisation's machine learning and statistical model portfolio. The platform consolidates model monitoring, validation, drift detection, root-cause analysis, and governance into a single, governed, role-based application accessible to authorised internal users and stakeholders across the enterprise.</w:t>
      </w:r>
    </w:p>
    <w:p>
      <w:pPr>
        <w:spacing w:after="100" w:before="80" w:line="300"/>
        <w:jc w:val="both"/>
      </w:pPr>
      <w:r>
        <w:rPr>
          <w:rFonts w:ascii="Calibri" w:cs="Calibri" w:eastAsia="Calibri" w:hAnsi="Calibri"/>
          <w:sz w:val="22"/>
          <w:szCs w:val="22"/>
        </w:rPr>
        <w:t xml:space="preserve">The solution is built on an agentic architecture — a set of specialised AI agents that autonomously perform tasks such as data ingestion, data insight generation, drift detection (model, performance, and bias), root-cause analysis, and report generation. This architecture allows the platform to operate at scale, reduce manual intervention by model owners and governance teams, and provide near-real-time visibility into model health across the entire portfolio.</w:t>
      </w:r>
    </w:p>
    <w:p>
      <w:pPr>
        <w:spacing w:after="100" w:before="80" w:line="300"/>
        <w:jc w:val="both"/>
      </w:pPr>
      <w:r>
        <w:rPr>
          <w:rFonts w:ascii="Calibri" w:cs="Calibri" w:eastAsia="Calibri" w:hAnsi="Calibri"/>
          <w:sz w:val="22"/>
          <w:szCs w:val="22"/>
        </w:rPr>
        <w:t xml:space="preserve">This Business Requirements Document (BRD) defines the complete functional and non-functional requirements for the platform across all in-scope workflows. It is structured as a master foundational BRD (this document) followed by individual workflow BRDs — each covering a specific module. Together, these documents form the authoritative implementation guide for the development, architecture, security, and quality assurance teams.</w:t>
      </w:r>
    </w:p>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How This BRD Guides the Development Team</w:t>
      </w:r>
    </w:p>
    <w:p>
      <w:pPr>
        <w:spacing w:after="100" w:before="80" w:line="300"/>
        <w:jc w:val="both"/>
      </w:pPr>
      <w:r>
        <w:rPr>
          <w:rFonts w:ascii="Calibri" w:cs="Calibri" w:eastAsia="Calibri" w:hAnsi="Calibri"/>
          <w:sz w:val="22"/>
          <w:szCs w:val="22"/>
        </w:rPr>
        <w:t xml:space="preserve">The BRD suite — this foundational document plus the 15 workflow BRDs — serves the following purposes for the development team:</w:t>
      </w:r>
    </w:p>
    <w:p>
      <w:pPr>
        <w:pStyle w:val="ListParagraph"/>
        <w:numPr>
          <w:ilvl w:val="0"/>
          <w:numId w:val="2"/>
        </w:numPr>
        <w:spacing w:after="50" w:before="50" w:line="280"/>
      </w:pPr>
      <w:r>
        <w:rPr>
          <w:rFonts w:ascii="Calibri" w:cs="Calibri" w:eastAsia="Calibri" w:hAnsi="Calibri"/>
          <w:b/>
          <w:bCs/>
          <w:sz w:val="22"/>
          <w:szCs w:val="22"/>
        </w:rPr>
        <w:t xml:space="preserve">Single source of truth — </w:t>
      </w:r>
      <w:r>
        <w:rPr>
          <w:rFonts w:ascii="Calibri" w:cs="Calibri" w:eastAsia="Calibri" w:hAnsi="Calibri"/>
          <w:sz w:val="22"/>
          <w:szCs w:val="22"/>
        </w:rPr>
        <w:t xml:space="preserve">establishes traceable, prioritised requirements with unique IDs (WF#-XXX-NNN) across all workflows so nothing is left to interpretation.</w:t>
      </w:r>
    </w:p>
    <w:p>
      <w:pPr>
        <w:pStyle w:val="ListParagraph"/>
        <w:numPr>
          <w:ilvl w:val="0"/>
          <w:numId w:val="2"/>
        </w:numPr>
        <w:spacing w:after="50" w:before="50" w:line="280"/>
      </w:pPr>
      <w:r>
        <w:rPr>
          <w:rFonts w:ascii="Calibri" w:cs="Calibri" w:eastAsia="Calibri" w:hAnsi="Calibri"/>
          <w:b/>
          <w:bCs/>
          <w:sz w:val="22"/>
          <w:szCs w:val="22"/>
        </w:rPr>
        <w:t xml:space="preserve">Workflow-by-workflow scope — </w:t>
      </w:r>
      <w:r>
        <w:rPr>
          <w:rFonts w:ascii="Calibri" w:cs="Calibri" w:eastAsia="Calibri" w:hAnsi="Calibri"/>
          <w:sz w:val="22"/>
          <w:szCs w:val="22"/>
        </w:rPr>
        <w:t xml:space="preserve">defines the platform's scope iteratively, enabling development to be planned, sequenced, and delivered in manageable increments without losing the overall picture.</w:t>
      </w:r>
    </w:p>
    <w:p>
      <w:pPr>
        <w:pStyle w:val="ListParagraph"/>
        <w:numPr>
          <w:ilvl w:val="0"/>
          <w:numId w:val="2"/>
        </w:numPr>
        <w:spacing w:after="50" w:before="50" w:line="280"/>
      </w:pPr>
      <w:r>
        <w:rPr>
          <w:rFonts w:ascii="Calibri" w:cs="Calibri" w:eastAsia="Calibri" w:hAnsi="Calibri"/>
          <w:b/>
          <w:bCs/>
          <w:sz w:val="22"/>
          <w:szCs w:val="22"/>
        </w:rPr>
        <w:t xml:space="preserve">Role-based access by design — </w:t>
      </w:r>
      <w:r>
        <w:rPr>
          <w:rFonts w:ascii="Calibri" w:cs="Calibri" w:eastAsia="Calibri" w:hAnsi="Calibri"/>
          <w:sz w:val="22"/>
          <w:szCs w:val="22"/>
        </w:rPr>
        <w:t xml:space="preserve">specifies RBAC expectations, tile structures, and module permissions per role so access control and audit logging are designed in from day one rather than retrofitted.</w:t>
      </w:r>
    </w:p>
    <w:p>
      <w:pPr>
        <w:pStyle w:val="ListParagraph"/>
        <w:numPr>
          <w:ilvl w:val="0"/>
          <w:numId w:val="2"/>
        </w:numPr>
        <w:spacing w:after="50" w:before="50" w:line="280"/>
      </w:pPr>
      <w:r>
        <w:rPr>
          <w:rFonts w:ascii="Calibri" w:cs="Calibri" w:eastAsia="Calibri" w:hAnsi="Calibri"/>
          <w:b/>
          <w:bCs/>
          <w:sz w:val="22"/>
          <w:szCs w:val="22"/>
        </w:rPr>
        <w:t xml:space="preserve">Agent responsibility mapping — </w:t>
      </w:r>
      <w:r>
        <w:rPr>
          <w:rFonts w:ascii="Calibri" w:cs="Calibri" w:eastAsia="Calibri" w:hAnsi="Calibri"/>
          <w:sz w:val="22"/>
          <w:szCs w:val="22"/>
        </w:rPr>
        <w:t xml:space="preserve">maps each functional monitoring capability to the appropriate agent so the data science, ML engineering, and platform teams have clear ownership boundaries.</w:t>
      </w:r>
    </w:p>
    <w:p>
      <w:pPr>
        <w:pStyle w:val="ListParagraph"/>
        <w:numPr>
          <w:ilvl w:val="0"/>
          <w:numId w:val="2"/>
        </w:numPr>
        <w:spacing w:after="50" w:before="50" w:line="280"/>
      </w:pPr>
      <w:r>
        <w:rPr>
          <w:rFonts w:ascii="Calibri" w:cs="Calibri" w:eastAsia="Calibri" w:hAnsi="Calibri"/>
          <w:b/>
          <w:bCs/>
          <w:sz w:val="22"/>
          <w:szCs w:val="22"/>
        </w:rPr>
        <w:t xml:space="preserve">Non-functional standards — </w:t>
      </w:r>
      <w:r>
        <w:rPr>
          <w:rFonts w:ascii="Calibri" w:cs="Calibri" w:eastAsia="Calibri" w:hAnsi="Calibri"/>
          <w:sz w:val="22"/>
          <w:szCs w:val="22"/>
        </w:rPr>
        <w:t xml:space="preserve">captures security, performance, availability, accessibility, and compliance requirements up-front to prevent late-stage rework.</w:t>
      </w:r>
    </w:p>
    <w:p>
      <w:pPr>
        <w:pStyle w:val="ListParagraph"/>
        <w:numPr>
          <w:ilvl w:val="0"/>
          <w:numId w:val="2"/>
        </w:numPr>
        <w:spacing w:after="50" w:before="50" w:line="280"/>
      </w:pPr>
      <w:r>
        <w:rPr>
          <w:rFonts w:ascii="Calibri" w:cs="Calibri" w:eastAsia="Calibri" w:hAnsi="Calibri"/>
          <w:b/>
          <w:bCs/>
          <w:sz w:val="22"/>
          <w:szCs w:val="22"/>
        </w:rPr>
        <w:t xml:space="preserve">Open decision tracking — </w:t>
      </w:r>
      <w:r>
        <w:rPr>
          <w:rFonts w:ascii="Calibri" w:cs="Calibri" w:eastAsia="Calibri" w:hAnsi="Calibri"/>
          <w:sz w:val="22"/>
          <w:szCs w:val="22"/>
        </w:rPr>
        <w:t xml:space="preserve">logs parked items and open decisions so they are tracked and resolved at the appropriate stage rather than lost between workflows.</w:t>
      </w:r>
    </w:p>
    <w:p>
      <w:pPr>
        <w:pStyle w:val="ListParagraph"/>
        <w:numPr>
          <w:ilvl w:val="0"/>
          <w:numId w:val="2"/>
        </w:numPr>
        <w:spacing w:after="50" w:before="50" w:line="280"/>
      </w:pPr>
      <w:r>
        <w:rPr>
          <w:rFonts w:ascii="Calibri" w:cs="Calibri" w:eastAsia="Calibri" w:hAnsi="Calibri"/>
          <w:b/>
          <w:bCs/>
          <w:sz w:val="22"/>
          <w:szCs w:val="22"/>
        </w:rPr>
        <w:t xml:space="preserve">Governance-ready — </w:t>
      </w:r>
      <w:r>
        <w:rPr>
          <w:rFonts w:ascii="Calibri" w:cs="Calibri" w:eastAsia="Calibri" w:hAnsi="Calibri"/>
          <w:sz w:val="22"/>
          <w:szCs w:val="22"/>
        </w:rPr>
        <w:t xml:space="preserve">every requirement that touches audit logging, access control, or data retention is explicitly flagged so the Governance and Security teams can validate coverage before development begins.</w:t>
      </w:r>
    </w:p>
    <w:p>
      <w:r>
        <w:br w:type="page"/>
      </w:r>
    </w:p>
    <w:p>
      <w:pPr>
        <w:pStyle w:val="Heading1"/>
        <w:spacing w:after="200" w:before="400"/>
      </w:pPr>
      <w:r>
        <w:rPr>
          <w:rFonts w:ascii="Calibri" w:cs="Calibri" w:eastAsia="Calibri" w:hAnsi="Calibri"/>
          <w:b/>
          <w:bCs/>
          <w:color w:val="1E3A8A"/>
          <w:sz w:val="34"/>
          <w:szCs w:val="34"/>
        </w:rPr>
        <w:t xml:space="preserve">2. Purpose and Scope</w:t>
      </w:r>
    </w:p>
    <w:p>
      <w:pPr>
        <w:pStyle w:val="Heading2"/>
        <w:spacing w:after="160" w:before="280"/>
      </w:pPr>
      <w:r>
        <w:rPr>
          <w:rFonts w:ascii="Calibri" w:cs="Calibri" w:eastAsia="Calibri" w:hAnsi="Calibri"/>
          <w:b/>
          <w:bCs/>
          <w:color w:val="1E3A8A"/>
          <w:sz w:val="26"/>
          <w:szCs w:val="26"/>
        </w:rPr>
        <w:t xml:space="preserve">2.1 Purpose</w:t>
      </w:r>
    </w:p>
    <w:p>
      <w:pPr>
        <w:spacing w:after="100" w:before="80" w:line="300"/>
        <w:jc w:val="both"/>
      </w:pPr>
      <w:r>
        <w:rPr>
          <w:rFonts w:ascii="Calibri" w:cs="Calibri" w:eastAsia="Calibri" w:hAnsi="Calibri"/>
          <w:sz w:val="22"/>
          <w:szCs w:val="22"/>
        </w:rPr>
        <w:t xml:space="preserve">The purpose of the Model Monitoring Platform is to provide the organisation with a centralised, automated, and governed capability to monitor the entire lifecycle of deployed models — from the moment data is ingested through to the generation of actionable insights, drift alerts, root-cause findings, and compliance reports.</w:t>
      </w:r>
    </w:p>
    <w:p>
      <w:pPr>
        <w:spacing w:after="100" w:before="80" w:line="300"/>
        <w:jc w:val="both"/>
      </w:pPr>
      <w:r>
        <w:rPr>
          <w:rFonts w:ascii="Calibri" w:cs="Calibri" w:eastAsia="Calibri" w:hAnsi="Calibri"/>
          <w:sz w:val="22"/>
          <w:szCs w:val="22"/>
        </w:rPr>
        <w:t xml:space="preserve">The platform directly addresses the following operational and governance challenges:</w:t>
      </w:r>
    </w:p>
    <w:p>
      <w:pPr>
        <w:pStyle w:val="ListParagraph"/>
        <w:numPr>
          <w:ilvl w:val="0"/>
          <w:numId w:val="2"/>
        </w:numPr>
        <w:spacing w:after="50" w:before="50" w:line="280"/>
      </w:pPr>
      <w:r>
        <w:rPr>
          <w:rFonts w:ascii="Calibri" w:cs="Calibri" w:eastAsia="Calibri" w:hAnsi="Calibri"/>
          <w:b/>
          <w:bCs/>
          <w:sz w:val="22"/>
          <w:szCs w:val="22"/>
        </w:rPr>
        <w:t xml:space="preserve">Compute and infrastructure efficiency — </w:t>
      </w:r>
      <w:r>
        <w:rPr>
          <w:rFonts w:ascii="Calibri" w:cs="Calibri" w:eastAsia="Calibri" w:hAnsi="Calibri"/>
          <w:sz w:val="22"/>
          <w:szCs w:val="22"/>
        </w:rPr>
        <w:t xml:space="preserve">orchestrating monitoring jobs, scheduling, and batch runs to balance compute cost with monitoring frequency while scaling across hundreds of models simultaneously. The Scheduler module enables Admins to control job frequency and resource allocation, reducing unplanned compute spikes.</w:t>
      </w:r>
    </w:p>
    <w:p>
      <w:pPr>
        <w:pStyle w:val="ListParagraph"/>
        <w:numPr>
          <w:ilvl w:val="0"/>
          <w:numId w:val="2"/>
        </w:numPr>
        <w:spacing w:after="50" w:before="50" w:line="280"/>
      </w:pPr>
      <w:r>
        <w:rPr>
          <w:rFonts w:ascii="Calibri" w:cs="Calibri" w:eastAsia="Calibri" w:hAnsi="Calibri"/>
          <w:b/>
          <w:bCs/>
          <w:sz w:val="22"/>
          <w:szCs w:val="22"/>
        </w:rPr>
        <w:t xml:space="preserve">Data ingestion at scale — </w:t>
      </w:r>
      <w:r>
        <w:rPr>
          <w:rFonts w:ascii="Calibri" w:cs="Calibri" w:eastAsia="Calibri" w:hAnsi="Calibri"/>
          <w:sz w:val="22"/>
          <w:szCs w:val="22"/>
        </w:rPr>
        <w:t xml:space="preserve">reliable, validated ingestion of training, scoring, and outcome data from disparate sources through the Data Ingestion Agent, with built-in schema validation and data-quality checks before data enters the monitoring pipeline.</w:t>
      </w:r>
    </w:p>
    <w:p>
      <w:pPr>
        <w:pStyle w:val="ListParagraph"/>
        <w:numPr>
          <w:ilvl w:val="0"/>
          <w:numId w:val="2"/>
        </w:numPr>
        <w:spacing w:after="50" w:before="50" w:line="280"/>
      </w:pPr>
      <w:r>
        <w:rPr>
          <w:rFonts w:ascii="Calibri" w:cs="Calibri" w:eastAsia="Calibri" w:hAnsi="Calibri"/>
          <w:b/>
          <w:bCs/>
          <w:sz w:val="22"/>
          <w:szCs w:val="22"/>
        </w:rPr>
        <w:t xml:space="preserve">Data insight generation — </w:t>
      </w:r>
      <w:r>
        <w:rPr>
          <w:rFonts w:ascii="Calibri" w:cs="Calibri" w:eastAsia="Calibri" w:hAnsi="Calibri"/>
          <w:sz w:val="22"/>
          <w:szCs w:val="22"/>
        </w:rPr>
        <w:t xml:space="preserve">the Data Insights Agent automatically computes descriptive statistics, feature distributions, and exploratory summaries on ingested data, providing model owners and reviewers with the context needed to interpret monitoring outputs without manual analysis.</w:t>
      </w:r>
    </w:p>
    <w:p>
      <w:pPr>
        <w:pStyle w:val="ListParagraph"/>
        <w:numPr>
          <w:ilvl w:val="0"/>
          <w:numId w:val="2"/>
        </w:numPr>
        <w:spacing w:after="50" w:before="50" w:line="280"/>
      </w:pPr>
      <w:r>
        <w:rPr>
          <w:rFonts w:ascii="Calibri" w:cs="Calibri" w:eastAsia="Calibri" w:hAnsi="Calibri"/>
          <w:b/>
          <w:bCs/>
          <w:sz w:val="22"/>
          <w:szCs w:val="22"/>
        </w:rPr>
        <w:t xml:space="preserve">Drift detection — </w:t>
      </w:r>
      <w:r>
        <w:rPr>
          <w:rFonts w:ascii="Calibri" w:cs="Calibri" w:eastAsia="Calibri" w:hAnsi="Calibri"/>
          <w:sz w:val="22"/>
          <w:szCs w:val="22"/>
        </w:rPr>
        <w:t xml:space="preserve">continuous, automated monitoring for model drift, performance drift, and model bias through dedicated agents, with configurable thresholds and trigger-based alerting that notifies the right stakeholders in near-real time.</w:t>
      </w:r>
    </w:p>
    <w:p>
      <w:pPr>
        <w:pStyle w:val="ListParagraph"/>
        <w:numPr>
          <w:ilvl w:val="0"/>
          <w:numId w:val="2"/>
        </w:numPr>
        <w:spacing w:after="50" w:before="50" w:line="280"/>
      </w:pPr>
      <w:r>
        <w:rPr>
          <w:rFonts w:ascii="Calibri" w:cs="Calibri" w:eastAsia="Calibri" w:hAnsi="Calibri"/>
          <w:b/>
          <w:bCs/>
          <w:sz w:val="22"/>
          <w:szCs w:val="22"/>
        </w:rPr>
        <w:t xml:space="preserve">Root-cause analysis — </w:t>
      </w:r>
      <w:r>
        <w:rPr>
          <w:rFonts w:ascii="Calibri" w:cs="Calibri" w:eastAsia="Calibri" w:hAnsi="Calibri"/>
          <w:sz w:val="22"/>
          <w:szCs w:val="22"/>
        </w:rPr>
        <w:t xml:space="preserve">the RCA Agent investigates trigger hits to surface the most likely contributing factors — feature-level changes, data-quality anomalies, segment shifts — reducing time-to-resolution and enabling model owners to act rather than investigate.</w:t>
      </w:r>
    </w:p>
    <w:p>
      <w:pPr>
        <w:pStyle w:val="ListParagraph"/>
        <w:numPr>
          <w:ilvl w:val="0"/>
          <w:numId w:val="2"/>
        </w:numPr>
        <w:spacing w:after="50" w:before="50" w:line="280"/>
      </w:pPr>
      <w:r>
        <w:rPr>
          <w:rFonts w:ascii="Calibri" w:cs="Calibri" w:eastAsia="Calibri" w:hAnsi="Calibri"/>
          <w:b/>
          <w:bCs/>
          <w:sz w:val="22"/>
          <w:szCs w:val="22"/>
        </w:rPr>
        <w:t xml:space="preserve">Model inventory management — </w:t>
      </w:r>
      <w:r>
        <w:rPr>
          <w:rFonts w:ascii="Calibri" w:cs="Calibri" w:eastAsia="Calibri" w:hAnsi="Calibri"/>
          <w:sz w:val="22"/>
          <w:szCs w:val="22"/>
        </w:rPr>
        <w:t xml:space="preserve">a governed registry for model registration, lifecycle tracking, archival, and decommissioning with full audit history, ensuring the organisation always has a complete and accurate picture of its deployed model portfolio.</w:t>
      </w:r>
    </w:p>
    <w:p>
      <w:pPr>
        <w:pStyle w:val="ListParagraph"/>
        <w:numPr>
          <w:ilvl w:val="0"/>
          <w:numId w:val="2"/>
        </w:numPr>
        <w:spacing w:after="50" w:before="50" w:line="280"/>
      </w:pPr>
      <w:r>
        <w:rPr>
          <w:rFonts w:ascii="Calibri" w:cs="Calibri" w:eastAsia="Calibri" w:hAnsi="Calibri"/>
          <w:b/>
          <w:bCs/>
          <w:sz w:val="22"/>
          <w:szCs w:val="22"/>
        </w:rPr>
        <w:t xml:space="preserve">Reporting and governance — </w:t>
      </w:r>
      <w:r>
        <w:rPr>
          <w:rFonts w:ascii="Calibri" w:cs="Calibri" w:eastAsia="Calibri" w:hAnsi="Calibri"/>
          <w:sz w:val="22"/>
          <w:szCs w:val="22"/>
        </w:rPr>
        <w:t xml:space="preserve">automated report generation for business, technical, and audit consumption, backed by tamper-evident audit logs and role-based access controls that satisfy internal and regulatory oversight requirements.</w:t>
      </w:r>
    </w:p>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2.2 Scope of the BRD</w:t>
      </w:r>
    </w:p>
    <w:p>
      <w:pPr>
        <w:spacing w:after="100" w:before="80" w:line="300"/>
        <w:jc w:val="both"/>
      </w:pPr>
      <w:r>
        <w:rPr>
          <w:rFonts w:ascii="Calibri" w:cs="Calibri" w:eastAsia="Calibri" w:hAnsi="Calibri"/>
          <w:sz w:val="22"/>
          <w:szCs w:val="22"/>
        </w:rPr>
        <w:t xml:space="preserve">This BRD covers the requirements for the platform across the following 15 workflows, organised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Workflow Group</w:t>
            </w:r>
          </w:p>
        </w:tc>
        <w:tc>
          <w:tcPr>
            <w:tcW w:type="dxa" w:w="71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Workflows</w:t>
            </w:r>
          </w:p>
        </w:tc>
      </w:tr>
      <w:tr>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Foundation</w:t>
            </w:r>
          </w:p>
        </w:tc>
        <w:tc>
          <w:tcPr>
            <w:tcW w:type="dxa" w:w="71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Landing Page &amp; Authentication (Workflow 1 — covered)</w:t>
            </w:r>
          </w:p>
        </w:tc>
      </w:tr>
      <w:tr>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Admin</w:t>
            </w:r>
          </w:p>
        </w:tc>
        <w:tc>
          <w:tcPr>
            <w:tcW w:type="dxa" w:w="71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Manage Model Inventory; Configure Metrics; Model Data Ingestion; Access Control Center; Set-up Scheduler; Governance</w:t>
            </w:r>
          </w:p>
        </w:tc>
      </w:tr>
      <w:tr>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User</w:t>
            </w:r>
          </w:p>
        </w:tc>
        <w:tc>
          <w:tcPr>
            <w:tcW w:type="dxa" w:w="71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Dashboard; Model Inventory; Model Monitoring; Trigger Hit Report; Repository</w:t>
            </w:r>
          </w:p>
        </w:tc>
      </w:tr>
      <w:tr>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Viewer</w:t>
            </w:r>
          </w:p>
        </w:tc>
        <w:tc>
          <w:tcPr>
            <w:tcW w:type="dxa" w:w="71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Dashboard; Model Inventory; Trigger Hit Report</w:t>
            </w:r>
          </w:p>
        </w:tc>
      </w:tr>
    </w:tbl>
    <w:p>
      <w:pPr>
        <w:spacing w:after="80" w:before="80"/>
      </w:pPr>
      <w:r>
        <w:t xml:space="preserve"/>
      </w:r>
    </w:p>
    <w:p>
      <w:pPr>
        <w:spacing w:after="100" w:before="80" w:line="300"/>
        <w:jc w:val="both"/>
      </w:pPr>
      <w:r>
        <w:rPr>
          <w:rFonts w:ascii="Calibri" w:cs="Calibri" w:eastAsia="Calibri" w:hAnsi="Calibri"/>
          <w:sz w:val="22"/>
          <w:szCs w:val="22"/>
        </w:rPr>
        <w:t xml:space="preserve">Each workflow is detailed in its own BRD document with a consistent structure: document control, introduction, business context, functional requirements (with unique IDs, priority tagging, and parked-gap tracking), non-functional requirements, UI/UX references, and a glossary.</w:t>
      </w:r>
    </w:p>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2.3 Out of Scope</w:t>
      </w:r>
    </w:p>
    <w:p>
      <w:pPr>
        <w:spacing w:after="100" w:before="80" w:line="300"/>
        <w:jc w:val="both"/>
      </w:pPr>
      <w:r>
        <w:rPr>
          <w:rFonts w:ascii="Calibri" w:cs="Calibri" w:eastAsia="Calibri" w:hAnsi="Calibri"/>
          <w:sz w:val="22"/>
          <w:szCs w:val="22"/>
        </w:rPr>
        <w:t xml:space="preserve">The following are explicitly out of scope for this BRD:</w:t>
      </w:r>
    </w:p>
    <w:p>
      <w:pPr>
        <w:pStyle w:val="ListParagraph"/>
        <w:numPr>
          <w:ilvl w:val="0"/>
          <w:numId w:val="2"/>
        </w:numPr>
        <w:spacing w:after="50" w:before="50" w:line="280"/>
      </w:pPr>
      <w:r>
        <w:rPr>
          <w:rFonts w:ascii="Calibri" w:cs="Calibri" w:eastAsia="Calibri" w:hAnsi="Calibri"/>
          <w:sz w:val="22"/>
          <w:szCs w:val="22"/>
        </w:rPr>
        <w:t xml:space="preserve">Underlying ML model development, training, or retraining pipelines — the platform monitors deployed models; it does not train or retrain them.</w:t>
      </w:r>
    </w:p>
    <w:p>
      <w:pPr>
        <w:pStyle w:val="ListParagraph"/>
        <w:numPr>
          <w:ilvl w:val="0"/>
          <w:numId w:val="2"/>
        </w:numPr>
        <w:spacing w:after="50" w:before="50" w:line="280"/>
      </w:pPr>
      <w:r>
        <w:rPr>
          <w:rFonts w:ascii="Calibri" w:cs="Calibri" w:eastAsia="Calibri" w:hAnsi="Calibri"/>
          <w:sz w:val="22"/>
          <w:szCs w:val="22"/>
        </w:rPr>
        <w:t xml:space="preserve">Corporate SSO, MFA, email notification, and audit-log infrastructure — these are assumed as available, operational enterprise services.</w:t>
      </w:r>
    </w:p>
    <w:p>
      <w:pPr>
        <w:pStyle w:val="ListParagraph"/>
        <w:numPr>
          <w:ilvl w:val="0"/>
          <w:numId w:val="2"/>
        </w:numPr>
        <w:spacing w:after="50" w:before="50" w:line="280"/>
      </w:pPr>
      <w:r>
        <w:rPr>
          <w:rFonts w:ascii="Calibri" w:cs="Calibri" w:eastAsia="Calibri" w:hAnsi="Calibri"/>
          <w:sz w:val="22"/>
          <w:szCs w:val="22"/>
        </w:rPr>
        <w:t xml:space="preserve">Procurement, licensing, and infrastructure provisioning — owned by the IT and architecture teams.</w:t>
      </w:r>
    </w:p>
    <w:p>
      <w:pPr>
        <w:pStyle w:val="ListParagraph"/>
        <w:numPr>
          <w:ilvl w:val="0"/>
          <w:numId w:val="2"/>
        </w:numPr>
        <w:spacing w:after="50" w:before="50" w:line="280"/>
      </w:pPr>
      <w:r>
        <w:rPr>
          <w:rFonts w:ascii="Calibri" w:cs="Calibri" w:eastAsia="Calibri" w:hAnsi="Calibri"/>
          <w:sz w:val="22"/>
          <w:szCs w:val="22"/>
        </w:rPr>
        <w:t xml:space="preserve">Detailed agent algorithm design — the BRD specifies agent responsibilities, inputs, and outputs; algorithm and model selection for each agent is owned by the data science and ML engineering teams.</w:t>
      </w:r>
    </w:p>
    <w:p>
      <w:pPr>
        <w:pStyle w:val="ListParagraph"/>
        <w:numPr>
          <w:ilvl w:val="0"/>
          <w:numId w:val="2"/>
        </w:numPr>
        <w:spacing w:after="50" w:before="50" w:line="280"/>
      </w:pPr>
      <w:r>
        <w:rPr>
          <w:rFonts w:ascii="Calibri" w:cs="Calibri" w:eastAsia="Calibri" w:hAnsi="Calibri"/>
          <w:sz w:val="22"/>
          <w:szCs w:val="22"/>
        </w:rPr>
        <w:t xml:space="preserve">External system integrations — no integrations with downstream systems (data catalogs, ITSM, model risk management systems) are in scope at this stage.</w:t>
      </w:r>
    </w:p>
    <w:p>
      <w:pPr>
        <w:pStyle w:val="ListParagraph"/>
        <w:numPr>
          <w:ilvl w:val="0"/>
          <w:numId w:val="2"/>
        </w:numPr>
        <w:spacing w:after="50" w:before="50" w:line="280"/>
      </w:pPr>
      <w:r>
        <w:rPr>
          <w:rFonts w:ascii="Calibri" w:cs="Calibri" w:eastAsia="Calibri" w:hAnsi="Calibri"/>
          <w:sz w:val="22"/>
          <w:szCs w:val="22"/>
        </w:rPr>
        <w:t xml:space="preserve">Multi-tenancy and business-unit segregation — the platform operates as a single-tenant system; model-level access scoping (OPN-G-005) is managed at the user/role level.</w:t>
      </w:r>
    </w:p>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2.4 Data Retention Policy</w:t>
      </w:r>
    </w:p>
    <w:p>
      <w:pPr>
        <w:spacing w:after="100" w:before="80" w:line="300"/>
        <w:jc w:val="both"/>
      </w:pPr>
      <w:r>
        <w:rPr>
          <w:rFonts w:ascii="Calibri" w:cs="Calibri" w:eastAsia="Calibri" w:hAnsi="Calibri"/>
          <w:sz w:val="22"/>
          <w:szCs w:val="22"/>
        </w:rPr>
        <w:t xml:space="preserve">The platform manages three distinct categories of data, each with its own retention requirements. All retention windows are Admin-configurable and the defaults below are recommended starting points, subject to final confirmation by the data governance and compliance teams (OPN-G-006):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3960"/>
      </w:tblGrid>
      <w:tr>
        <w:trPr>
          <w:tblHeader/>
        </w:trPr>
        <w:tc>
          <w:tcPr>
            <w:tcW w:type="dxa" w:w="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w:t>
            </w:r>
          </w:p>
        </w:tc>
        <w:tc>
          <w:tcPr>
            <w:tcW w:type="dxa" w:w="28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Category</w:t>
            </w:r>
          </w:p>
        </w:tc>
        <w:tc>
          <w:tcPr>
            <w:tcW w:type="dxa" w:w="2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Default Retention</w:t>
            </w:r>
          </w:p>
        </w:tc>
        <w:tc>
          <w:tcPr>
            <w:tcW w:type="dxa" w:w="39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Notes</w:t>
            </w:r>
          </w:p>
        </w:tc>
      </w:tr>
      <w:tr>
        <w:tc>
          <w:tcPr>
            <w:tcW w:type="dxa" w:w="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w:t>
            </w:r>
          </w:p>
        </w:tc>
        <w:tc>
          <w:tcPr>
            <w:tcW w:type="dxa" w:w="2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Raw Ingested Data — training, scoring, and outcome data ingested by the Data Ingestion Agent</w:t>
            </w:r>
          </w:p>
        </w:tc>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180 days (rolling)</w:t>
            </w:r>
          </w:p>
        </w:tc>
        <w:tc>
          <w:tcPr>
            <w:tcW w:type="dxa" w:w="39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Archived to cold storage after the active window; not deleted. Longer windows improve historical drift analysis but increase compute and storage cost significantly.</w:t>
            </w:r>
          </w:p>
        </w:tc>
      </w:tr>
      <w:tr>
        <w:tc>
          <w:tcPr>
            <w:tcW w:type="dxa" w:w="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w:t>
            </w:r>
          </w:p>
        </w:tc>
        <w:tc>
          <w:tcPr>
            <w:tcW w:type="dxa" w:w="2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Monitoring Outputs — drift scores, performance metrics, bias metrics, RCA findings, trigger hit records</w:t>
            </w:r>
          </w:p>
        </w:tc>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3 years</w:t>
            </w:r>
          </w:p>
        </w:tc>
        <w:tc>
          <w:tcPr>
            <w:tcW w:type="dxa" w:w="39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Aggregated/computed outputs; much smaller than raw data. Sufficient to satisfy most regulatory and internal audit requirements.</w:t>
            </w:r>
          </w:p>
        </w:tc>
      </w:tr>
      <w:tr>
        <w:tc>
          <w:tcPr>
            <w:tcW w:type="dxa" w:w="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C</w:t>
            </w:r>
          </w:p>
        </w:tc>
        <w:tc>
          <w:tcPr>
            <w:tcW w:type="dxa" w:w="2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Reports &amp; Audit Logs — generated reports and full platform audit trail</w:t>
            </w:r>
          </w:p>
        </w:tc>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7 years</w:t>
            </w:r>
          </w:p>
        </w:tc>
        <w:tc>
          <w:tcPr>
            <w:tcW w:type="dxa" w:w="39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Smallest in volume; highest compliance sensitivity. Must be tamper-evident and write-once. Aligned to financial services / model risk regulatory norms (SR 11-7, DORA, BCBS 239 as applicable).</w:t>
            </w:r>
          </w:p>
        </w:tc>
      </w:tr>
    </w:tbl>
    <w:p>
      <w:pPr>
        <w:spacing w:after="80" w:before="80"/>
      </w:pPr>
      <w:r>
        <w:t xml:space="preserve"/>
      </w:r>
    </w:p>
    <w:p>
      <w:pPr>
        <w:spacing w:after="100" w:before="80" w:line="300"/>
        <w:jc w:val="both"/>
      </w:pPr>
      <w:r>
        <w:rPr>
          <w:rFonts w:ascii="Calibri" w:cs="Calibri" w:eastAsia="Calibri" w:hAnsi="Calibri"/>
          <w:sz w:val="22"/>
          <w:szCs w:val="22"/>
        </w:rPr>
        <w:t xml:space="preserve">Raw ingested data (Category A) archival to cold storage after the 180-day active window is the recommended approach for cost management while preserving data for longer-term investigation if required. All retention windows shall be configurable by authorised Admins through the Governance module without requiring a code change.</w:t>
      </w:r>
    </w:p>
    <w:p>
      <w:r>
        <w:br w:type="page"/>
      </w:r>
    </w:p>
    <w:p>
      <w:pPr>
        <w:pStyle w:val="Heading1"/>
        <w:spacing w:after="200" w:before="400"/>
      </w:pPr>
      <w:r>
        <w:rPr>
          <w:rFonts w:ascii="Calibri" w:cs="Calibri" w:eastAsia="Calibri" w:hAnsi="Calibri"/>
          <w:b/>
          <w:bCs/>
          <w:color w:val="1E3A8A"/>
          <w:sz w:val="34"/>
          <w:szCs w:val="34"/>
        </w:rPr>
        <w:t xml:space="preserve">3. Applicable Agents</w:t>
      </w:r>
    </w:p>
    <w:p>
      <w:pPr>
        <w:pStyle w:val="Heading2"/>
        <w:spacing w:after="160" w:before="280"/>
      </w:pPr>
      <w:r>
        <w:rPr>
          <w:rFonts w:ascii="Calibri" w:cs="Calibri" w:eastAsia="Calibri" w:hAnsi="Calibri"/>
          <w:b/>
          <w:bCs/>
          <w:color w:val="1E3A8A"/>
          <w:sz w:val="26"/>
          <w:szCs w:val="26"/>
        </w:rPr>
        <w:t xml:space="preserve">3.1 Agent Architecture Overview</w:t>
      </w:r>
    </w:p>
    <w:p>
      <w:pPr>
        <w:spacing w:after="100" w:before="80" w:line="300"/>
        <w:jc w:val="both"/>
      </w:pPr>
      <w:r>
        <w:rPr>
          <w:rFonts w:ascii="Calibri" w:cs="Calibri" w:eastAsia="Calibri" w:hAnsi="Calibri"/>
          <w:sz w:val="22"/>
          <w:szCs w:val="22"/>
        </w:rPr>
        <w:t xml:space="preserve">The platform is built on an agentic architecture in which specialised AI agents autonomously perform monitoring tasks across the model portfolio. Each agent has a clearly defined responsibility, set of inputs, set of outputs, and a configurable execution context. Agents are orchestrated primarily through the Scheduler module (configured by Admins) and, for specific agents, can also be triggered on demand by Users from within the relevant module.</w:t>
      </w:r>
    </w:p>
    <w:p>
      <w:pPr>
        <w:spacing w:after="100" w:before="80" w:line="300"/>
        <w:jc w:val="both"/>
      </w:pPr>
      <w:r>
        <w:rPr>
          <w:rFonts w:ascii="Calibri" w:cs="Calibri" w:eastAsia="Calibri" w:hAnsi="Calibri"/>
          <w:sz w:val="22"/>
          <w:szCs w:val="22"/>
        </w:rPr>
        <w:t xml:space="preserve">The agent architecture is designed to be modular — each agent operates independently and produces structured outputs that feed downstream agents, dashboards, trigger hit reports, and the governance module. This modularity allows individual agents to be updated, retrained, or reconfigured without disrupting the broader platform.</w:t>
      </w:r>
    </w:p>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3.2 Agent Definitions</w:t>
      </w:r>
    </w:p>
    <w:p>
      <w:pPr>
        <w:spacing w:after="100" w:before="80" w:line="300"/>
        <w:jc w:val="both"/>
      </w:pPr>
      <w:r>
        <w:rPr>
          <w:rFonts w:ascii="Calibri" w:cs="Calibri" w:eastAsia="Calibri" w:hAnsi="Calibri"/>
          <w:sz w:val="22"/>
          <w:szCs w:val="22"/>
        </w:rPr>
        <w:t xml:space="preserve">The platform comprises seven specialised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600"/>
        <w:gridCol w:w="2200"/>
        <w:gridCol w:w="2360"/>
      </w:tblGrid>
      <w:tr>
        <w:trPr>
          <w:tblHeader/>
        </w:trPr>
        <w:tc>
          <w:tcPr>
            <w:tcW w:type="dxa" w:w="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w:t>
            </w:r>
          </w:p>
        </w:tc>
        <w:tc>
          <w:tcPr>
            <w:tcW w:type="dxa" w:w="18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Agent</w:t>
            </w:r>
          </w:p>
        </w:tc>
        <w:tc>
          <w:tcPr>
            <w:tcW w:type="dxa" w:w="2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Responsibility</w:t>
            </w:r>
          </w:p>
        </w:tc>
        <w:tc>
          <w:tcPr>
            <w:tcW w:type="dxa" w:w="2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Primary Inputs</w:t>
            </w:r>
          </w:p>
        </w:tc>
        <w:tc>
          <w:tcPr>
            <w:tcW w:type="dxa" w:w="2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Primary Outputs</w:t>
            </w:r>
          </w:p>
        </w:tc>
      </w:tr>
      <w:tr>
        <w:tc>
          <w:tcPr>
            <w:tcW w:type="dxa" w:w="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1</w:t>
            </w:r>
          </w:p>
        </w:tc>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Data Ingestion Agent</w:t>
            </w:r>
          </w:p>
        </w:tc>
        <w:tc>
          <w:tcPr>
            <w:tcW w:type="dxa" w:w="2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Ingest training, scoring, and outcome data from configured sources; validate schema and data quality; persist into the platform monitoring store.</w:t>
            </w:r>
          </w:p>
        </w:tc>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Source connections, ingestion config, schema definitions</w:t>
            </w:r>
          </w:p>
        </w:tc>
        <w:tc>
          <w:tcPr>
            <w:tcW w:type="dxa" w:w="2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Ingested datasets, ingestion job logs, data-quality reports</w:t>
            </w:r>
          </w:p>
        </w:tc>
      </w:tr>
      <w:tr>
        <w:tc>
          <w:tcPr>
            <w:tcW w:type="dxa" w:w="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2</w:t>
            </w:r>
          </w:p>
        </w:tc>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Data Insights Agent</w:t>
            </w:r>
          </w:p>
        </w:tc>
        <w:tc>
          <w:tcPr>
            <w:tcW w:type="dxa" w:w="2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Compute descriptive statistics, feature distributions, and exploratory insights on ingested data to support investigation and reporting.</w:t>
            </w:r>
          </w:p>
        </w:tc>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Ingested datasets, insight configuration</w:t>
            </w:r>
          </w:p>
        </w:tc>
        <w:tc>
          <w:tcPr>
            <w:tcW w:type="dxa" w:w="2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Statistical summaries, distribution charts, insight artefacts</w:t>
            </w:r>
          </w:p>
        </w:tc>
      </w:tr>
      <w:tr>
        <w:tc>
          <w:tcPr>
            <w:tcW w:type="dxa" w:w="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3</w:t>
            </w:r>
          </w:p>
        </w:tc>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Model Drift Agent</w:t>
            </w:r>
          </w:p>
        </w:tc>
        <w:tc>
          <w:tcPr>
            <w:tcW w:type="dxa" w:w="2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Detect drift in input feature distributions (covariate / data drift) by comparing current data against a defined reference window using configured metrics (e.g., PSI, KL divergence).</w:t>
            </w:r>
          </w:p>
        </w:tc>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Ingested datasets, reference baseline, drift thresholds</w:t>
            </w:r>
          </w:p>
        </w:tc>
        <w:tc>
          <w:tcPr>
            <w:tcW w:type="dxa" w:w="2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Drift scores, drift alerts, drift reports</w:t>
            </w:r>
          </w:p>
        </w:tc>
      </w:tr>
      <w:tr>
        <w:tc>
          <w:tcPr>
            <w:tcW w:type="dxa" w:w="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4</w:t>
            </w:r>
          </w:p>
        </w:tc>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Performance Drift Agent</w:t>
            </w:r>
          </w:p>
        </w:tc>
        <w:tc>
          <w:tcPr>
            <w:tcW w:type="dxa" w:w="2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Detect drift in model performance metrics (e.g., accuracy, AUC, RMSE, Gini) over time by comparing current performance against thresholds and reference performance.</w:t>
            </w:r>
          </w:p>
        </w:tc>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Predictions, outcomes, performance metric config, thresholds</w:t>
            </w:r>
          </w:p>
        </w:tc>
        <w:tc>
          <w:tcPr>
            <w:tcW w:type="dxa" w:w="2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Performance metric trends, performance alerts, performance reports</w:t>
            </w:r>
          </w:p>
        </w:tc>
      </w:tr>
      <w:tr>
        <w:tc>
          <w:tcPr>
            <w:tcW w:type="dxa" w:w="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5</w:t>
            </w:r>
          </w:p>
        </w:tc>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Model Bias Agent</w:t>
            </w:r>
          </w:p>
        </w:tc>
        <w:tc>
          <w:tcPr>
            <w:tcW w:type="dxa" w:w="2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Detect bias and fairness deterioration across protected or business-defined segments using configured fairness metrics. Applies to all models in the platform.</w:t>
            </w:r>
          </w:p>
        </w:tc>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Predictions, outcomes, segment definitions, fairness metric config</w:t>
            </w:r>
          </w:p>
        </w:tc>
        <w:tc>
          <w:tcPr>
            <w:tcW w:type="dxa" w:w="2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Bias metric values, bias alerts, fairness reports</w:t>
            </w:r>
          </w:p>
        </w:tc>
      </w:tr>
      <w:tr>
        <w:tc>
          <w:tcPr>
            <w:tcW w:type="dxa" w:w="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6</w:t>
            </w:r>
          </w:p>
        </w:tc>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Root Cause Analysis (RCA) Agent</w:t>
            </w:r>
          </w:p>
        </w:tc>
        <w:tc>
          <w:tcPr>
            <w:tcW w:type="dxa" w:w="2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When a trigger is hit (drift, performance, or bias), investigate likely contributing factors by analysing feature-level changes, segment-level shifts, data-quality anomalies, and upstream changes; surface ranked probable causes.</w:t>
            </w:r>
          </w:p>
        </w:tc>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Trigger event, monitoring history, ingested data, feature/segment metadata</w:t>
            </w:r>
          </w:p>
        </w:tc>
        <w:tc>
          <w:tcPr>
            <w:tcW w:type="dxa" w:w="2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Ranked RCA findings, supporting evidence, RCA report</w:t>
            </w:r>
          </w:p>
        </w:tc>
      </w:tr>
      <w:tr>
        <w:tc>
          <w:tcPr>
            <w:tcW w:type="dxa" w:w="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7</w:t>
            </w:r>
          </w:p>
        </w:tc>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Report Generation Agent</w:t>
            </w:r>
          </w:p>
        </w:tc>
        <w:tc>
          <w:tcPr>
            <w:tcW w:type="dxa" w:w="2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Generate scheduled and on-demand reports across monitoring dimensions, formatted for business, technical, and audit consumption. Supports download from the Model Monitoring module and re-access via the Repository Saved Reports sub-section.</w:t>
            </w:r>
          </w:p>
        </w:tc>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Monitoring data, report templates, report schedules</w:t>
            </w:r>
          </w:p>
        </w:tc>
        <w:tc>
          <w:tcPr>
            <w:tcW w:type="dxa" w:w="2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Formatted reports (PDF / dashboard snapshots), download artefacts, distribution records</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3.3 Cross-Cutting Agent Principles</w:t>
      </w:r>
    </w:p>
    <w:p>
      <w:pPr>
        <w:spacing w:after="100" w:before="80" w:line="300"/>
        <w:jc w:val="both"/>
      </w:pPr>
      <w:r>
        <w:rPr>
          <w:rFonts w:ascii="Calibri" w:cs="Calibri" w:eastAsia="Calibri" w:hAnsi="Calibri"/>
          <w:sz w:val="22"/>
          <w:szCs w:val="22"/>
        </w:rPr>
        <w:t xml:space="preserve">The following principles apply to all agents across the platform:</w:t>
      </w:r>
    </w:p>
    <w:p>
      <w:pPr>
        <w:pStyle w:val="ListParagraph"/>
        <w:numPr>
          <w:ilvl w:val="0"/>
          <w:numId w:val="2"/>
        </w:numPr>
        <w:spacing w:after="50" w:before="50" w:line="280"/>
      </w:pPr>
      <w:r>
        <w:rPr>
          <w:rFonts w:ascii="Calibri" w:cs="Calibri" w:eastAsia="Calibri" w:hAnsi="Calibri"/>
          <w:sz w:val="22"/>
          <w:szCs w:val="22"/>
        </w:rPr>
        <w:t xml:space="preserve">Every agent run is audit-logged — capturing start time, end time, inputs used, outputs produced, execution status (success / failure / partial), and the triggering source (scheduler job ID or user ID).</w:t>
      </w:r>
    </w:p>
    <w:p>
      <w:pPr>
        <w:pStyle w:val="ListParagraph"/>
        <w:numPr>
          <w:ilvl w:val="0"/>
          <w:numId w:val="2"/>
        </w:numPr>
        <w:spacing w:after="50" w:before="50" w:line="280"/>
      </w:pPr>
      <w:r>
        <w:rPr>
          <w:rFonts w:ascii="Calibri" w:cs="Calibri" w:eastAsia="Calibri" w:hAnsi="Calibri"/>
          <w:sz w:val="22"/>
          <w:szCs w:val="22"/>
        </w:rPr>
        <w:t xml:space="preserve">Agents are idempotent where feasible — re-runs over the same data window should produce the same outputs, enabling safe retry on failure without corrupting monitoring history.</w:t>
      </w:r>
    </w:p>
    <w:p>
      <w:pPr>
        <w:pStyle w:val="ListParagraph"/>
        <w:numPr>
          <w:ilvl w:val="0"/>
          <w:numId w:val="2"/>
        </w:numPr>
        <w:spacing w:after="50" w:before="50" w:line="280"/>
      </w:pPr>
      <w:r>
        <w:rPr>
          <w:rFonts w:ascii="Calibri" w:cs="Calibri" w:eastAsia="Calibri" w:hAnsi="Calibri"/>
          <w:sz w:val="22"/>
          <w:szCs w:val="22"/>
        </w:rPr>
        <w:t xml:space="preserve">Agents are configurable — thresholds, reference windows, segments, and metrics are managed through the Configure Metrics module by Admins; no agent parameters are hardcoded.</w:t>
      </w:r>
    </w:p>
    <w:p>
      <w:pPr>
        <w:pStyle w:val="ListParagraph"/>
        <w:numPr>
          <w:ilvl w:val="0"/>
          <w:numId w:val="2"/>
        </w:numPr>
        <w:spacing w:after="50" w:before="50" w:line="280"/>
      </w:pPr>
      <w:r>
        <w:rPr>
          <w:rFonts w:ascii="Calibri" w:cs="Calibri" w:eastAsia="Calibri" w:hAnsi="Calibri"/>
          <w:sz w:val="22"/>
          <w:szCs w:val="22"/>
        </w:rPr>
        <w:t xml:space="preserve">Agent outputs are versioned — each run produces a versioned output artefact tied to the model version, data window, and configuration version active at the time of the run.</w:t>
      </w:r>
    </w:p>
    <w:p>
      <w:pPr>
        <w:pStyle w:val="ListParagraph"/>
        <w:numPr>
          <w:ilvl w:val="0"/>
          <w:numId w:val="2"/>
        </w:numPr>
        <w:spacing w:after="50" w:before="50" w:line="280"/>
      </w:pPr>
      <w:r>
        <w:rPr>
          <w:rFonts w:ascii="Calibri" w:cs="Calibri" w:eastAsia="Calibri" w:hAnsi="Calibri"/>
          <w:sz w:val="22"/>
          <w:szCs w:val="22"/>
        </w:rPr>
        <w:t xml:space="preserve">Agents respect role-based access — outputs are surfaced only to users with access to the relevant model; the platform does not expose cross-model outputs to unauthorised roles.</w:t>
      </w:r>
    </w:p>
    <w:p>
      <w:pPr>
        <w:pStyle w:val="ListParagraph"/>
        <w:numPr>
          <w:ilvl w:val="0"/>
          <w:numId w:val="2"/>
        </w:numPr>
        <w:spacing w:after="50" w:before="50" w:line="280"/>
      </w:pPr>
      <w:r>
        <w:rPr>
          <w:rFonts w:ascii="Calibri" w:cs="Calibri" w:eastAsia="Calibri" w:hAnsi="Calibri"/>
          <w:sz w:val="22"/>
          <w:szCs w:val="22"/>
        </w:rPr>
        <w:t xml:space="preserve">Bias detection (Model Bias Agent) applies to all models registered on the platform, not only those flagged as using protected attributes.</w:t>
      </w:r>
    </w:p>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3.4 Agent Execution Modes</w:t>
      </w:r>
    </w:p>
    <w:p>
      <w:pPr>
        <w:spacing w:after="100" w:before="80" w:line="300"/>
        <w:jc w:val="both"/>
      </w:pPr>
      <w:r>
        <w:rPr>
          <w:rFonts w:ascii="Calibri" w:cs="Calibri" w:eastAsia="Calibri" w:hAnsi="Calibri"/>
          <w:sz w:val="22"/>
          <w:szCs w:val="22"/>
        </w:rPr>
        <w:t xml:space="preserve">Agents support two execution modes, which may vary by agent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Mode</w:t>
            </w:r>
          </w:p>
        </w:tc>
        <w:tc>
          <w:tcPr>
            <w:tcW w:type="dxa" w:w="3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Description</w:t>
            </w:r>
          </w:p>
        </w:tc>
        <w:tc>
          <w:tcPr>
            <w:tcW w:type="dxa" w:w="4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Applicable Agents</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Scheduled (batch)</w:t>
            </w:r>
          </w:p>
        </w:tc>
        <w:tc>
          <w:tcPr>
            <w:tcW w:type="dxa" w:w="3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Agent runs are triggered automatically by the Scheduler module on a configured cadence (e.g., daily, weekly). Configured and managed by Admins.</w:t>
            </w:r>
          </w:p>
        </w:tc>
        <w:tc>
          <w:tcPr>
            <w:tcW w:type="dxa" w:w="4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Data Ingestion, Data Insights, Model Drift, Performance Drift, Model Bias, Report Generation</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On-demand (user-triggered)</w:t>
            </w:r>
          </w:p>
        </w:tc>
        <w:tc>
          <w:tcPr>
            <w:tcW w:type="dxa" w:w="3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Agent is triggered manually by a User from within the relevant module — for example, initiating an RCA directly from a trigger hit event in the Trigger Hit Report or Model Monitoring module.</w:t>
            </w:r>
          </w:p>
        </w:tc>
        <w:tc>
          <w:tcPr>
            <w:tcW w:type="dxa" w:w="4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RCA Agent (primary); Report Generation Agent (on-demand download from Model Monitoring module)</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3.5 Agent Failure and Operational Support</w:t>
      </w:r>
    </w:p>
    <w:p>
      <w:pPr>
        <w:spacing w:after="100" w:before="80" w:line="300"/>
        <w:jc w:val="both"/>
      </w:pPr>
      <w:r>
        <w:rPr>
          <w:rFonts w:ascii="Calibri" w:cs="Calibri" w:eastAsia="Calibri" w:hAnsi="Calibri"/>
          <w:sz w:val="22"/>
          <w:szCs w:val="22"/>
        </w:rPr>
        <w:t xml:space="preserve">A dedicated platform team is responsible for the operational integrity of all agents. Agent failures are detected, logged, and triaged by this team. The following principles govern failure handling:</w:t>
      </w:r>
    </w:p>
    <w:p>
      <w:pPr>
        <w:pStyle w:val="ListParagraph"/>
        <w:numPr>
          <w:ilvl w:val="0"/>
          <w:numId w:val="2"/>
        </w:numPr>
        <w:spacing w:after="50" w:before="50" w:line="280"/>
      </w:pPr>
      <w:r>
        <w:rPr>
          <w:rFonts w:ascii="Calibri" w:cs="Calibri" w:eastAsia="Calibri" w:hAnsi="Calibri"/>
          <w:sz w:val="22"/>
          <w:szCs w:val="22"/>
        </w:rPr>
        <w:t xml:space="preserve">All agent failures are written to the audit log with the full failure context (agent ID, job ID, model, data window, error type, stack trace where applicable).</w:t>
      </w:r>
    </w:p>
    <w:p>
      <w:pPr>
        <w:pStyle w:val="ListParagraph"/>
        <w:numPr>
          <w:ilvl w:val="0"/>
          <w:numId w:val="2"/>
        </w:numPr>
        <w:spacing w:after="50" w:before="50" w:line="280"/>
      </w:pPr>
      <w:r>
        <w:rPr>
          <w:rFonts w:ascii="Calibri" w:cs="Calibri" w:eastAsia="Calibri" w:hAnsi="Calibri"/>
          <w:sz w:val="22"/>
          <w:szCs w:val="22"/>
        </w:rPr>
        <w:t xml:space="preserve">Failed agent runs do not overwrite or corrupt prior successful outputs — the last successful run's output remains the active monitoring state until a subsequent successful run completes.</w:t>
      </w:r>
    </w:p>
    <w:p>
      <w:pPr>
        <w:pStyle w:val="ListParagraph"/>
        <w:numPr>
          <w:ilvl w:val="0"/>
          <w:numId w:val="2"/>
        </w:numPr>
        <w:spacing w:after="50" w:before="50" w:line="280"/>
      </w:pPr>
      <w:r>
        <w:rPr>
          <w:rFonts w:ascii="Calibri" w:cs="Calibri" w:eastAsia="Calibri" w:hAnsi="Calibri"/>
          <w:sz w:val="22"/>
          <w:szCs w:val="22"/>
        </w:rPr>
        <w:t xml:space="preserve">The platform team is responsible for investigating, remediating, and re-running failed agents. Model owners (Users) are notified when a scheduled agent run for their model fails and is pending remediation.</w:t>
      </w:r>
    </w:p>
    <w:p>
      <w:pPr>
        <w:pStyle w:val="ListParagraph"/>
        <w:numPr>
          <w:ilvl w:val="0"/>
          <w:numId w:val="2"/>
        </w:numPr>
        <w:spacing w:after="50" w:before="50" w:line="280"/>
      </w:pPr>
      <w:r>
        <w:rPr>
          <w:rFonts w:ascii="Calibri" w:cs="Calibri" w:eastAsia="Calibri" w:hAnsi="Calibri"/>
          <w:sz w:val="22"/>
          <w:szCs w:val="22"/>
        </w:rPr>
        <w:t xml:space="preserve">Agent failure thresholds and escalation paths are defined by the platform team and are configurable through the Governance module.</w:t>
      </w:r>
    </w:p>
    <w:p>
      <w:pPr>
        <w:pStyle w:val="ListParagraph"/>
        <w:numPr>
          <w:ilvl w:val="0"/>
          <w:numId w:val="2"/>
        </w:numPr>
        <w:spacing w:after="50" w:before="50" w:line="280"/>
      </w:pPr>
      <w:r>
        <w:rPr>
          <w:rFonts w:ascii="Calibri" w:cs="Calibri" w:eastAsia="Calibri" w:hAnsi="Calibri"/>
          <w:sz w:val="22"/>
          <w:szCs w:val="22"/>
        </w:rPr>
        <w:t xml:space="preserve">Agent observability dashboards (for platform team use) are out of scope for the current implementation phase and will be considered in a future release.</w:t>
      </w:r>
    </w:p>
    <w:p>
      <w:r>
        <w:br w:type="page"/>
      </w:r>
    </w:p>
    <w:p>
      <w:pPr>
        <w:pStyle w:val="Heading1"/>
        <w:spacing w:after="200" w:before="400"/>
      </w:pPr>
      <w:r>
        <w:rPr>
          <w:rFonts w:ascii="Calibri" w:cs="Calibri" w:eastAsia="Calibri" w:hAnsi="Calibri"/>
          <w:b/>
          <w:bCs/>
          <w:color w:val="1E3A8A"/>
          <w:sz w:val="34"/>
          <w:szCs w:val="34"/>
        </w:rPr>
        <w:t xml:space="preserve">4. User Personas and Roles</w:t>
      </w:r>
    </w:p>
    <w:p>
      <w:pPr>
        <w:spacing w:after="100" w:before="80" w:line="300"/>
        <w:jc w:val="both"/>
      </w:pPr>
      <w:r>
        <w:rPr>
          <w:rFonts w:ascii="Calibri" w:cs="Calibri" w:eastAsia="Calibri" w:hAnsi="Calibri"/>
          <w:sz w:val="22"/>
          <w:szCs w:val="22"/>
        </w:rPr>
        <w:t xml:space="preserve">The platform supports three distinct user roles, each with a tailored set of capabilities, personas, and access scope. Role-based access control (RBAC) is enforced across all modules and is fully audit-logged. The three roles and their relationships are summarised below before each is described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rPr>
          <w:tblHeader/>
        </w:trPr>
        <w:tc>
          <w:tcPr>
            <w:tcW w:type="dxa" w:w="1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Role</w:t>
            </w:r>
          </w:p>
        </w:tc>
        <w:tc>
          <w:tcPr>
            <w:tcW w:type="dxa" w:w="28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Persona</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Access Level</w:t>
            </w:r>
          </w:p>
        </w:tc>
        <w:tc>
          <w:tcPr>
            <w:tcW w:type="dxa" w:w="27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Self-Service Onboarding</w:t>
            </w:r>
          </w:p>
        </w:tc>
      </w:tr>
      <w:tr>
        <w:tc>
          <w:tcPr>
            <w:tcW w:type="dxa" w:w="1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Admin</w:t>
            </w:r>
          </w:p>
        </w:tc>
        <w:tc>
          <w:tcPr>
            <w:tcW w:type="dxa" w:w="2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Platform administrator, governance lead, super-user, ML platform owner</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Full platform — no module restrictions</w:t>
            </w:r>
          </w:p>
        </w:tc>
        <w:tc>
          <w:tcPr>
            <w:tcW w:type="dxa" w:w="27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Provisioned by existing Admin only</w:t>
            </w:r>
          </w:p>
        </w:tc>
      </w:tr>
      <w:tr>
        <w:tc>
          <w:tcPr>
            <w:tcW w:type="dxa" w:w="1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User</w:t>
            </w:r>
          </w:p>
        </w:tc>
        <w:tc>
          <w:tcPr>
            <w:tcW w:type="dxa" w:w="2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Model owner, data scientist, ML engineer, model risk analyst</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Operational — limited to assigned models and repositories</w:t>
            </w:r>
          </w:p>
        </w:tc>
        <w:tc>
          <w:tcPr>
            <w:tcW w:type="dxa" w:w="27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Provisioned by Admin (not self-service)</w:t>
            </w:r>
          </w:p>
        </w:tc>
      </w:tr>
      <w:tr>
        <w:tc>
          <w:tcPr>
            <w:tcW w:type="dxa" w:w="1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Viewer</w:t>
            </w:r>
          </w:p>
        </w:tc>
        <w:tc>
          <w:tcPr>
            <w:tcW w:type="dxa" w:w="2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Auditor, governance reviewer, business stakeholder, external reviewer</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Read-only — dashboards, inventory, trigger reports</w:t>
            </w:r>
          </w:p>
        </w:tc>
        <w:tc>
          <w:tcPr>
            <w:tcW w:type="dxa" w:w="27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Self-service request (Viewer only)</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4.1 Admin</w:t>
      </w:r>
    </w:p>
    <w:p>
      <w:pPr>
        <w:spacing w:after="100" w:before="80" w:line="300"/>
        <w:jc w:val="both"/>
      </w:pPr>
      <w:r>
        <w:rPr>
          <w:rFonts w:ascii="Calibri" w:cs="Calibri" w:eastAsia="Calibri" w:hAnsi="Calibri"/>
          <w:sz w:val="22"/>
          <w:szCs w:val="22"/>
        </w:rPr>
        <w:t xml:space="preserve">Persona: Platform administrator, governance lead, super-user, ML platform owner.</w:t>
      </w:r>
    </w:p>
    <w:p>
      <w:pPr>
        <w:spacing w:after="100" w:before="80" w:line="300"/>
        <w:jc w:val="both"/>
      </w:pPr>
      <w:r>
        <w:rPr>
          <w:rFonts w:ascii="Calibri" w:cs="Calibri" w:eastAsia="Calibri" w:hAnsi="Calibri"/>
          <w:sz w:val="22"/>
          <w:szCs w:val="22"/>
        </w:rPr>
        <w:t xml:space="preserve">Profile: Typically a member of the central ML platform, governance, or risk technology team. Responsible for the operational integrity of the platform and the governance posture of the model portfolio. Has full visibility into all models, users, agent runs, audit logs, and configuration.</w:t>
      </w:r>
    </w:p>
    <w:p>
      <w:pPr>
        <w:spacing w:after="80" w:before="80"/>
      </w:pPr>
      <w:r>
        <w:t xml:space="preserve"/>
      </w:r>
    </w:p>
    <w:p>
      <w:pPr>
        <w:pStyle w:val="Heading3"/>
        <w:spacing w:after="120" w:before="220"/>
      </w:pPr>
      <w:r>
        <w:rPr>
          <w:rFonts w:ascii="Calibri" w:cs="Calibri" w:eastAsia="Calibri" w:hAnsi="Calibri"/>
          <w:b/>
          <w:bCs/>
          <w:color w:val="2563EB"/>
          <w:sz w:val="23"/>
          <w:szCs w:val="23"/>
        </w:rPr>
        <w:t xml:space="preserve">Capabilities</w:t>
      </w:r>
    </w:p>
    <w:p>
      <w:pPr>
        <w:pStyle w:val="ListParagraph"/>
        <w:numPr>
          <w:ilvl w:val="0"/>
          <w:numId w:val="2"/>
        </w:numPr>
        <w:spacing w:after="50" w:before="50" w:line="280"/>
      </w:pPr>
      <w:r>
        <w:rPr>
          <w:rFonts w:ascii="Calibri" w:cs="Calibri" w:eastAsia="Calibri" w:hAnsi="Calibri"/>
          <w:sz w:val="22"/>
          <w:szCs w:val="22"/>
        </w:rPr>
        <w:t xml:space="preserve">Register, edit, archive, and delete models in the model inventory.</w:t>
      </w:r>
    </w:p>
    <w:p>
      <w:pPr>
        <w:pStyle w:val="ListParagraph"/>
        <w:numPr>
          <w:ilvl w:val="0"/>
          <w:numId w:val="2"/>
        </w:numPr>
        <w:spacing w:after="50" w:before="50" w:line="280"/>
      </w:pPr>
      <w:r>
        <w:rPr>
          <w:rFonts w:ascii="Calibri" w:cs="Calibri" w:eastAsia="Calibri" w:hAnsi="Calibri"/>
          <w:sz w:val="22"/>
          <w:szCs w:val="22"/>
        </w:rPr>
        <w:t xml:space="preserve">Provision and revoke User and Viewer access through the Access Control Center.</w:t>
      </w:r>
    </w:p>
    <w:p>
      <w:pPr>
        <w:pStyle w:val="ListParagraph"/>
        <w:numPr>
          <w:ilvl w:val="0"/>
          <w:numId w:val="2"/>
        </w:numPr>
        <w:spacing w:after="50" w:before="50" w:line="280"/>
      </w:pPr>
      <w:r>
        <w:rPr>
          <w:rFonts w:ascii="Calibri" w:cs="Calibri" w:eastAsia="Calibri" w:hAnsi="Calibri"/>
          <w:sz w:val="22"/>
          <w:szCs w:val="22"/>
        </w:rPr>
        <w:t xml:space="preserve">Approve or reject Viewer access requests routed from the self-service access request flow.</w:t>
      </w:r>
    </w:p>
    <w:p>
      <w:pPr>
        <w:pStyle w:val="ListParagraph"/>
        <w:numPr>
          <w:ilvl w:val="0"/>
          <w:numId w:val="2"/>
        </w:numPr>
        <w:spacing w:after="50" w:before="50" w:line="280"/>
      </w:pPr>
      <w:r>
        <w:rPr>
          <w:rFonts w:ascii="Calibri" w:cs="Calibri" w:eastAsia="Calibri" w:hAnsi="Calibri"/>
          <w:sz w:val="22"/>
          <w:szCs w:val="22"/>
        </w:rPr>
        <w:t xml:space="preserve">Review and action model access requests and model deletion requests raised by Users (routed through the Access Control Center).</w:t>
      </w:r>
    </w:p>
    <w:p>
      <w:pPr>
        <w:pStyle w:val="ListParagraph"/>
        <w:numPr>
          <w:ilvl w:val="0"/>
          <w:numId w:val="2"/>
        </w:numPr>
        <w:spacing w:after="50" w:before="50" w:line="280"/>
      </w:pPr>
      <w:r>
        <w:rPr>
          <w:rFonts w:ascii="Calibri" w:cs="Calibri" w:eastAsia="Calibri" w:hAnsi="Calibri"/>
          <w:sz w:val="22"/>
          <w:szCs w:val="22"/>
        </w:rPr>
        <w:t xml:space="preserve">Configure monitoring metrics, thresholds, reference windows, fairness segments, and validation rules.</w:t>
      </w:r>
    </w:p>
    <w:p>
      <w:pPr>
        <w:pStyle w:val="ListParagraph"/>
        <w:numPr>
          <w:ilvl w:val="0"/>
          <w:numId w:val="2"/>
        </w:numPr>
        <w:spacing w:after="50" w:before="50" w:line="280"/>
      </w:pPr>
      <w:r>
        <w:rPr>
          <w:rFonts w:ascii="Calibri" w:cs="Calibri" w:eastAsia="Calibri" w:hAnsi="Calibri"/>
          <w:sz w:val="22"/>
          <w:szCs w:val="22"/>
        </w:rPr>
        <w:t xml:space="preserve">Set up and manage data ingestion pipelines, source connections, and ingestion schedules.</w:t>
      </w:r>
    </w:p>
    <w:p>
      <w:pPr>
        <w:pStyle w:val="ListParagraph"/>
        <w:numPr>
          <w:ilvl w:val="0"/>
          <w:numId w:val="2"/>
        </w:numPr>
        <w:spacing w:after="50" w:before="50" w:line="280"/>
      </w:pPr>
      <w:r>
        <w:rPr>
          <w:rFonts w:ascii="Calibri" w:cs="Calibri" w:eastAsia="Calibri" w:hAnsi="Calibri"/>
          <w:sz w:val="22"/>
          <w:szCs w:val="22"/>
        </w:rPr>
        <w:t xml:space="preserve">Configure schedulers for all agent jobs and batch runs.</w:t>
      </w:r>
    </w:p>
    <w:p>
      <w:pPr>
        <w:pStyle w:val="ListParagraph"/>
        <w:numPr>
          <w:ilvl w:val="0"/>
          <w:numId w:val="2"/>
        </w:numPr>
        <w:spacing w:after="50" w:before="50" w:line="280"/>
      </w:pPr>
      <w:r>
        <w:rPr>
          <w:rFonts w:ascii="Calibri" w:cs="Calibri" w:eastAsia="Calibri" w:hAnsi="Calibri"/>
          <w:sz w:val="22"/>
          <w:szCs w:val="22"/>
        </w:rPr>
        <w:t xml:space="preserve">Access full audit logs, compliance reports, and governance dashboards.</w:t>
      </w:r>
    </w:p>
    <w:p>
      <w:pPr>
        <w:pStyle w:val="ListParagraph"/>
        <w:numPr>
          <w:ilvl w:val="0"/>
          <w:numId w:val="2"/>
        </w:numPr>
        <w:spacing w:after="50" w:before="50" w:line="280"/>
      </w:pPr>
      <w:r>
        <w:rPr>
          <w:rFonts w:ascii="Calibri" w:cs="Calibri" w:eastAsia="Calibri" w:hAnsi="Calibri"/>
          <w:sz w:val="22"/>
          <w:szCs w:val="22"/>
        </w:rPr>
        <w:t xml:space="preserve">Set and manage data retention windows for all three retention categories.</w:t>
      </w:r>
    </w:p>
    <w:p>
      <w:pPr>
        <w:pStyle w:val="ListParagraph"/>
        <w:numPr>
          <w:ilvl w:val="0"/>
          <w:numId w:val="2"/>
        </w:numPr>
        <w:spacing w:after="50" w:before="50" w:line="280"/>
      </w:pPr>
      <w:r>
        <w:rPr>
          <w:rFonts w:ascii="Calibri" w:cs="Calibri" w:eastAsia="Calibri" w:hAnsi="Calibri"/>
          <w:sz w:val="22"/>
          <w:szCs w:val="22"/>
        </w:rPr>
        <w:t xml:space="preserve">Review system health, agent run status, and platform-level operational metrics.</w:t>
      </w:r>
    </w:p>
    <w:p>
      <w:pPr>
        <w:spacing w:after="80" w:before="80"/>
      </w:pPr>
      <w:r>
        <w:t xml:space="preserve"/>
      </w:r>
    </w:p>
    <w:p>
      <w:pPr>
        <w:pStyle w:val="Heading3"/>
        <w:spacing w:after="120" w:before="220"/>
      </w:pPr>
      <w:r>
        <w:rPr>
          <w:rFonts w:ascii="Calibri" w:cs="Calibri" w:eastAsia="Calibri" w:hAnsi="Calibri"/>
          <w:b/>
          <w:bCs/>
          <w:color w:val="2563EB"/>
          <w:sz w:val="23"/>
          <w:szCs w:val="23"/>
        </w:rPr>
        <w:t xml:space="preserve">Homepage Tiles (Left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48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Manage Model Inventory</w:t>
            </w:r>
          </w:p>
        </w:tc>
        <w:tc>
          <w:tcPr>
            <w:tcW w:type="dxa" w:w="6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Register, edit, archive, and delete models; manage model metadata and lifecycle status.</w:t>
            </w:r>
          </w:p>
        </w:tc>
      </w:tr>
      <w:tr>
        <w:tc>
          <w:tcPr>
            <w:tcW w:type="dxa" w:w="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Configure Metrics</w:t>
            </w:r>
          </w:p>
        </w:tc>
        <w:tc>
          <w:tcPr>
            <w:tcW w:type="dxa" w:w="6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Define and configure monitoring metrics, thresholds, bias segments, and validation rules.</w:t>
            </w:r>
          </w:p>
        </w:tc>
      </w:tr>
      <w:tr>
        <w:tc>
          <w:tcPr>
            <w:tcW w:type="dxa" w:w="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Model Data Ingestion</w:t>
            </w:r>
          </w:p>
        </w:tc>
        <w:tc>
          <w:tcPr>
            <w:tcW w:type="dxa" w:w="6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Set up and manage data ingestion pipelines, source connections, and ingestion schedules.</w:t>
            </w:r>
          </w:p>
        </w:tc>
      </w:tr>
      <w:tr>
        <w:tc>
          <w:tcPr>
            <w:tcW w:type="dxa" w:w="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4</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Access Control Center</w:t>
            </w:r>
          </w:p>
        </w:tc>
        <w:tc>
          <w:tcPr>
            <w:tcW w:type="dxa" w:w="6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Review and approve access requests (Viewer self-service + User-raised model/deletion requests), provision and revoke roles. Displays a badge with count of pending requests.</w:t>
            </w:r>
          </w:p>
        </w:tc>
      </w:tr>
      <w:tr>
        <w:tc>
          <w:tcPr>
            <w:tcW w:type="dxa" w:w="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5</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Set-up Scheduler</w:t>
            </w:r>
          </w:p>
        </w:tc>
        <w:tc>
          <w:tcPr>
            <w:tcW w:type="dxa" w:w="6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Configure monitoring job schedules, batch runs, and recurring agent execution tasks.</w:t>
            </w:r>
          </w:p>
        </w:tc>
      </w:tr>
      <w:tr>
        <w:tc>
          <w:tcPr>
            <w:tcW w:type="dxa" w:w="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6</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Governance</w:t>
            </w:r>
          </w:p>
        </w:tc>
        <w:tc>
          <w:tcPr>
            <w:tcW w:type="dxa" w:w="6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Access audit logs, compliance reports, retention settings, policy configuration, and governance oversight dashboards.</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4.2 User</w:t>
      </w:r>
    </w:p>
    <w:p>
      <w:pPr>
        <w:spacing w:after="100" w:before="80" w:line="300"/>
        <w:jc w:val="both"/>
      </w:pPr>
      <w:r>
        <w:rPr>
          <w:rFonts w:ascii="Calibri" w:cs="Calibri" w:eastAsia="Calibri" w:hAnsi="Calibri"/>
          <w:sz w:val="22"/>
          <w:szCs w:val="22"/>
        </w:rPr>
        <w:t xml:space="preserve">Persona: Model owner, data scientist, ML engineer, model risk analyst.</w:t>
      </w:r>
    </w:p>
    <w:p>
      <w:pPr>
        <w:spacing w:after="100" w:before="80" w:line="300"/>
        <w:jc w:val="both"/>
      </w:pPr>
      <w:r>
        <w:rPr>
          <w:rFonts w:ascii="Calibri" w:cs="Calibri" w:eastAsia="Calibri" w:hAnsi="Calibri"/>
          <w:sz w:val="22"/>
          <w:szCs w:val="22"/>
        </w:rPr>
        <w:t xml:space="preserve">Profile: A practitioner responsible for the day-to-day operation of one or more deployed models. Uses the platform to monitor their models, investigate alerts, perform root-cause analysis, and manage access requests. Access is limited to models and repositories for which the user has been granted permission by an Admin.</w:t>
      </w:r>
    </w:p>
    <w:p>
      <w:pPr>
        <w:spacing w:after="80" w:before="80"/>
      </w:pPr>
      <w:r>
        <w:t xml:space="preserve"/>
      </w:r>
    </w:p>
    <w:p>
      <w:pPr>
        <w:pStyle w:val="Heading3"/>
        <w:spacing w:after="120" w:before="220"/>
      </w:pPr>
      <w:r>
        <w:rPr>
          <w:rFonts w:ascii="Calibri" w:cs="Calibri" w:eastAsia="Calibri" w:hAnsi="Calibri"/>
          <w:b/>
          <w:bCs/>
          <w:color w:val="2563EB"/>
          <w:sz w:val="23"/>
          <w:szCs w:val="23"/>
        </w:rPr>
        <w:t xml:space="preserve">Capabilities</w:t>
      </w:r>
    </w:p>
    <w:p>
      <w:pPr>
        <w:pStyle w:val="ListParagraph"/>
        <w:numPr>
          <w:ilvl w:val="0"/>
          <w:numId w:val="2"/>
        </w:numPr>
        <w:spacing w:after="50" w:before="50" w:line="280"/>
      </w:pPr>
      <w:r>
        <w:rPr>
          <w:rFonts w:ascii="Calibri" w:cs="Calibri" w:eastAsia="Calibri" w:hAnsi="Calibri"/>
          <w:sz w:val="22"/>
          <w:szCs w:val="22"/>
        </w:rPr>
        <w:t xml:space="preserve">View model inventory — limited to models the user owns or has been granted access to.</w:t>
      </w:r>
    </w:p>
    <w:p>
      <w:pPr>
        <w:pStyle w:val="ListParagraph"/>
        <w:numPr>
          <w:ilvl w:val="0"/>
          <w:numId w:val="2"/>
        </w:numPr>
        <w:spacing w:after="50" w:before="50" w:line="280"/>
      </w:pPr>
      <w:r>
        <w:rPr>
          <w:rFonts w:ascii="Calibri" w:cs="Calibri" w:eastAsia="Calibri" w:hAnsi="Calibri"/>
          <w:sz w:val="22"/>
          <w:szCs w:val="22"/>
        </w:rPr>
        <w:t xml:space="preserve">View dashboards summarising the health, drift status, and performance trends of their models.</w:t>
      </w:r>
    </w:p>
    <w:p>
      <w:pPr>
        <w:pStyle w:val="ListParagraph"/>
        <w:numPr>
          <w:ilvl w:val="0"/>
          <w:numId w:val="2"/>
        </w:numPr>
        <w:spacing w:after="50" w:before="50" w:line="280"/>
      </w:pPr>
      <w:r>
        <w:rPr>
          <w:rFonts w:ascii="Calibri" w:cs="Calibri" w:eastAsia="Calibri" w:hAnsi="Calibri"/>
          <w:sz w:val="22"/>
          <w:szCs w:val="22"/>
        </w:rPr>
        <w:t xml:space="preserve">Perform model monitoring activities — review model drift, performance drift, and bias trends.</w:t>
      </w:r>
    </w:p>
    <w:p>
      <w:pPr>
        <w:pStyle w:val="ListParagraph"/>
        <w:numPr>
          <w:ilvl w:val="0"/>
          <w:numId w:val="2"/>
        </w:numPr>
        <w:spacing w:after="50" w:before="50" w:line="280"/>
      </w:pPr>
      <w:r>
        <w:rPr>
          <w:rFonts w:ascii="Calibri" w:cs="Calibri" w:eastAsia="Calibri" w:hAnsi="Calibri"/>
          <w:sz w:val="22"/>
          <w:szCs w:val="22"/>
        </w:rPr>
        <w:t xml:space="preserve">Initiate or review on-demand root-cause analysis on trigger events.</w:t>
      </w:r>
    </w:p>
    <w:p>
      <w:pPr>
        <w:pStyle w:val="ListParagraph"/>
        <w:numPr>
          <w:ilvl w:val="0"/>
          <w:numId w:val="2"/>
        </w:numPr>
        <w:spacing w:after="50" w:before="50" w:line="280"/>
      </w:pPr>
      <w:r>
        <w:rPr>
          <w:rFonts w:ascii="Calibri" w:cs="Calibri" w:eastAsia="Calibri" w:hAnsi="Calibri"/>
          <w:sz w:val="22"/>
          <w:szCs w:val="22"/>
        </w:rPr>
        <w:t xml:space="preserve">View trigger hit reports for their accessible models.</w:t>
      </w:r>
    </w:p>
    <w:p>
      <w:pPr>
        <w:pStyle w:val="ListParagraph"/>
        <w:numPr>
          <w:ilvl w:val="0"/>
          <w:numId w:val="2"/>
        </w:numPr>
        <w:spacing w:after="50" w:before="50" w:line="280"/>
      </w:pPr>
      <w:r>
        <w:rPr>
          <w:rFonts w:ascii="Calibri" w:cs="Calibri" w:eastAsia="Calibri" w:hAnsi="Calibri"/>
          <w:sz w:val="22"/>
          <w:szCs w:val="22"/>
        </w:rPr>
        <w:t xml:space="preserve">Access repositories holding model artefacts and download saved reports from the Saved Reports sub-section.</w:t>
      </w:r>
    </w:p>
    <w:p>
      <w:pPr>
        <w:pStyle w:val="ListParagraph"/>
        <w:numPr>
          <w:ilvl w:val="0"/>
          <w:numId w:val="2"/>
        </w:numPr>
        <w:spacing w:after="50" w:before="50" w:line="280"/>
      </w:pPr>
      <w:r>
        <w:rPr>
          <w:rFonts w:ascii="Calibri" w:cs="Calibri" w:eastAsia="Calibri" w:hAnsi="Calibri"/>
          <w:sz w:val="22"/>
          <w:szCs w:val="22"/>
        </w:rPr>
        <w:t xml:space="preserve">Download reports directly from the Model Monitoring module (primary download location).</w:t>
      </w:r>
    </w:p>
    <w:p>
      <w:pPr>
        <w:pStyle w:val="ListParagraph"/>
        <w:numPr>
          <w:ilvl w:val="0"/>
          <w:numId w:val="2"/>
        </w:numPr>
        <w:spacing w:after="50" w:before="50" w:line="280"/>
      </w:pPr>
      <w:r>
        <w:rPr>
          <w:rFonts w:ascii="Calibri" w:cs="Calibri" w:eastAsia="Calibri" w:hAnsi="Calibri"/>
          <w:sz w:val="22"/>
          <w:szCs w:val="22"/>
        </w:rPr>
        <w:t xml:space="preserve">Raise a model access request — requesting access to a model not currently assigned to them (routed to Admin via Access Control Center).</w:t>
      </w:r>
    </w:p>
    <w:p>
      <w:pPr>
        <w:pStyle w:val="ListParagraph"/>
        <w:numPr>
          <w:ilvl w:val="0"/>
          <w:numId w:val="2"/>
        </w:numPr>
        <w:spacing w:after="50" w:before="50" w:line="280"/>
      </w:pPr>
      <w:r>
        <w:rPr>
          <w:rFonts w:ascii="Calibri" w:cs="Calibri" w:eastAsia="Calibri" w:hAnsi="Calibri"/>
          <w:sz w:val="22"/>
          <w:szCs w:val="22"/>
        </w:rPr>
        <w:t xml:space="preserve">Raise a model deletion request — requesting the Admin to delete a specific model from the inventory (routed to Admin via Access Control Center).</w:t>
      </w:r>
    </w:p>
    <w:p>
      <w:pPr>
        <w:spacing w:after="80" w:before="80"/>
      </w:pPr>
      <w:r>
        <w:t xml:space="preserve"/>
      </w:r>
    </w:p>
    <w:p>
      <w:pPr>
        <w:spacing w:after="100" w:before="80" w:line="300"/>
        <w:jc w:val="both"/>
      </w:pPr>
      <w:r>
        <w:rPr>
          <w:rFonts w:ascii="Calibri" w:cs="Calibri" w:eastAsia="Calibri" w:hAnsi="Calibri"/>
          <w:i/>
          <w:iCs/>
          <w:color w:val="64748B"/>
          <w:sz w:val="22"/>
          <w:szCs w:val="22"/>
        </w:rPr>
        <w:t xml:space="preserve">Note — User Raise Request: Both request types (model access and model deletion) are available from within the User: Model Inventory workflow under a dedicated sub-section labelled Raise Request. Both route to the Admin's Access Control Center for review, and the requesting User is notified by email on the outcome.</w:t>
      </w:r>
    </w:p>
    <w:p>
      <w:pPr>
        <w:spacing w:after="80" w:before="80"/>
      </w:pPr>
      <w:r>
        <w:t xml:space="preserve"/>
      </w:r>
    </w:p>
    <w:p>
      <w:pPr>
        <w:pStyle w:val="Heading3"/>
        <w:spacing w:after="120" w:before="220"/>
      </w:pPr>
      <w:r>
        <w:rPr>
          <w:rFonts w:ascii="Calibri" w:cs="Calibri" w:eastAsia="Calibri" w:hAnsi="Calibri"/>
          <w:b/>
          <w:bCs/>
          <w:color w:val="2563EB"/>
          <w:sz w:val="23"/>
          <w:szCs w:val="23"/>
        </w:rPr>
        <w:t xml:space="preserve">Homepage Tiles (Left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48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Dashboard</w:t>
            </w:r>
          </w:p>
        </w:tc>
        <w:tc>
          <w:tcPr>
            <w:tcW w:type="dxa" w:w="6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Consolidated monitoring KPIs, model health summaries, drift/performance trend widgets, and personalised alerts.</w:t>
            </w:r>
          </w:p>
        </w:tc>
      </w:tr>
      <w:tr>
        <w:tc>
          <w:tcPr>
            <w:tcW w:type="dxa" w:w="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Model Inventory</w:t>
            </w:r>
          </w:p>
        </w:tc>
        <w:tc>
          <w:tcPr>
            <w:tcW w:type="dxa" w:w="6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Browse and view models the user owns or has been granted access to; raise model access or deletion requests via the Raise Request sub-section.</w:t>
            </w:r>
          </w:p>
        </w:tc>
      </w:tr>
      <w:tr>
        <w:tc>
          <w:tcPr>
            <w:tcW w:type="dxa" w:w="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Model Monitoring</w:t>
            </w:r>
          </w:p>
        </w:tc>
        <w:tc>
          <w:tcPr>
            <w:tcW w:type="dxa" w:w="6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Perform monitoring — review drift, performance, and bias outputs; initiate on-demand RCA; download reports.</w:t>
            </w:r>
          </w:p>
        </w:tc>
      </w:tr>
      <w:tr>
        <w:tc>
          <w:tcPr>
            <w:tcW w:type="dxa" w:w="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4</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Trigger Hit Report</w:t>
            </w:r>
          </w:p>
        </w:tc>
        <w:tc>
          <w:tcPr>
            <w:tcW w:type="dxa" w:w="6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View triggered alerts, threshold breaches, and validation events for accessible models. Displays a badge with count of unread alerts.</w:t>
            </w:r>
          </w:p>
        </w:tc>
      </w:tr>
      <w:tr>
        <w:tc>
          <w:tcPr>
            <w:tcW w:type="dxa" w:w="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5</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Repository</w:t>
            </w:r>
          </w:p>
        </w:tc>
        <w:tc>
          <w:tcPr>
            <w:tcW w:type="dxa" w:w="6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Access model artefacts and repositories; view and re-download saved reports from the Saved Reports sub-section; request access to additional repositories.</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4.3 Viewer (External / Read-Only)</w:t>
      </w:r>
    </w:p>
    <w:p>
      <w:pPr>
        <w:spacing w:after="100" w:before="80" w:line="300"/>
        <w:jc w:val="both"/>
      </w:pPr>
      <w:r>
        <w:rPr>
          <w:rFonts w:ascii="Calibri" w:cs="Calibri" w:eastAsia="Calibri" w:hAnsi="Calibri"/>
          <w:sz w:val="22"/>
          <w:szCs w:val="22"/>
        </w:rPr>
        <w:t xml:space="preserve">Persona: Auditor, governance reviewer, business stakeholder, external reviewer.</w:t>
      </w:r>
    </w:p>
    <w:p>
      <w:pPr>
        <w:spacing w:after="100" w:before="80" w:line="300"/>
        <w:jc w:val="both"/>
      </w:pPr>
      <w:r>
        <w:rPr>
          <w:rFonts w:ascii="Calibri" w:cs="Calibri" w:eastAsia="Calibri" w:hAnsi="Calibri"/>
          <w:sz w:val="22"/>
          <w:szCs w:val="22"/>
        </w:rPr>
        <w:t xml:space="preserve">Profile: A stakeholder who requires visibility into the model portfolio for oversight, audit, compliance, or business-review purposes, but does not perform operational tasks. Does not own models and is not involved in day-to-day monitoring activities. The specific authentication mechanism for external Viewers (i.e., whether they authenticate via corporate SSO or an alternative identity provider) is a parked open item (OPN-G-008) pending a decision from the Security and Identity team.</w:t>
      </w:r>
    </w:p>
    <w:p>
      <w:pPr>
        <w:spacing w:after="80" w:before="80"/>
      </w:pPr>
      <w:r>
        <w:t xml:space="preserve"/>
      </w:r>
    </w:p>
    <w:p>
      <w:pPr>
        <w:pStyle w:val="Heading3"/>
        <w:spacing w:after="120" w:before="220"/>
      </w:pPr>
      <w:r>
        <w:rPr>
          <w:rFonts w:ascii="Calibri" w:cs="Calibri" w:eastAsia="Calibri" w:hAnsi="Calibri"/>
          <w:b/>
          <w:bCs/>
          <w:color w:val="2563EB"/>
          <w:sz w:val="23"/>
          <w:szCs w:val="23"/>
        </w:rPr>
        <w:t xml:space="preserve">Capabilities</w:t>
      </w:r>
    </w:p>
    <w:p>
      <w:pPr>
        <w:pStyle w:val="ListParagraph"/>
        <w:numPr>
          <w:ilvl w:val="0"/>
          <w:numId w:val="2"/>
        </w:numPr>
        <w:spacing w:after="50" w:before="50" w:line="280"/>
      </w:pPr>
      <w:r>
        <w:rPr>
          <w:rFonts w:ascii="Calibri" w:cs="Calibri" w:eastAsia="Calibri" w:hAnsi="Calibri"/>
          <w:sz w:val="22"/>
          <w:szCs w:val="22"/>
        </w:rPr>
        <w:t xml:space="preserve">View dashboards in read-only mode — KPIs, model health summaries, and aggregated compliance reports.</w:t>
      </w:r>
    </w:p>
    <w:p>
      <w:pPr>
        <w:pStyle w:val="ListParagraph"/>
        <w:numPr>
          <w:ilvl w:val="0"/>
          <w:numId w:val="2"/>
        </w:numPr>
        <w:spacing w:after="50" w:before="50" w:line="280"/>
      </w:pPr>
      <w:r>
        <w:rPr>
          <w:rFonts w:ascii="Calibri" w:cs="Calibri" w:eastAsia="Calibri" w:hAnsi="Calibri"/>
          <w:sz w:val="22"/>
          <w:szCs w:val="22"/>
        </w:rPr>
        <w:t xml:space="preserve">Browse the model inventory in read-only mode — limited to models within the Viewer's defined access scope.</w:t>
      </w:r>
    </w:p>
    <w:p>
      <w:pPr>
        <w:pStyle w:val="ListParagraph"/>
        <w:numPr>
          <w:ilvl w:val="0"/>
          <w:numId w:val="2"/>
        </w:numPr>
        <w:spacing w:after="50" w:before="50" w:line="280"/>
      </w:pPr>
      <w:r>
        <w:rPr>
          <w:rFonts w:ascii="Calibri" w:cs="Calibri" w:eastAsia="Calibri" w:hAnsi="Calibri"/>
          <w:sz w:val="22"/>
          <w:szCs w:val="22"/>
        </w:rPr>
        <w:t xml:space="preserve">View trigger hit reports for accessible models in read-only mode.</w:t>
      </w:r>
    </w:p>
    <w:p>
      <w:pPr>
        <w:pStyle w:val="ListParagraph"/>
        <w:numPr>
          <w:ilvl w:val="0"/>
          <w:numId w:val="2"/>
        </w:numPr>
        <w:spacing w:after="50" w:before="50" w:line="280"/>
      </w:pPr>
      <w:r>
        <w:rPr>
          <w:rFonts w:ascii="Calibri" w:cs="Calibri" w:eastAsia="Calibri" w:hAnsi="Calibri"/>
          <w:sz w:val="22"/>
          <w:szCs w:val="22"/>
        </w:rPr>
        <w:t xml:space="preserve">View aggregated compliance and governance summaries.</w:t>
      </w:r>
    </w:p>
    <w:p>
      <w:pPr>
        <w:spacing w:after="80" w:before="80"/>
      </w:pPr>
      <w:r>
        <w:t xml:space="preserve"/>
      </w:r>
    </w:p>
    <w:p>
      <w:pPr>
        <w:pStyle w:val="Heading3"/>
        <w:spacing w:after="120" w:before="220"/>
      </w:pPr>
      <w:r>
        <w:rPr>
          <w:rFonts w:ascii="Calibri" w:cs="Calibri" w:eastAsia="Calibri" w:hAnsi="Calibri"/>
          <w:b/>
          <w:bCs/>
          <w:color w:val="2563EB"/>
          <w:sz w:val="23"/>
          <w:szCs w:val="23"/>
        </w:rPr>
        <w:t xml:space="preserve">Restrictions</w:t>
      </w:r>
    </w:p>
    <w:p>
      <w:pPr>
        <w:pStyle w:val="ListParagraph"/>
        <w:numPr>
          <w:ilvl w:val="0"/>
          <w:numId w:val="2"/>
        </w:numPr>
        <w:spacing w:after="50" w:before="50" w:line="280"/>
      </w:pPr>
      <w:r>
        <w:rPr>
          <w:rFonts w:ascii="Calibri" w:cs="Calibri" w:eastAsia="Calibri" w:hAnsi="Calibri"/>
          <w:sz w:val="22"/>
          <w:szCs w:val="22"/>
        </w:rPr>
        <w:t xml:space="preserve">No edit, configure, request, delete, approve, or submit actions of any kind.</w:t>
      </w:r>
    </w:p>
    <w:p>
      <w:pPr>
        <w:pStyle w:val="ListParagraph"/>
        <w:numPr>
          <w:ilvl w:val="0"/>
          <w:numId w:val="2"/>
        </w:numPr>
        <w:spacing w:after="50" w:before="50" w:line="280"/>
      </w:pPr>
      <w:r>
        <w:rPr>
          <w:rFonts w:ascii="Calibri" w:cs="Calibri" w:eastAsia="Calibri" w:hAnsi="Calibri"/>
          <w:sz w:val="22"/>
          <w:szCs w:val="22"/>
        </w:rPr>
        <w:t xml:space="preserve">No access to Repository, Model Monitoring (RCA actions), Configure Metrics, Model Data Ingestion, Access Control Center, Set-up Scheduler, or Governance modules.</w:t>
      </w:r>
    </w:p>
    <w:p>
      <w:pPr>
        <w:pStyle w:val="ListParagraph"/>
        <w:numPr>
          <w:ilvl w:val="0"/>
          <w:numId w:val="2"/>
        </w:numPr>
        <w:spacing w:after="50" w:before="50" w:line="280"/>
      </w:pPr>
      <w:r>
        <w:rPr>
          <w:rFonts w:ascii="Calibri" w:cs="Calibri" w:eastAsia="Calibri" w:hAnsi="Calibri"/>
          <w:sz w:val="22"/>
          <w:szCs w:val="22"/>
        </w:rPr>
        <w:t xml:space="preserve">A persistent Read-Only Mode badge is displayed in the header throughout the Viewer session.</w:t>
      </w:r>
    </w:p>
    <w:p>
      <w:pPr>
        <w:pStyle w:val="ListParagraph"/>
        <w:numPr>
          <w:ilvl w:val="0"/>
          <w:numId w:val="2"/>
        </w:numPr>
        <w:spacing w:after="50" w:before="50" w:line="280"/>
      </w:pPr>
      <w:r>
        <w:rPr>
          <w:rFonts w:ascii="Calibri" w:cs="Calibri" w:eastAsia="Calibri" w:hAnsi="Calibri"/>
          <w:sz w:val="22"/>
          <w:szCs w:val="22"/>
        </w:rPr>
        <w:t xml:space="preserve">Self-service access requests for new users are limited to the Viewer role — User and Admin roles are provisioned exclusively by Admins.</w:t>
      </w:r>
    </w:p>
    <w:p>
      <w:pPr>
        <w:pStyle w:val="ListParagraph"/>
        <w:numPr>
          <w:ilvl w:val="0"/>
          <w:numId w:val="2"/>
        </w:numPr>
        <w:spacing w:after="50" w:before="50" w:line="280"/>
      </w:pPr>
      <w:r>
        <w:rPr>
          <w:rFonts w:ascii="Calibri" w:cs="Calibri" w:eastAsia="Calibri" w:hAnsi="Calibri"/>
          <w:sz w:val="22"/>
          <w:szCs w:val="22"/>
        </w:rPr>
        <w:t xml:space="preserve">Direct URL navigation to non-Viewer modules is rejected with a 403 — Access Denied response and logged in the audit trail.</w:t>
      </w:r>
    </w:p>
    <w:p>
      <w:pPr>
        <w:spacing w:after="80" w:before="80"/>
      </w:pPr>
      <w:r>
        <w:t xml:space="preserve"/>
      </w:r>
    </w:p>
    <w:p>
      <w:pPr>
        <w:pStyle w:val="Heading3"/>
        <w:spacing w:after="120" w:before="220"/>
      </w:pPr>
      <w:r>
        <w:rPr>
          <w:rFonts w:ascii="Calibri" w:cs="Calibri" w:eastAsia="Calibri" w:hAnsi="Calibri"/>
          <w:b/>
          <w:bCs/>
          <w:color w:val="2563EB"/>
          <w:sz w:val="23"/>
          <w:szCs w:val="23"/>
        </w:rPr>
        <w:t xml:space="preserve">Homepage Tiles (Left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48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Dashboard</w:t>
            </w:r>
          </w:p>
        </w:tc>
        <w:tc>
          <w:tcPr>
            <w:tcW w:type="dxa" w:w="6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Read-only monitoring KPIs, model health summaries, and aggregated reports.</w:t>
            </w:r>
          </w:p>
        </w:tc>
      </w:tr>
      <w:tr>
        <w:tc>
          <w:tcPr>
            <w:tcW w:type="dxa" w:w="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Model Inventory</w:t>
            </w:r>
          </w:p>
        </w:tc>
        <w:tc>
          <w:tcPr>
            <w:tcW w:type="dxa" w:w="648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Browse the model inventory in read-only mode — no edit, configure, or request actions.</w:t>
            </w:r>
          </w:p>
        </w:tc>
      </w:tr>
      <w:tr>
        <w:tc>
          <w:tcPr>
            <w:tcW w:type="dxa" w:w="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Trigger Hit Report</w:t>
            </w:r>
          </w:p>
        </w:tc>
        <w:tc>
          <w:tcPr>
            <w:tcW w:type="dxa" w:w="648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View triggered alerts and threshold breach reports for accessible models — view only.</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4.4 Multi-Role Users</w:t>
      </w:r>
    </w:p>
    <w:p>
      <w:pPr>
        <w:spacing w:after="100" w:before="80" w:line="300"/>
        <w:jc w:val="both"/>
      </w:pPr>
      <w:r>
        <w:rPr>
          <w:rFonts w:ascii="Calibri" w:cs="Calibri" w:eastAsia="Calibri" w:hAnsi="Calibri"/>
          <w:sz w:val="22"/>
          <w:szCs w:val="22"/>
        </w:rPr>
        <w:t xml:space="preserve">A single user may be assigned multiple roles — for example, Admin + User, or User + Viewer. Multi-role handling is fully specified in Workflow 1 (Landing Page &amp; Authentication BRD). The key principles are:</w:t>
      </w:r>
    </w:p>
    <w:p>
      <w:pPr>
        <w:pStyle w:val="ListParagraph"/>
        <w:numPr>
          <w:ilvl w:val="0"/>
          <w:numId w:val="2"/>
        </w:numPr>
        <w:spacing w:after="50" w:before="50" w:line="280"/>
      </w:pPr>
      <w:r>
        <w:rPr>
          <w:rFonts w:ascii="Calibri" w:cs="Calibri" w:eastAsia="Calibri" w:hAnsi="Calibri"/>
          <w:sz w:val="22"/>
          <w:szCs w:val="22"/>
        </w:rPr>
        <w:t xml:space="preserve">Upon login, the system defaults to the highest-privilege role's homepage. Privilege ordering: Admin &gt; User &gt; Viewer.</w:t>
      </w:r>
    </w:p>
    <w:p>
      <w:pPr>
        <w:pStyle w:val="ListParagraph"/>
        <w:numPr>
          <w:ilvl w:val="0"/>
          <w:numId w:val="2"/>
        </w:numPr>
        <w:spacing w:after="50" w:before="50" w:line="280"/>
      </w:pPr>
      <w:r>
        <w:rPr>
          <w:rFonts w:ascii="Calibri" w:cs="Calibri" w:eastAsia="Calibri" w:hAnsi="Calibri"/>
          <w:sz w:val="22"/>
          <w:szCs w:val="22"/>
        </w:rPr>
        <w:t xml:space="preserve">A persistent role switcher is displayed in the top header bar, showing the currently active role and listing all roles assigned to the user.</w:t>
      </w:r>
    </w:p>
    <w:p>
      <w:pPr>
        <w:pStyle w:val="ListParagraph"/>
        <w:numPr>
          <w:ilvl w:val="0"/>
          <w:numId w:val="2"/>
        </w:numPr>
        <w:spacing w:after="50" w:before="50" w:line="280"/>
      </w:pPr>
      <w:r>
        <w:rPr>
          <w:rFonts w:ascii="Calibri" w:cs="Calibri" w:eastAsia="Calibri" w:hAnsi="Calibri"/>
          <w:sz w:val="22"/>
          <w:szCs w:val="22"/>
        </w:rPr>
        <w:t xml:space="preserve">Role switching does not require re-authentication and takes effect immediately, refreshing the navigation tiles, accessible modules, and homepage content.</w:t>
      </w:r>
    </w:p>
    <w:p>
      <w:pPr>
        <w:pStyle w:val="ListParagraph"/>
        <w:numPr>
          <w:ilvl w:val="0"/>
          <w:numId w:val="2"/>
        </w:numPr>
        <w:spacing w:after="50" w:before="50" w:line="280"/>
      </w:pPr>
      <w:r>
        <w:rPr>
          <w:rFonts w:ascii="Calibri" w:cs="Calibri" w:eastAsia="Calibri" w:hAnsi="Calibri"/>
          <w:sz w:val="22"/>
          <w:szCs w:val="22"/>
        </w:rPr>
        <w:t xml:space="preserve">All actions are audit-logged with the active role context at the time the action was performed.</w:t>
      </w:r>
    </w:p>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4.5 Role Privilege Hierarchy</w:t>
      </w:r>
    </w:p>
    <w:p>
      <w:pPr>
        <w:spacing w:after="100" w:before="80" w:line="300"/>
        <w:jc w:val="both"/>
      </w:pPr>
      <w:r>
        <w:rPr>
          <w:rFonts w:ascii="Calibri" w:cs="Calibri" w:eastAsia="Calibri" w:hAnsi="Calibri"/>
          <w:sz w:val="22"/>
          <w:szCs w:val="22"/>
        </w:rPr>
        <w:t xml:space="preserve">The following privilege ordering is used for default landing page selection and access control decisions across the platform: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tblGrid>
      <w:tr>
        <w:trPr>
          <w:tblHeader/>
        </w:trPr>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Priority</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Role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Default on Multi-Role Login</w:t>
            </w:r>
          </w:p>
        </w:tc>
      </w:tr>
      <w:tr>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1 (Highest)</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Admin</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Admin Homepage</w:t>
            </w:r>
          </w:p>
        </w:tc>
      </w:tr>
      <w:tr>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User</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User Homepage</w:t>
            </w:r>
          </w:p>
        </w:tc>
      </w:tr>
      <w:tr>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3 (Lowest)</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Viewer</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Viewer Homepage</w:t>
            </w:r>
          </w:p>
        </w:tc>
      </w:tr>
    </w:tbl>
    <w:p>
      <w:r>
        <w:br w:type="page"/>
      </w:r>
    </w:p>
    <w:p>
      <w:pPr>
        <w:pStyle w:val="Heading1"/>
        <w:spacing w:after="200" w:before="400"/>
      </w:pPr>
      <w:r>
        <w:rPr>
          <w:rFonts w:ascii="Calibri" w:cs="Calibri" w:eastAsia="Calibri" w:hAnsi="Calibri"/>
          <w:b/>
          <w:bCs/>
          <w:color w:val="1E3A8A"/>
          <w:sz w:val="34"/>
          <w:szCs w:val="34"/>
        </w:rPr>
        <w:t xml:space="preserve">5. Open Items and Parked Gaps</w:t>
      </w:r>
    </w:p>
    <w:p>
      <w:pPr>
        <w:spacing w:after="100" w:before="80" w:line="300"/>
        <w:jc w:val="both"/>
      </w:pPr>
      <w:r>
        <w:rPr>
          <w:rFonts w:ascii="Calibri" w:cs="Calibri" w:eastAsia="Calibri" w:hAnsi="Calibri"/>
          <w:sz w:val="22"/>
          <w:szCs w:val="22"/>
        </w:rPr>
        <w:t xml:space="preserve">The following items were identified during foundational requirements elaboration. Items marked Closed have been resolved and incorporated into this document. Items marked Parked require a decision before the relevant workflow BRD is finalised.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100"/>
        <w:gridCol w:w="4960"/>
      </w:tblGrid>
      <w:tr>
        <w:trPr>
          <w:tblHeader/>
        </w:trPr>
        <w:tc>
          <w:tcPr>
            <w:tcW w:type="dxa" w:w="11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ID</w:t>
            </w:r>
          </w:p>
        </w:tc>
        <w:tc>
          <w:tcPr>
            <w:tcW w:type="dxa" w:w="2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Topic</w:t>
            </w:r>
          </w:p>
        </w:tc>
        <w:tc>
          <w:tcPr>
            <w:tcW w:type="dxa" w:w="11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Status</w:t>
            </w:r>
          </w:p>
        </w:tc>
        <w:tc>
          <w:tcPr>
            <w:tcW w:type="dxa" w:w="49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Resolution / Notes</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OPN-G-001</w:t>
            </w:r>
          </w:p>
        </w:tc>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Agent ownership / failure triage</w:t>
            </w:r>
          </w:p>
        </w:tc>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166534"/>
                <w:sz w:val="21"/>
                <w:szCs w:val="21"/>
              </w:rPr>
              <w:t xml:space="preserve">Closed</w:t>
            </w:r>
          </w:p>
        </w:tc>
        <w:tc>
          <w:tcPr>
            <w:tcW w:type="dxa" w:w="49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Dedicated platform team owns all agent failure detection, triage, and remediation.</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OPN-G-002</w:t>
            </w:r>
          </w:p>
        </w:tc>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RCA agent on-demand execution</w:t>
            </w:r>
          </w:p>
        </w:tc>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166534"/>
                <w:sz w:val="21"/>
                <w:szCs w:val="21"/>
              </w:rPr>
              <w:t xml:space="preserve">Closed</w:t>
            </w:r>
          </w:p>
        </w:tc>
        <w:tc>
          <w:tcPr>
            <w:tcW w:type="dxa" w:w="49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RCA Agent supports both scheduled and on-demand (user-triggered) execution from Trigger Hit Report / Model Monitoring module.</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OPN-G-003</w:t>
            </w:r>
          </w:p>
        </w:tc>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Agent observability dashboards</w:t>
            </w:r>
          </w:p>
        </w:tc>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991B1B"/>
                <w:sz w:val="21"/>
                <w:szCs w:val="21"/>
              </w:rPr>
              <w:t xml:space="preserve">Parked</w:t>
            </w:r>
          </w:p>
        </w:tc>
        <w:tc>
          <w:tcPr>
            <w:tcW w:type="dxa" w:w="49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Not in scope for current phase; to be considered in a future release.</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OPN-G-004</w:t>
            </w:r>
          </w:p>
        </w:tc>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External system integrations</w:t>
            </w:r>
          </w:p>
        </w:tc>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166534"/>
                <w:sz w:val="21"/>
                <w:szCs w:val="21"/>
              </w:rPr>
              <w:t xml:space="preserve">Closed</w:t>
            </w:r>
          </w:p>
        </w:tc>
        <w:tc>
          <w:tcPr>
            <w:tcW w:type="dxa" w:w="49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No integrations in scope. Out of scope confirmed.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OPN-G-005</w:t>
            </w:r>
          </w:p>
        </w:tc>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Multi-tenancy / BU segregation</w:t>
            </w:r>
          </w:p>
        </w:tc>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166534"/>
                <w:sz w:val="21"/>
                <w:szCs w:val="21"/>
              </w:rPr>
              <w:t xml:space="preserve">Closed</w:t>
            </w:r>
          </w:p>
        </w:tc>
        <w:tc>
          <w:tcPr>
            <w:tcW w:type="dxa" w:w="49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Single-tenant platform; model-level access scoping managed at user/role level.</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OPN-G-006</w:t>
            </w:r>
          </w:p>
        </w:tc>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Data retention policy</w:t>
            </w:r>
          </w:p>
        </w:tc>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78350F"/>
                <w:sz w:val="21"/>
                <w:szCs w:val="21"/>
              </w:rPr>
              <w:t xml:space="preserve">Parked — defaults set</w:t>
            </w:r>
          </w:p>
        </w:tc>
        <w:tc>
          <w:tcPr>
            <w:tcW w:type="dxa" w:w="49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Defaults confirmed: Category A 180 days, Category B 3 years, Category C 7 years. Final confirmation required from data governance / compliance team before Governance workflow BRD.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OPN-G-007</w:t>
            </w:r>
          </w:p>
        </w:tc>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User raise request flow</w:t>
            </w:r>
          </w:p>
        </w:tc>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166534"/>
                <w:sz w:val="21"/>
                <w:szCs w:val="21"/>
              </w:rPr>
              <w:t xml:space="preserve">Closed</w:t>
            </w:r>
          </w:p>
        </w:tc>
        <w:tc>
          <w:tcPr>
            <w:tcW w:type="dxa" w:w="49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Two request types confirmed: (1) Model Access Request, (2) Model Deletion Request. Both via User: Model Inventory → Raise Request sub-section, routed to Admin Access Control Center.</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OPN-G-008</w:t>
            </w:r>
          </w:p>
        </w:tc>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External Viewer authentication</w:t>
            </w:r>
          </w:p>
        </w:tc>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991B1B"/>
                <w:sz w:val="21"/>
                <w:szCs w:val="21"/>
              </w:rPr>
              <w:t xml:space="preserve">Parked</w:t>
            </w:r>
          </w:p>
        </w:tc>
        <w:tc>
          <w:tcPr>
            <w:tcW w:type="dxa" w:w="49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Type of external Viewer (SSO vs. alternative identity provider) not yet decided. To be resolved with Security and Identity team before Access Control Center workflow BRD.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OPN-G-009</w:t>
            </w:r>
          </w:p>
        </w:tc>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Bias detection scope</w:t>
            </w:r>
          </w:p>
        </w:tc>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166534"/>
                <w:sz w:val="21"/>
                <w:szCs w:val="21"/>
              </w:rPr>
              <w:t xml:space="preserve">Closed</w:t>
            </w:r>
          </w:p>
        </w:tc>
        <w:tc>
          <w:tcPr>
            <w:tcW w:type="dxa" w:w="49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Bias detection (Model Bias Agent) applies to all models on the platform.</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111827"/>
                <w:sz w:val="21"/>
                <w:szCs w:val="21"/>
              </w:rPr>
              <w:t xml:space="preserve">OPN-G-010</w:t>
            </w:r>
          </w:p>
        </w:tc>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Report download locations</w:t>
            </w:r>
          </w:p>
        </w:tc>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166534"/>
                <w:sz w:val="21"/>
                <w:szCs w:val="21"/>
              </w:rPr>
              <w:t xml:space="preserve">Closed</w:t>
            </w:r>
          </w:p>
        </w:tc>
        <w:tc>
          <w:tcPr>
            <w:tcW w:type="dxa" w:w="49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Primary: User: Model Monitoring module. Secondary: User: Repository → Saved Reports sub-section.</w:t>
            </w:r>
          </w:p>
        </w:tc>
      </w:tr>
    </w:tbl>
    <w:p>
      <w:r>
        <w:br w:type="page"/>
      </w:r>
    </w:p>
    <w:p>
      <w:pPr>
        <w:pStyle w:val="Heading1"/>
        <w:spacing w:after="200" w:before="400"/>
      </w:pPr>
      <w:r>
        <w:rPr>
          <w:rFonts w:ascii="Calibri" w:cs="Calibri" w:eastAsia="Calibri" w:hAnsi="Calibri"/>
          <w:b/>
          <w:bCs/>
          <w:color w:val="1E3A8A"/>
          <w:sz w:val="34"/>
          <w:szCs w:val="34"/>
        </w:rPr>
        <w:t xml:space="preserve">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Term</w:t>
            </w:r>
          </w:p>
        </w:tc>
        <w:tc>
          <w:tcPr>
            <w:tcW w:type="dxa" w:w="71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Definition</w:t>
            </w:r>
          </w:p>
        </w:tc>
      </w:tr>
      <w:tr>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Admin</w:t>
            </w:r>
          </w:p>
        </w:tc>
        <w:tc>
          <w:tcPr>
            <w:tcW w:type="dxa" w:w="71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The platform administrator role; full control over models, users, configuration, agents, and governance.</w:t>
            </w:r>
          </w:p>
        </w:tc>
      </w:tr>
      <w:tr>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Agentic Architecture</w:t>
            </w:r>
          </w:p>
        </w:tc>
        <w:tc>
          <w:tcPr>
            <w:tcW w:type="dxa" w:w="71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 system design in which specialised AI agents autonomously perform discrete tasks, operating on schedules or on-demand, and producing structured outputs for downstream consumption.</w:t>
            </w:r>
          </w:p>
        </w:tc>
      </w:tr>
      <w:tr>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Bias Detection</w:t>
            </w:r>
          </w:p>
        </w:tc>
        <w:tc>
          <w:tcPr>
            <w:tcW w:type="dxa" w:w="71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The process of identifying deterioration in model fairness metrics across protected or business-defined segments.</w:t>
            </w:r>
          </w:p>
        </w:tc>
      </w:tr>
      <w:tr>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BRD</w:t>
            </w:r>
          </w:p>
        </w:tc>
        <w:tc>
          <w:tcPr>
            <w:tcW w:type="dxa" w:w="71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Business Requirements Document — the authoritative specification of functional and non-functional requirements for a system or workflow.</w:t>
            </w:r>
          </w:p>
        </w:tc>
      </w:tr>
      <w:tr>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Covariate Drift</w:t>
            </w:r>
          </w:p>
        </w:tc>
        <w:tc>
          <w:tcPr>
            <w:tcW w:type="dxa" w:w="71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 shift in the distribution of model input features between the training/reference period and the current scoring period.</w:t>
            </w:r>
          </w:p>
        </w:tc>
      </w:tr>
      <w:tr>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Data Ingestion</w:t>
            </w:r>
          </w:p>
        </w:tc>
        <w:tc>
          <w:tcPr>
            <w:tcW w:type="dxa" w:w="71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The process of collecting, validating, and loading training, scoring, and outcome data into the monitoring platform.</w:t>
            </w:r>
          </w:p>
        </w:tc>
      </w:tr>
      <w:tr>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Drift</w:t>
            </w:r>
          </w:p>
        </w:tc>
        <w:tc>
          <w:tcPr>
            <w:tcW w:type="dxa" w:w="71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 statistically significant change in model inputs, outputs, or performance metrics compared to a reference baseline.</w:t>
            </w:r>
          </w:p>
        </w:tc>
      </w:tr>
      <w:tr>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MFA</w:t>
            </w:r>
          </w:p>
        </w:tc>
        <w:tc>
          <w:tcPr>
            <w:tcW w:type="dxa" w:w="71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Multi-Factor Authentication — a second authentication factor beyond username/password.</w:t>
            </w:r>
          </w:p>
        </w:tc>
      </w:tr>
      <w:tr>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PSI</w:t>
            </w:r>
          </w:p>
        </w:tc>
        <w:tc>
          <w:tcPr>
            <w:tcW w:type="dxa" w:w="71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Population Stability Index — a common metric for measuring distributional drift in model features or scores.</w:t>
            </w:r>
          </w:p>
        </w:tc>
      </w:tr>
      <w:tr>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RBAC</w:t>
            </w:r>
          </w:p>
        </w:tc>
        <w:tc>
          <w:tcPr>
            <w:tcW w:type="dxa" w:w="71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Role-Based Access Control — an authorisation model in which permissions are assigned to roles and roles are assigned to users.</w:t>
            </w:r>
          </w:p>
        </w:tc>
      </w:tr>
      <w:tr>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RCA</w:t>
            </w:r>
          </w:p>
        </w:tc>
        <w:tc>
          <w:tcPr>
            <w:tcW w:type="dxa" w:w="71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Root-Cause Analysis — investigation into the most likely contributing factors behind a model monitoring trigger event.</w:t>
            </w:r>
          </w:p>
        </w:tc>
      </w:tr>
      <w:tr>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SSO</w:t>
            </w:r>
          </w:p>
        </w:tc>
        <w:tc>
          <w:tcPr>
            <w:tcW w:type="dxa" w:w="71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Single Sign-On — a single corporate authentication event that grants access to multiple applications.</w:t>
            </w:r>
          </w:p>
        </w:tc>
      </w:tr>
      <w:tr>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Trigger Hit</w:t>
            </w:r>
          </w:p>
        </w:tc>
        <w:tc>
          <w:tcPr>
            <w:tcW w:type="dxa" w:w="71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An event in which a monitored metric breaches a configured threshold, generating an alert and potentially initiating an RCA.</w:t>
            </w:r>
          </w:p>
        </w:tc>
      </w:tr>
      <w:tr>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User</w:t>
            </w:r>
          </w:p>
        </w:tc>
        <w:tc>
          <w:tcPr>
            <w:tcW w:type="dxa" w:w="71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The operational role for model owners, data scientists, and ML engineers.</w:t>
            </w:r>
          </w:p>
        </w:tc>
      </w:tr>
      <w:tr>
        <w:tc>
          <w:tcPr>
            <w:tcW w:type="dxa" w:w="2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Viewer</w:t>
            </w:r>
          </w:p>
        </w:tc>
        <w:tc>
          <w:tcPr>
            <w:tcW w:type="dxa" w:w="71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The read-only role for stakeholders, auditors, and reviewers — self-service access request limited to this role.</w:t>
            </w:r>
          </w:p>
        </w:tc>
      </w:tr>
      <w:tr>
        <w:tc>
          <w:tcPr>
            <w:tcW w:type="dxa" w:w="2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WCAG</w:t>
            </w:r>
          </w:p>
        </w:tc>
        <w:tc>
          <w:tcPr>
            <w:tcW w:type="dxa" w:w="71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111827"/>
                <w:sz w:val="21"/>
                <w:szCs w:val="21"/>
              </w:rPr>
              <w:t xml:space="preserve">Web Content Accessibility Guidelines — international standard for web accessibility (target: WCAG 2.1 Level AA).</w:t>
            </w:r>
          </w:p>
        </w:tc>
      </w:tr>
    </w:tbl>
    <w:p>
      <w:pPr>
        <w:spacing w:after="80" w:before="80"/>
      </w:pPr>
      <w:r>
        <w:t xml:space="preserve"/>
      </w:r>
    </w:p>
    <w:p>
      <w:pPr>
        <w:spacing w:after="80" w:before="80"/>
      </w:pPr>
      <w:r>
        <w:t xml:space="preserve"/>
      </w:r>
    </w:p>
    <w:p>
      <w:pPr>
        <w:pBdr>
          <w:bottom w:val="single" w:color="2563EB" w:sz="8" w:space="1"/>
        </w:pBdr>
        <w:spacing w:after="160" w:before="160"/>
      </w:pPr>
      <w:r>
        <w:t xml:space="preserve"/>
      </w:r>
    </w:p>
    <w:p>
      <w:pPr>
        <w:jc w:val="center"/>
      </w:pPr>
      <w:r>
        <w:rPr>
          <w:rFonts w:ascii="Calibri" w:cs="Calibri" w:eastAsia="Calibri" w:hAnsi="Calibri"/>
          <w:i/>
          <w:iCs/>
          <w:color w:val="64748B"/>
          <w:sz w:val="22"/>
          <w:szCs w:val="22"/>
        </w:rPr>
        <w:t xml:space="preserve">— End of Foundational BRD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center" w:pos="4513"/>
        <w:tab w:val="right" w:pos="9026"/>
      </w:tabs>
    </w:pPr>
    <w:r>
      <w:rPr>
        <w:rFonts w:ascii="Calibri" w:cs="Calibri" w:eastAsia="Calibri" w:hAnsi="Calibri"/>
        <w:color w:val="64748B"/>
        <w:sz w:val="18"/>
        <w:szCs w:val="18"/>
      </w:rPr>
      <w:t xml:space="preserve">Confidential — Internal Use Only</w:t>
    </w:r>
    <w:r>
      <w:rPr>
        <w:rFonts w:ascii="Calibri" w:cs="Calibri" w:eastAsia="Calibri" w:hAnsi="Calibri"/>
        <w:color w:val="64748B"/>
        <w:sz w:val="18"/>
        <w:szCs w:val="18"/>
      </w:rPr>
      <w:t xml:space="preserve">	Foundational BRD — Platform Overview	</w:t>
    </w:r>
    <w:r>
      <w:rPr>
        <w:rFonts w:ascii="Calibri" w:cs="Calibri" w:eastAsia="Calibri" w:hAnsi="Calibri"/>
        <w:color w:val="64748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jc w:val="right"/>
    </w:pPr>
    <w:r>
      <w:rPr>
        <w:rFonts w:ascii="Calibri" w:cs="Calibri" w:eastAsia="Calibri" w:hAnsi="Calibri"/>
        <w:color w:val="64748B"/>
        <w:sz w:val="18"/>
        <w:szCs w:val="18"/>
      </w:rPr>
      <w:t xml:space="preserve">Model Monitoring Platform — Foundational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E3A8A"/>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1E3A8A"/>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Foundational BRD — Model Monitoring Platform</dc:title>
  <dc:creator>Business Analyst</dc:creator>
  <dc:description>Platform Overview: Executive Summary, Purpose &amp; Scope, Applicable Agents, User Personas &amp; Roles</dc:description>
  <cp:lastModifiedBy>Un-named</cp:lastModifiedBy>
  <cp:revision>1</cp:revision>
  <dcterms:created xsi:type="dcterms:W3CDTF">2026-05-07T09:41:21.186Z</dcterms:created>
  <dcterms:modified xsi:type="dcterms:W3CDTF">2026-05-07T09:41:21.200Z</dcterms:modified>
</cp:coreProperties>
</file>

<file path=docProps/custom.xml><?xml version="1.0" encoding="utf-8"?>
<Properties xmlns="http://schemas.openxmlformats.org/officeDocument/2006/custom-properties" xmlns:vt="http://schemas.openxmlformats.org/officeDocument/2006/docPropsVTypes"/>
</file>