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E3A8A"/>
          <w:sz w:val="28"/>
          <w:szCs w:val="28"/>
        </w:rPr>
        <w:t xml:space="preserve">BUSINESS REQUIREMENTS DOCUMENT</w:t>
      </w:r>
    </w:p>
    <w:p>
      <w:pPr>
        <w:spacing w:after="80"/>
        <w:jc w:val="center"/>
      </w:pPr>
      <w:r>
        <w:rPr>
          <w:rFonts w:ascii="Arial" w:cs="Arial" w:eastAsia="Arial" w:hAnsi="Arial"/>
          <w:b/>
          <w:bCs/>
          <w:color w:val="1E293B"/>
          <w:sz w:val="36"/>
          <w:szCs w:val="36"/>
        </w:rPr>
        <w:t xml:space="preserve">Model Monitoring Platform</w:t>
      </w:r>
    </w:p>
    <w:p>
      <w:pPr>
        <w:spacing w:after="280"/>
        <w:jc w:val="center"/>
      </w:pPr>
      <w:r>
        <w:rPr>
          <w:rFonts w:ascii="Arial" w:cs="Arial" w:eastAsia="Arial" w:hAnsi="Arial"/>
          <w:i/>
          <w:iCs/>
          <w:color w:val="64748B"/>
          <w:sz w:val="22"/>
          <w:szCs w:val="22"/>
        </w:rPr>
        <w:t xml:space="preserve">Enterprise-Grade Agentic Model Monitoring Solution</w:t>
      </w:r>
    </w:p>
    <w:p>
      <w:pPr>
        <w:spacing w:after="80"/>
        <w:jc w:val="center"/>
      </w:pPr>
      <w:r>
        <w:rPr>
          <w:rFonts w:ascii="Arial" w:cs="Arial" w:eastAsia="Arial" w:hAnsi="Arial"/>
          <w:b/>
          <w:bCs/>
          <w:color w:val="1E3A8A"/>
          <w:sz w:val="26"/>
          <w:szCs w:val="26"/>
        </w:rPr>
        <w:t xml:space="preserve">Workflow 2 — Admin: Manage Model Inventory</w:t>
      </w:r>
    </w:p>
    <w:p>
      <w:pPr>
        <w:spacing w:after="360"/>
        <w:jc w:val="center"/>
      </w:pPr>
      <w:r>
        <w:rPr>
          <w:rFonts w:ascii="Arial" w:cs="Arial" w:eastAsia="Arial" w:hAnsi="Arial"/>
          <w:i/>
          <w:iCs/>
          <w:color w:val="64748B"/>
          <w:sz w:val="20"/>
          <w:szCs w:val="20"/>
        </w:rPr>
        <w:t xml:space="preserve">Inventory List • Bulk Upload • Single Add • Category Labels • Add Data • Soft Delete &amp; Restoration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Attribute</w:t>
            </w:r>
          </w:p>
        </w:tc>
        <w:tc>
          <w:tcPr>
            <w:tcW w:type="dxa" w:w="62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Value</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Document Title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BRD — Workflow 2: Admin — Manage Model Inventory</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Version</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Status</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Draft for Review</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Date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May 2026</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Workflow Coverage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Inventory list, bulk upload, single-model registration, downloadable template, category label configuration, Add Data, soft delete &amp; restoration request</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Document Owner</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Product / Business Analyst</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Distribution</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Development Team, Architects, Security, QA, Governance</w:t>
            </w:r>
          </w:p>
        </w:tc>
      </w:tr>
    </w:tbl>
    <w:p>
      <w:r>
        <w:br w:type="page"/>
      </w:r>
    </w:p>
    <w:p>
      <w:pPr>
        <w:pStyle w:val="Heading1"/>
        <w:spacing w:after="200" w:before="320"/>
      </w:pPr>
      <w:r>
        <w:rPr>
          <w:rFonts w:ascii="Arial" w:cs="Arial" w:eastAsia="Arial" w:hAnsi="Arial"/>
          <w:b/>
          <w:bCs/>
          <w:color w:val="1E3A8A"/>
          <w:sz w:val="32"/>
          <w:szCs w:val="32"/>
        </w:rPr>
        <w:t xml:space="preserve">Document Control</w:t>
      </w:r>
    </w:p>
    <w:p>
      <w:pPr>
        <w:pStyle w:val="Heading3"/>
        <w:spacing w:after="100" w:before="180"/>
      </w:pPr>
      <w:r>
        <w:rPr>
          <w:rFonts w:ascii="Arial" w:cs="Arial" w:eastAsia="Arial" w:hAnsi="Arial"/>
          <w:b/>
          <w:bCs/>
          <w:color w:val="1E293B"/>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480"/>
        <w:gridCol w:w="2240"/>
        <w:gridCol w:w="4400"/>
      </w:tblGrid>
      <w:tr>
        <w:trPr>
          <w:tblHeader/>
        </w:trPr>
        <w:tc>
          <w:tcPr>
            <w:tcW w:type="dxa" w:w="12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Version</w:t>
            </w:r>
          </w:p>
        </w:tc>
        <w:tc>
          <w:tcPr>
            <w:tcW w:type="dxa" w:w="14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Date</w:t>
            </w:r>
          </w:p>
        </w:tc>
        <w:tc>
          <w:tcPr>
            <w:tcW w:type="dxa" w:w="22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Author</w:t>
            </w:r>
          </w:p>
        </w:tc>
        <w:tc>
          <w:tcPr>
            <w:tcW w:type="dxa" w:w="44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Description of Change</w:t>
            </w:r>
          </w:p>
        </w:tc>
      </w:tr>
      <w:tr>
        <w:tc>
          <w:tcPr>
            <w:tcW w:type="dxa" w:w="1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0.1</w:t>
            </w:r>
          </w:p>
        </w:tc>
        <w:tc>
          <w:tcPr>
            <w:tcW w:type="dxa" w:w="1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May 2026</w:t>
            </w:r>
          </w:p>
        </w:tc>
        <w:tc>
          <w:tcPr>
            <w:tcW w:type="dxa" w:w="2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BA / Product</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Initial draft of Workflow 2 — Manage Model Inventory</w:t>
            </w:r>
          </w:p>
        </w:tc>
      </w:tr>
      <w:tr>
        <w:tc>
          <w:tcPr>
            <w:tcW w:type="dxa" w:w="1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c>
          <w:tcPr>
            <w:tcW w:type="dxa" w:w="1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May 2026</w:t>
            </w:r>
          </w:p>
        </w:tc>
        <w:tc>
          <w:tcPr>
            <w:tcW w:type="dxa" w:w="2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BA / Product</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Stakeholder decisions captured (12 gaps closed); template fields confirmed; baseline for development</w:t>
            </w:r>
          </w:p>
        </w:tc>
      </w:tr>
    </w:tbl>
    <w:p>
      <w:pPr>
        <w:pStyle w:val="Heading3"/>
        <w:spacing w:after="100" w:before="180"/>
      </w:pPr>
      <w:r>
        <w:rPr>
          <w:rFonts w:ascii="Arial" w:cs="Arial" w:eastAsia="Arial" w:hAnsi="Arial"/>
          <w:b/>
          <w:bCs/>
          <w:color w:val="1E293B"/>
          <w:sz w:val="22"/>
          <w:szCs w:val="22"/>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Role</w:t>
            </w:r>
          </w:p>
        </w:tc>
        <w:tc>
          <w:tcPr>
            <w:tcW w:type="dxa" w:w="2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Name</w:t>
            </w:r>
          </w:p>
        </w:tc>
        <w:tc>
          <w:tcPr>
            <w:tcW w:type="dxa" w:w="2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Signature</w:t>
            </w:r>
          </w:p>
        </w:tc>
        <w:tc>
          <w:tcPr>
            <w:tcW w:type="dxa" w:w="20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Date</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Business Sponsor</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Product Owner</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Tech Lead / Architect</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Security / Governance Lead</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QA Lead</w:t>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r>
    </w:tbl>
    <w:p>
      <w:r>
        <w:br w:type="page"/>
      </w:r>
    </w:p>
    <w:p>
      <w:pPr>
        <w:pStyle w:val="Heading1"/>
        <w:spacing w:after="200" w:before="320"/>
      </w:pPr>
      <w:r>
        <w:rPr>
          <w:rFonts w:ascii="Arial" w:cs="Arial" w:eastAsia="Arial" w:hAnsi="Arial"/>
          <w:b/>
          <w:bCs/>
          <w:color w:val="1E3A8A"/>
          <w:sz w:val="32"/>
          <w:szCs w:val="32"/>
        </w:rPr>
        <w:t xml:space="preserve">Table of Contents</w:t>
      </w:r>
    </w:p>
    <w:p>
      <w:pPr>
        <w:spacing w:after="160"/>
      </w:pPr>
      <w:r>
        <w:rPr>
          <w:rFonts w:ascii="Arial" w:cs="Arial" w:eastAsia="Arial" w:hAnsi="Arial"/>
          <w:i/>
          <w:iCs/>
          <w:color w:val="64748B"/>
        </w:rPr>
        <w:t xml:space="preserve">This BRD is organised into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85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Section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Introduction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Business Context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Workflow Overview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Functional Requirements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4.1  Inventory List View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4.2  Bulk Upload of Models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4.3  Add Single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4.4  Downloadable Inventory Template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4.5  Category Label Configuration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4.6  Add Data Action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4.7  Soft Delete &amp; Archival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4.8  Restoration Request Workflow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4.9  Hard Delete after Retention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4.10 Audit Logging</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    4.11 Permissions &amp; Access Control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Non-Functional Requirements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UI / UX References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Open Items and Parked Gaps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8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Glossary</w:t>
            </w:r>
          </w:p>
        </w:tc>
      </w:tr>
    </w:tbl>
    <w:p>
      <w:r>
        <w:br w:type="page"/>
      </w:r>
    </w:p>
    <w:p>
      <w:pPr>
        <w:pStyle w:val="Heading1"/>
        <w:spacing w:after="200" w:before="320"/>
      </w:pPr>
      <w:r>
        <w:rPr>
          <w:rFonts w:ascii="Arial" w:cs="Arial" w:eastAsia="Arial" w:hAnsi="Arial"/>
          <w:b/>
          <w:bCs/>
          <w:color w:val="1E3A8A"/>
          <w:sz w:val="32"/>
          <w:szCs w:val="32"/>
        </w:rPr>
        <w:t xml:space="preserve">1. Introduction</w:t>
      </w:r>
    </w:p>
    <w:p>
      <w:pPr>
        <w:pStyle w:val="Heading2"/>
        <w:spacing w:after="140" w:before="240"/>
      </w:pPr>
      <w:r>
        <w:rPr>
          <w:rFonts w:ascii="Arial" w:cs="Arial" w:eastAsia="Arial" w:hAnsi="Arial"/>
          <w:b/>
          <w:bCs/>
          <w:color w:val="1E3A8A"/>
          <w:sz w:val="26"/>
          <w:szCs w:val="26"/>
        </w:rPr>
        <w:t xml:space="preserve">1.1 Purpose</w:t>
      </w:r>
    </w:p>
    <w:p>
      <w:pPr>
        <w:spacing w:after="160" w:line="300"/>
        <w:jc w:val="both"/>
      </w:pPr>
      <w:r>
        <w:rPr>
          <w:rFonts w:ascii="Arial" w:cs="Arial" w:eastAsia="Arial" w:hAnsi="Arial"/>
        </w:rPr>
        <w:t xml:space="preserve">This Business Requirements Document (BRD) defines the functional and non-functional requirements for the Manage Model Inventory workflow of the Model Monitoring Platform. The model inventory is the foundational system of record for every model under monitoring on the platform, and this workflow defines how Admins register, manage, archive, and restore models throughout their lifecycle. This document serves as the authoritative implementation guide for the development, security, and quality assurance teams for this workflow.</w:t>
      </w:r>
    </w:p>
    <w:p>
      <w:pPr>
        <w:pStyle w:val="Heading2"/>
        <w:spacing w:after="140" w:before="240"/>
      </w:pPr>
      <w:r>
        <w:rPr>
          <w:rFonts w:ascii="Arial" w:cs="Arial" w:eastAsia="Arial" w:hAnsi="Arial"/>
          <w:b/>
          <w:bCs/>
          <w:color w:val="1E3A8A"/>
          <w:sz w:val="26"/>
          <w:szCs w:val="26"/>
        </w:rPr>
        <w:t xml:space="preserve">1.2 Scope</w:t>
      </w:r>
    </w:p>
    <w:p>
      <w:pPr>
        <w:spacing w:after="160" w:line="300"/>
        <w:jc w:val="both"/>
      </w:pPr>
      <w:r>
        <w:rPr>
          <w:rFonts w:ascii="Arial" w:cs="Arial" w:eastAsia="Arial" w:hAnsi="Arial"/>
        </w:rPr>
        <w:t xml:space="preserve">This BRD covers the following capabilities of Workflow 2 — Admin: Manage Model Inventory:</w:t>
      </w:r>
    </w:p>
    <w:p>
      <w:pPr>
        <w:pStyle w:val="ListParagraph"/>
        <w:numPr>
          <w:ilvl w:val="0"/>
          <w:numId w:val="2"/>
        </w:numPr>
        <w:spacing w:after="80"/>
      </w:pPr>
      <w:r>
        <w:rPr>
          <w:rFonts w:ascii="Arial" w:cs="Arial" w:eastAsia="Arial" w:hAnsi="Arial"/>
        </w:rPr>
        <w:t xml:space="preserve">Inventory list view with mandatory display columns, search, filter, sort, and pagination</w:t>
      </w:r>
    </w:p>
    <w:p>
      <w:pPr>
        <w:pStyle w:val="ListParagraph"/>
        <w:numPr>
          <w:ilvl w:val="0"/>
          <w:numId w:val="2"/>
        </w:numPr>
        <w:spacing w:after="80"/>
      </w:pPr>
      <w:r>
        <w:rPr>
          <w:rFonts w:ascii="Arial" w:cs="Arial" w:eastAsia="Arial" w:hAnsi="Arial"/>
        </w:rPr>
        <w:t xml:space="preserve">Bulk Upload of models via Excel / CSV with schema validation, error preview, and Admin-controlled ingestion</w:t>
      </w:r>
    </w:p>
    <w:p>
      <w:pPr>
        <w:pStyle w:val="ListParagraph"/>
        <w:numPr>
          <w:ilvl w:val="0"/>
          <w:numId w:val="2"/>
        </w:numPr>
        <w:spacing w:after="80"/>
      </w:pPr>
      <w:r>
        <w:rPr>
          <w:rFonts w:ascii="Arial" w:cs="Arial" w:eastAsia="Arial" w:hAnsi="Arial"/>
        </w:rPr>
        <w:t xml:space="preserve">Add Single Model via a manual entry form with the same field set as the bulk template</w:t>
      </w:r>
    </w:p>
    <w:p>
      <w:pPr>
        <w:pStyle w:val="ListParagraph"/>
        <w:numPr>
          <w:ilvl w:val="0"/>
          <w:numId w:val="2"/>
        </w:numPr>
        <w:spacing w:after="80"/>
      </w:pPr>
      <w:r>
        <w:rPr>
          <w:rFonts w:ascii="Arial" w:cs="Arial" w:eastAsia="Arial" w:hAnsi="Arial"/>
        </w:rPr>
        <w:t xml:space="preserve">Downloadable inventory template (Excel format) supplied by the platform</w:t>
      </w:r>
    </w:p>
    <w:p>
      <w:pPr>
        <w:pStyle w:val="ListParagraph"/>
        <w:numPr>
          <w:ilvl w:val="0"/>
          <w:numId w:val="2"/>
        </w:numPr>
        <w:spacing w:after="80"/>
      </w:pPr>
      <w:r>
        <w:rPr>
          <w:rFonts w:ascii="Arial" w:cs="Arial" w:eastAsia="Arial" w:hAnsi="Arial"/>
        </w:rPr>
        <w:t xml:space="preserve">Admin-configurable Category labels (Category, Sub Category 1, Sub Category 2 — defaulting to Geography, Domain, Product)</w:t>
      </w:r>
    </w:p>
    <w:p>
      <w:pPr>
        <w:pStyle w:val="ListParagraph"/>
      </w:pPr>
      <w:r>
        <w:t xml:space="preserve">ERP-style workflow status tracking per model — a visual step indicator showing which stage of the monitoring pipeline (KPI Review, Data Ingestion, Monitoring Active) each model has reached, with due-date urgency colouring</w:t>
      </w:r>
    </w:p>
    <w:p>
      <w:pPr>
        <w:pStyle w:val="ListParagraph"/>
        <w:numPr>
          <w:ilvl w:val="0"/>
          <w:numId w:val="2"/>
        </w:numPr>
        <w:spacing w:after="80"/>
      </w:pPr>
      <w:r>
        <w:rPr>
          <w:rFonts w:ascii="Arial" w:cs="Arial" w:eastAsia="Arial" w:hAnsi="Arial"/>
        </w:rPr>
        <w:t xml:space="preserve">Add Data action per model — linking the model to a Data Ingestion pipeline configured in Workflow 4</w:t>
      </w:r>
    </w:p>
    <w:p>
      <w:pPr>
        <w:pStyle w:val="ListParagraph"/>
        <w:numPr>
          <w:ilvl w:val="0"/>
          <w:numId w:val="2"/>
        </w:numPr>
        <w:spacing w:after="80"/>
      </w:pPr>
      <w:r>
        <w:rPr>
          <w:rFonts w:ascii="Arial" w:cs="Arial" w:eastAsia="Arial" w:hAnsi="Arial"/>
        </w:rPr>
        <w:t xml:space="preserve">Soft delete and archival of models, with mandatory deletion reason capture</w:t>
      </w:r>
    </w:p>
    <w:p>
      <w:pPr>
        <w:pStyle w:val="ListParagraph"/>
        <w:numPr>
          <w:ilvl w:val="0"/>
          <w:numId w:val="2"/>
        </w:numPr>
        <w:spacing w:after="80"/>
      </w:pPr>
      <w:r>
        <w:rPr>
          <w:rFonts w:ascii="Arial" w:cs="Arial" w:eastAsia="Arial" w:hAnsi="Arial"/>
        </w:rPr>
        <w:t xml:space="preserve">Restoration request workflow routed to the external IT team via the corporate ITSM system</w:t>
      </w:r>
    </w:p>
    <w:p>
      <w:pPr>
        <w:pStyle w:val="ListParagraph"/>
        <w:numPr>
          <w:ilvl w:val="0"/>
          <w:numId w:val="2"/>
        </w:numPr>
        <w:spacing w:after="80"/>
      </w:pPr>
      <w:r>
        <w:rPr>
          <w:rFonts w:ascii="Arial" w:cs="Arial" w:eastAsia="Arial" w:hAnsi="Arial"/>
        </w:rPr>
        <w:t xml:space="preserve">Hard delete of archived models after a configurable retention period</w:t>
      </w:r>
    </w:p>
    <w:p>
      <w:pPr>
        <w:pStyle w:val="ListParagraph"/>
        <w:numPr>
          <w:ilvl w:val="0"/>
          <w:numId w:val="2"/>
        </w:numPr>
        <w:spacing w:after="80"/>
      </w:pPr>
      <w:r>
        <w:rPr>
          <w:rFonts w:ascii="Arial" w:cs="Arial" w:eastAsia="Arial" w:hAnsi="Arial"/>
        </w:rPr>
        <w:t xml:space="preserve">Audit logging of all material inventory actions</w:t>
      </w:r>
    </w:p>
    <w:p>
      <w:pPr>
        <w:pStyle w:val="ListParagraph"/>
        <w:numPr>
          <w:ilvl w:val="0"/>
          <w:numId w:val="2"/>
        </w:numPr>
        <w:spacing w:after="80"/>
      </w:pPr>
      <w:r>
        <w:rPr>
          <w:rFonts w:ascii="Arial" w:cs="Arial" w:eastAsia="Arial" w:hAnsi="Arial"/>
        </w:rPr>
        <w:t xml:space="preserve">Permission and access scoping (Admin-only for write actions)</w:t>
      </w:r>
    </w:p>
    <w:p>
      <w:pPr>
        <w:spacing w:after="160" w:line="300"/>
        <w:jc w:val="both"/>
      </w:pPr>
      <w:r>
        <w:rPr>
          <w:rFonts w:ascii="Arial" w:cs="Arial" w:eastAsia="Arial" w:hAnsi="Arial"/>
        </w:rPr>
        <w:t xml:space="preserve">Out of scope for this workflow document: the Admin-side configuration of monitoring metrics and thresholds (Workflow 3), the Data Ingestion pipeline configuration the Add Data action links to (Workflow 4), Access Control Center user provisioning (Workflow 5), Scheduler set-up (Workflow 6), and the read-only inventory views consumed by User and Viewer roles (Workflows 9 and 14).</w:t>
      </w:r>
    </w:p>
    <w:p>
      <w:pPr>
        <w:pStyle w:val="Heading2"/>
        <w:spacing w:after="140" w:before="240"/>
      </w:pPr>
      <w:r>
        <w:rPr>
          <w:rFonts w:ascii="Arial" w:cs="Arial" w:eastAsia="Arial" w:hAnsi="Arial"/>
          <w:b/>
          <w:bCs/>
          <w:color w:val="1E3A8A"/>
          <w:sz w:val="26"/>
          <w:szCs w:val="26"/>
        </w:rPr>
        <w:t xml:space="preserve">1.3 Audience</w:t>
      </w:r>
    </w:p>
    <w:p>
      <w:pPr>
        <w:spacing w:after="120"/>
      </w:pPr>
      <w:r>
        <w:rPr>
          <w:rFonts w:ascii="Arial" w:cs="Arial" w:eastAsia="Arial" w:hAnsi="Arial"/>
        </w:rPr>
        <w:t xml:space="preserve">This document is intended for the following stakeholders:</w:t>
      </w:r>
    </w:p>
    <w:p>
      <w:pPr>
        <w:pStyle w:val="ListParagraph"/>
        <w:numPr>
          <w:ilvl w:val="0"/>
          <w:numId w:val="2"/>
        </w:numPr>
        <w:spacing w:after="80"/>
      </w:pPr>
      <w:r>
        <w:rPr>
          <w:rFonts w:ascii="Arial" w:cs="Arial" w:eastAsia="Arial" w:hAnsi="Arial"/>
        </w:rPr>
        <w:t xml:space="preserve">Development team (frontend and backend engineers)</w:t>
      </w:r>
    </w:p>
    <w:p>
      <w:pPr>
        <w:pStyle w:val="ListParagraph"/>
        <w:numPr>
          <w:ilvl w:val="0"/>
          <w:numId w:val="2"/>
        </w:numPr>
        <w:spacing w:after="80"/>
      </w:pPr>
      <w:r>
        <w:rPr>
          <w:rFonts w:ascii="Arial" w:cs="Arial" w:eastAsia="Arial" w:hAnsi="Arial"/>
        </w:rPr>
        <w:t xml:space="preserve">Solution architects and technical leads</w:t>
      </w:r>
    </w:p>
    <w:p>
      <w:pPr>
        <w:pStyle w:val="ListParagraph"/>
        <w:numPr>
          <w:ilvl w:val="0"/>
          <w:numId w:val="2"/>
        </w:numPr>
        <w:spacing w:after="80"/>
      </w:pPr>
      <w:r>
        <w:rPr>
          <w:rFonts w:ascii="Arial" w:cs="Arial" w:eastAsia="Arial" w:hAnsi="Arial"/>
        </w:rPr>
        <w:t xml:space="preserve">Information security and governance teams</w:t>
      </w:r>
    </w:p>
    <w:p>
      <w:pPr>
        <w:pStyle w:val="ListParagraph"/>
        <w:numPr>
          <w:ilvl w:val="0"/>
          <w:numId w:val="2"/>
        </w:numPr>
        <w:spacing w:after="80"/>
      </w:pPr>
      <w:r>
        <w:rPr>
          <w:rFonts w:ascii="Arial" w:cs="Arial" w:eastAsia="Arial" w:hAnsi="Arial"/>
        </w:rPr>
        <w:t xml:space="preserve">Quality assurance and test engineers</w:t>
      </w:r>
    </w:p>
    <w:p>
      <w:pPr>
        <w:pStyle w:val="ListParagraph"/>
        <w:numPr>
          <w:ilvl w:val="0"/>
          <w:numId w:val="2"/>
        </w:numPr>
        <w:spacing w:after="80"/>
      </w:pPr>
      <w:r>
        <w:rPr>
          <w:rFonts w:ascii="Arial" w:cs="Arial" w:eastAsia="Arial" w:hAnsi="Arial"/>
        </w:rPr>
        <w:t xml:space="preserve">Product owners and business stakeholders</w:t>
      </w:r>
    </w:p>
    <w:p>
      <w:pPr>
        <w:pStyle w:val="ListParagraph"/>
        <w:numPr>
          <w:ilvl w:val="0"/>
          <w:numId w:val="2"/>
        </w:numPr>
        <w:spacing w:after="80"/>
      </w:pPr>
      <w:r>
        <w:rPr>
          <w:rFonts w:ascii="Arial" w:cs="Arial" w:eastAsia="Arial" w:hAnsi="Arial"/>
        </w:rPr>
        <w:t xml:space="preserve">UX / UI designers and corporate brand custodians</w:t>
      </w:r>
    </w:p>
    <w:p>
      <w:pPr>
        <w:pStyle w:val="ListParagraph"/>
        <w:numPr>
          <w:ilvl w:val="0"/>
          <w:numId w:val="2"/>
        </w:numPr>
        <w:spacing w:after="80"/>
      </w:pPr>
      <w:r>
        <w:rPr>
          <w:rFonts w:ascii="Arial" w:cs="Arial" w:eastAsia="Arial" w:hAnsi="Arial"/>
        </w:rPr>
        <w:t xml:space="preserve">Platform operations and ITSM integration owners</w:t>
      </w:r>
    </w:p>
    <w:p>
      <w:pPr>
        <w:pStyle w:val="Heading2"/>
        <w:spacing w:after="140" w:before="240"/>
      </w:pPr>
      <w:r>
        <w:rPr>
          <w:rFonts w:ascii="Arial" w:cs="Arial" w:eastAsia="Arial" w:hAnsi="Arial"/>
          <w:b/>
          <w:bCs/>
          <w:color w:val="1E3A8A"/>
          <w:sz w:val="26"/>
          <w:szCs w:val="26"/>
        </w:rPr>
        <w:t xml:space="preserve">1.4 Document Conventions</w:t>
      </w:r>
    </w:p>
    <w:p>
      <w:pPr>
        <w:spacing w:after="160" w:line="300"/>
        <w:jc w:val="both"/>
      </w:pPr>
      <w:r>
        <w:rPr>
          <w:rFonts w:ascii="Arial" w:cs="Arial" w:eastAsia="Arial" w:hAnsi="Arial"/>
        </w:rPr>
        <w:t xml:space="preserve">Requirement identifiers in this document follow the pattern WF2-XXX-NNN, where XXX denotes the functional area (e.g., LST for inventory list, BLK for bulk upload, ADD for single add, CAT for category configuration, DEL for delete and restoration, AUD for audit). The keywords “must”, “shall”, and “will” denote mandatory requirements; “should” denotes recommended requirements; and “may” denotes optional requirements.</w:t>
      </w:r>
    </w:p>
    <w:p>
      <w:pPr>
        <w:pStyle w:val="Heading1"/>
        <w:spacing w:after="200" w:before="320"/>
      </w:pPr>
      <w:r>
        <w:rPr>
          <w:rFonts w:ascii="Arial" w:cs="Arial" w:eastAsia="Arial" w:hAnsi="Arial"/>
          <w:b/>
          <w:bCs/>
          <w:color w:val="1E3A8A"/>
          <w:sz w:val="32"/>
          <w:szCs w:val="32"/>
        </w:rPr>
        <w:t xml:space="preserve">2. Business Context</w:t>
      </w:r>
    </w:p>
    <w:p>
      <w:pPr>
        <w:pStyle w:val="Heading2"/>
        <w:spacing w:after="140" w:before="240"/>
      </w:pPr>
      <w:r>
        <w:rPr>
          <w:rFonts w:ascii="Arial" w:cs="Arial" w:eastAsia="Arial" w:hAnsi="Arial"/>
          <w:b/>
          <w:bCs/>
          <w:color w:val="1E3A8A"/>
          <w:sz w:val="26"/>
          <w:szCs w:val="26"/>
        </w:rPr>
        <w:t xml:space="preserve">2.1 Background</w:t>
      </w:r>
    </w:p>
    <w:p>
      <w:pPr>
        <w:spacing w:after="160" w:line="300"/>
        <w:jc w:val="both"/>
      </w:pPr>
      <w:r>
        <w:rPr>
          <w:rFonts w:ascii="Arial" w:cs="Arial" w:eastAsia="Arial" w:hAnsi="Arial"/>
        </w:rPr>
        <w:t xml:space="preserve">The Model Monitoring Platform requires a reliable, governed inventory of every model that is to be monitored. The inventory is the entry point for every downstream workflow: monitoring jobs only run against models that exist in the inventory, ingestion pipelines only attach to models that have been registered, and audit reports only cover models that are in the catalogue. As the organisation operates a portfolio of hundreds of models across business units, the inventory must support both efficient bulk onboarding and precise single-model registration, while preserving full lifecycle history for audit and regulatory purposes.</w:t>
      </w:r>
    </w:p>
    <w:p>
      <w:pPr>
        <w:pStyle w:val="Heading2"/>
        <w:spacing w:after="140" w:before="240"/>
      </w:pPr>
      <w:r>
        <w:rPr>
          <w:rFonts w:ascii="Arial" w:cs="Arial" w:eastAsia="Arial" w:hAnsi="Arial"/>
          <w:b/>
          <w:bCs/>
          <w:color w:val="1E3A8A"/>
          <w:sz w:val="26"/>
          <w:szCs w:val="26"/>
        </w:rPr>
        <w:t xml:space="preserve">2.2 Business Drivers</w:t>
      </w:r>
    </w:p>
    <w:p>
      <w:pPr>
        <w:pStyle w:val="ListParagraph"/>
        <w:numPr>
          <w:ilvl w:val="0"/>
          <w:numId w:val="2"/>
        </w:numPr>
        <w:spacing w:after="80"/>
      </w:pPr>
      <w:r>
        <w:rPr>
          <w:rFonts w:ascii="Arial" w:cs="Arial" w:eastAsia="Arial" w:hAnsi="Arial"/>
        </w:rPr>
        <w:t xml:space="preserve">A single, governed registry of all monitored models, enabling consistent oversight across the portfolio</w:t>
      </w:r>
    </w:p>
    <w:p>
      <w:pPr>
        <w:pStyle w:val="ListParagraph"/>
        <w:numPr>
          <w:ilvl w:val="0"/>
          <w:numId w:val="2"/>
        </w:numPr>
        <w:spacing w:after="80"/>
      </w:pPr>
      <w:r>
        <w:rPr>
          <w:rFonts w:ascii="Arial" w:cs="Arial" w:eastAsia="Arial" w:hAnsi="Arial"/>
        </w:rPr>
        <w:t xml:space="preserve">Efficient onboarding of large numbers of models through a structured bulk upload supported by a downloadable template</w:t>
      </w:r>
    </w:p>
    <w:p>
      <w:pPr>
        <w:pStyle w:val="ListParagraph"/>
        <w:numPr>
          <w:ilvl w:val="0"/>
          <w:numId w:val="2"/>
        </w:numPr>
        <w:spacing w:after="80"/>
      </w:pPr>
      <w:r>
        <w:rPr>
          <w:rFonts w:ascii="Arial" w:cs="Arial" w:eastAsia="Arial" w:hAnsi="Arial"/>
        </w:rPr>
        <w:t xml:space="preserve">Flexibility in classification through Admin-configurable Category labels that can be tailored to the organisation's preferred taxonomy</w:t>
      </w:r>
    </w:p>
    <w:p>
      <w:pPr>
        <w:pStyle w:val="ListParagraph"/>
        <w:numPr>
          <w:ilvl w:val="0"/>
          <w:numId w:val="2"/>
        </w:numPr>
        <w:spacing w:after="80"/>
      </w:pPr>
      <w:r>
        <w:rPr>
          <w:rFonts w:ascii="Arial" w:cs="Arial" w:eastAsia="Arial" w:hAnsi="Arial"/>
        </w:rPr>
        <w:t xml:space="preserve">Visibility of upcoming monitoring obligations through a Due In indicator, supporting timely operational action</w:t>
      </w:r>
    </w:p>
    <w:p>
      <w:pPr>
        <w:pStyle w:val="ListParagraph"/>
        <w:numPr>
          <w:ilvl w:val="0"/>
          <w:numId w:val="2"/>
        </w:numPr>
        <w:spacing w:after="80"/>
      </w:pPr>
      <w:r>
        <w:rPr>
          <w:rFonts w:ascii="Arial" w:cs="Arial" w:eastAsia="Arial" w:hAnsi="Arial"/>
        </w:rPr>
        <w:t xml:space="preserve">Preservation of historical model records through soft delete and archival, with controlled restoration via the corporate ITSM process</w:t>
      </w:r>
    </w:p>
    <w:p>
      <w:pPr>
        <w:pStyle w:val="ListParagraph"/>
        <w:numPr>
          <w:ilvl w:val="0"/>
          <w:numId w:val="2"/>
        </w:numPr>
        <w:spacing w:after="80"/>
      </w:pPr>
      <w:r>
        <w:rPr>
          <w:rFonts w:ascii="Arial" w:cs="Arial" w:eastAsia="Arial" w:hAnsi="Arial"/>
        </w:rPr>
        <w:t xml:space="preserve">Full auditability of inventory changes for internal audit, model risk management, and external regulatory review</w:t>
      </w:r>
    </w:p>
    <w:p>
      <w:pPr>
        <w:pStyle w:val="Heading2"/>
        <w:spacing w:after="140" w:before="240"/>
      </w:pPr>
      <w:r>
        <w:rPr>
          <w:rFonts w:ascii="Arial" w:cs="Arial" w:eastAsia="Arial" w:hAnsi="Arial"/>
          <w:b/>
          <w:bCs/>
          <w:color w:val="1E3A8A"/>
          <w:sz w:val="26"/>
          <w:szCs w:val="26"/>
        </w:rPr>
        <w:t xml:space="preserve">2.3 Key Stakeholder Decisions</w:t>
      </w:r>
    </w:p>
    <w:p>
      <w:pPr>
        <w:spacing w:after="160" w:line="300"/>
        <w:jc w:val="both"/>
      </w:pPr>
      <w:r>
        <w:rPr>
          <w:rFonts w:ascii="Arial" w:cs="Arial" w:eastAsia="Arial" w:hAnsi="Arial"/>
        </w:rPr>
        <w:t xml:space="preserve">The following decisions were captured during requirements elaboration and are baked into the requirements that follow. Open Items captured in Section 7 are decisions deferred to a later phase or to be confirmed by the relevant governance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80"/>
        <w:gridCol w:w="430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4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Decision Topic</w:t>
            </w:r>
          </w:p>
        </w:tc>
        <w:tc>
          <w:tcPr>
            <w:tcW w:type="dxa" w:w="43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Resolution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Single-model registration</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Both Bulk Upload and an Add Single Model form are supported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Edit existing model metadata</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No in-place edit. To change metadata, Admin deletes (soft delete) and re-registers the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Search / filter / sort on inventory</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Standard global search, multi-column filtering, and column sorting all supported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 error handling</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Preview screen with errors highlighted; Admin chooses to proceed (valid rows only) or cancel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 label rename impact</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Going forward only — existing models retain prior labels; new models use the renamed labels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Add Data action behaviour</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Links the model to a Data Ingestion pipeline configured in Workflow 4</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 calculation</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Calendar days from Monitoring Start Date plus Monitoring Frequency, recalculated after each successful run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approver</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External IT team via ITSM ticket — outside the platform's RBAC</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9</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Configurable retention period after archival (default 7 years, aligned to Foundational BRD audit retention)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delete</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Not supported — single-model delete only, per row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11</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Audit logging</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All inventory actions audit-logged per the Foundational BRD pattern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12</w:t>
            </w:r>
          </w:p>
        </w:tc>
        <w:tc>
          <w:tcPr>
            <w:tcW w:type="dxa" w:w="4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Permissions</w:t>
            </w:r>
          </w:p>
        </w:tc>
        <w:tc>
          <w:tcPr>
            <w:tcW w:type="dxa" w:w="4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Admin-only for all write actions in this workflow</w:t>
            </w:r>
          </w:p>
        </w:tc>
      </w:tr>
    </w:tbl>
    <w:p>
      <w:pPr>
        <w:pStyle w:val="Heading1"/>
        <w:spacing w:after="200" w:before="320"/>
      </w:pPr>
      <w:r>
        <w:rPr>
          <w:rFonts w:ascii="Arial" w:cs="Arial" w:eastAsia="Arial" w:hAnsi="Arial"/>
          <w:b/>
          <w:bCs/>
          <w:color w:val="1E3A8A"/>
          <w:sz w:val="32"/>
          <w:szCs w:val="32"/>
        </w:rPr>
        <w:t xml:space="preserve">3. Workflow Overview</w:t>
      </w:r>
    </w:p>
    <w:p>
      <w:pPr>
        <w:pStyle w:val="Heading2"/>
        <w:spacing w:after="140" w:before="240"/>
      </w:pPr>
      <w:r>
        <w:rPr>
          <w:rFonts w:ascii="Arial" w:cs="Arial" w:eastAsia="Arial" w:hAnsi="Arial"/>
          <w:b/>
          <w:bCs/>
          <w:color w:val="1E3A8A"/>
          <w:sz w:val="26"/>
          <w:szCs w:val="26"/>
        </w:rPr>
        <w:t xml:space="preserve">3.1 High-Level Admin Journey</w:t>
      </w:r>
    </w:p>
    <w:p>
      <w:pPr>
        <w:spacing w:after="160" w:line="300"/>
        <w:jc w:val="both"/>
      </w:pPr>
      <w:r>
        <w:rPr>
          <w:rFonts w:ascii="Arial" w:cs="Arial" w:eastAsia="Arial" w:hAnsi="Arial"/>
        </w:rPr>
        <w:t xml:space="preserve">The Manage Model Inventory workflow follows the journey below from an Admin landing on the inventory tile through to a model being registered, attached to data, and (when needed) archived and restored.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280"/>
        <w:gridCol w:w="630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2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Step</w:t>
            </w:r>
          </w:p>
        </w:tc>
        <w:tc>
          <w:tcPr>
            <w:tcW w:type="dxa" w:w="63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Description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Land on Inventory</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clicks the “Manage Model Inventory” tile from the Admin homepage and sees the inventory list with mandatory columns, search, filter, sort, and pagination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Configure Category Labels (one-time / as needed)</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reviews and optionally renames the three Category labels (Category, Sub Category 1, Sub Category 2). Renames apply to new models only</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Register Models</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chooses one of: (a) download template → fill → bulk upload, or (b) Add Single Model form. Schema validation runs in both paths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Review &amp; Confirm Bulk Upload</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bulk upload, system shows a preview with error rows highlighted. Admin chooses “Proceed (valid rows only)” or “Cancel”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Models Appear in Inventory</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Successfully validated models are persisted, become visible to Users (Workflow 9) and Viewers (Workflow 14) per their access scope, and start being eligible for monitoring</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Attach Data via Add Data</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For models without an attached pipeline, Admin clicks Add Data on the row to link the model to a Data Ingestion pipeline (configured in Workflow 4). Status flips to “Data Added” once linked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Monitor Due In</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Due In column tracks the time remaining to the next monitoring obligation, colour-coded (default / orange / red) to surface upcoming and overdue items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 Delete (when needed)</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clicks Delete on a row, confirms with a mandatory reason. The model is marked deleted and moved to the Archived view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9</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Request Restoration</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From the Archived view, Admin raises a Restoration Request which generates an ITSM ticket to the external IT team. Decision is communicated by email and reflected in the Archived view</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w:t>
            </w:r>
          </w:p>
        </w:tc>
        <w:tc>
          <w:tcPr>
            <w:tcW w:type="dxa" w:w="6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After the configurable retention period elapses, archived models are eligible for hard deletion through a Governance-controlled purge process (Workflow 7)</w:t>
            </w:r>
          </w:p>
        </w:tc>
      </w:tr>
    </w:tbl>
    <w:p>
      <w:pPr>
        <w:pStyle w:val="Heading2"/>
        <w:spacing w:after="140" w:before="240"/>
      </w:pPr>
      <w:r>
        <w:rPr>
          <w:rFonts w:ascii="Arial" w:cs="Arial" w:eastAsia="Arial" w:hAnsi="Arial"/>
          <w:b/>
          <w:bCs/>
          <w:color w:val="1E3A8A"/>
          <w:sz w:val="26"/>
          <w:szCs w:val="26"/>
        </w:rPr>
        <w:t xml:space="preserve">3.2 Screens in Scope</w:t>
      </w:r>
    </w:p>
    <w:p>
      <w:pPr>
        <w:spacing w:after="120"/>
      </w:pPr>
      <w:r>
        <w:rPr>
          <w:rFonts w:ascii="Arial" w:cs="Arial" w:eastAsia="Arial" w:hAnsi="Arial"/>
        </w:rPr>
        <w:t xml:space="preserve">The workflow comprises the following screens, each detailed in Section 4:</w:t>
      </w:r>
    </w:p>
    <w:p>
      <w:pPr>
        <w:pStyle w:val="ListParagraph"/>
        <w:numPr>
          <w:ilvl w:val="0"/>
          <w:numId w:val="2"/>
        </w:numPr>
        <w:spacing w:after="80"/>
      </w:pPr>
      <w:r>
        <w:rPr>
          <w:rFonts w:ascii="Arial" w:cs="Arial" w:eastAsia="Arial" w:hAnsi="Arial"/>
        </w:rPr>
        <w:t xml:space="preserve">Screen 1: Inventory List (Active models)</w:t>
      </w:r>
    </w:p>
    <w:p>
      <w:pPr>
        <w:pStyle w:val="ListParagraph"/>
        <w:numPr>
          <w:ilvl w:val="0"/>
          <w:numId w:val="2"/>
        </w:numPr>
        <w:spacing w:after="80"/>
      </w:pPr>
      <w:r>
        <w:rPr>
          <w:rFonts w:ascii="Arial" w:cs="Arial" w:eastAsia="Arial" w:hAnsi="Arial"/>
        </w:rPr>
        <w:t xml:space="preserve">Screen 2: Add Single Model — manual entry form</w:t>
      </w:r>
    </w:p>
    <w:p>
      <w:pPr>
        <w:pStyle w:val="ListParagraph"/>
        <w:numPr>
          <w:ilvl w:val="0"/>
          <w:numId w:val="2"/>
        </w:numPr>
        <w:spacing w:after="80"/>
      </w:pPr>
      <w:r>
        <w:rPr>
          <w:rFonts w:ascii="Arial" w:cs="Arial" w:eastAsia="Arial" w:hAnsi="Arial"/>
        </w:rPr>
        <w:t xml:space="preserve">Screen 3: Bulk Upload — file selection</w:t>
      </w:r>
    </w:p>
    <w:p>
      <w:pPr>
        <w:pStyle w:val="ListParagraph"/>
        <w:numPr>
          <w:ilvl w:val="0"/>
          <w:numId w:val="2"/>
        </w:numPr>
        <w:spacing w:after="80"/>
      </w:pPr>
      <w:r>
        <w:rPr>
          <w:rFonts w:ascii="Arial" w:cs="Arial" w:eastAsia="Arial" w:hAnsi="Arial"/>
        </w:rPr>
        <w:t xml:space="preserve">Screen 4: Bulk Upload — validation preview with errors highlighted</w:t>
      </w:r>
    </w:p>
    <w:p>
      <w:pPr>
        <w:pStyle w:val="ListParagraph"/>
        <w:numPr>
          <w:ilvl w:val="0"/>
          <w:numId w:val="2"/>
        </w:numPr>
        <w:spacing w:after="80"/>
      </w:pPr>
      <w:r>
        <w:rPr>
          <w:rFonts w:ascii="Arial" w:cs="Arial" w:eastAsia="Arial" w:hAnsi="Arial"/>
        </w:rPr>
        <w:t xml:space="preserve">Screen 5: Bulk Upload — confirmation result</w:t>
      </w:r>
    </w:p>
    <w:p>
      <w:pPr>
        <w:pStyle w:val="ListParagraph"/>
        <w:numPr>
          <w:ilvl w:val="0"/>
          <w:numId w:val="2"/>
        </w:numPr>
        <w:spacing w:after="80"/>
      </w:pPr>
      <w:r>
        <w:rPr>
          <w:rFonts w:ascii="Arial" w:cs="Arial" w:eastAsia="Arial" w:hAnsi="Arial"/>
        </w:rPr>
        <w:t xml:space="preserve">Screen 6: Category Label Configuration</w:t>
      </w:r>
    </w:p>
    <w:p>
      <w:pPr>
        <w:pStyle w:val="ListParagraph"/>
        <w:numPr>
          <w:ilvl w:val="0"/>
          <w:numId w:val="2"/>
        </w:numPr>
        <w:spacing w:after="80"/>
      </w:pPr>
      <w:r>
        <w:rPr>
          <w:rFonts w:ascii="Arial" w:cs="Arial" w:eastAsia="Arial" w:hAnsi="Arial"/>
        </w:rPr>
        <w:t xml:space="preserve">Screen 7: Add Data — pipeline link selection</w:t>
      </w:r>
    </w:p>
    <w:p>
      <w:pPr>
        <w:pStyle w:val="ListParagraph"/>
        <w:numPr>
          <w:ilvl w:val="0"/>
          <w:numId w:val="2"/>
        </w:numPr>
        <w:spacing w:after="80"/>
      </w:pPr>
      <w:r>
        <w:rPr>
          <w:rFonts w:ascii="Arial" w:cs="Arial" w:eastAsia="Arial" w:hAnsi="Arial"/>
        </w:rPr>
        <w:t xml:space="preserve">Screen 8: Delete confirmation modal (with reason capture)</w:t>
      </w:r>
    </w:p>
    <w:p>
      <w:pPr>
        <w:pStyle w:val="ListParagraph"/>
        <w:numPr>
          <w:ilvl w:val="0"/>
          <w:numId w:val="2"/>
        </w:numPr>
        <w:spacing w:after="80"/>
      </w:pPr>
      <w:r>
        <w:rPr>
          <w:rFonts w:ascii="Arial" w:cs="Arial" w:eastAsia="Arial" w:hAnsi="Arial"/>
        </w:rPr>
        <w:t xml:space="preserve">Screen 9: Archived Inventory list</w:t>
      </w:r>
    </w:p>
    <w:p>
      <w:pPr>
        <w:pStyle w:val="ListParagraph"/>
        <w:numPr>
          <w:ilvl w:val="0"/>
          <w:numId w:val="2"/>
        </w:numPr>
        <w:spacing w:after="80"/>
      </w:pPr>
      <w:r>
        <w:rPr>
          <w:rFonts w:ascii="Arial" w:cs="Arial" w:eastAsia="Arial" w:hAnsi="Arial"/>
        </w:rPr>
        <w:t xml:space="preserve">Screen 10: Restoration Request form</w:t>
      </w:r>
    </w:p>
    <w:p>
      <w:pPr>
        <w:pStyle w:val="ListParagraph"/>
        <w:numPr>
          <w:ilvl w:val="0"/>
          <w:numId w:val="2"/>
        </w:numPr>
        <w:spacing w:after="80"/>
      </w:pPr>
      <w:r>
        <w:rPr>
          <w:rFonts w:ascii="Arial" w:cs="Arial" w:eastAsia="Arial" w:hAnsi="Arial"/>
        </w:rPr>
        <w:t xml:space="preserve">Screen 11: Restoration Request status detail (with ITSM ticket reference)</w:t>
      </w:r>
    </w:p>
    <w:p>
      <w:pPr>
        <w:pStyle w:val="Heading1"/>
        <w:spacing w:after="200" w:before="320"/>
      </w:pPr>
      <w:r>
        <w:rPr>
          <w:rFonts w:ascii="Arial" w:cs="Arial" w:eastAsia="Arial" w:hAnsi="Arial"/>
          <w:b/>
          <w:bCs/>
          <w:color w:val="1E3A8A"/>
          <w:sz w:val="32"/>
          <w:szCs w:val="32"/>
        </w:rPr>
        <w:t xml:space="preserve">4. Functional Requirements</w:t>
      </w:r>
    </w:p>
    <w:p>
      <w:pPr>
        <w:pStyle w:val="Heading2"/>
        <w:spacing w:after="140" w:before="240"/>
      </w:pPr>
      <w:r>
        <w:rPr>
          <w:rFonts w:ascii="Arial" w:cs="Arial" w:eastAsia="Arial" w:hAnsi="Arial"/>
          <w:b/>
          <w:bCs/>
          <w:color w:val="1E3A8A"/>
          <w:sz w:val="26"/>
          <w:szCs w:val="26"/>
        </w:rPr>
        <w:t xml:space="preserve">4.1 Inventory List View</w:t>
      </w:r>
    </w:p>
    <w:p>
      <w:pPr>
        <w:spacing w:after="160" w:line="300"/>
        <w:jc w:val="both"/>
      </w:pPr>
      <w:r>
        <w:rPr>
          <w:rFonts w:ascii="Arial" w:cs="Arial" w:eastAsia="Arial" w:hAnsi="Arial"/>
        </w:rPr>
        <w:t xml:space="preserve">The Inventory List View is the default landing screen for the Manage Model Inventory tile. It presents all active (non-archived) models in a tabular view with the mandatory display columns defined below, supports search / filter / sort / pagination, and is the launch point for every other action in this workflow.</w:t>
      </w:r>
    </w:p>
    <w:p>
      <w:pPr>
        <w:pStyle w:val="Heading3"/>
        <w:spacing w:after="100" w:before="180"/>
      </w:pPr>
      <w:r>
        <w:rPr>
          <w:rFonts w:ascii="Arial" w:cs="Arial" w:eastAsia="Arial" w:hAnsi="Arial"/>
          <w:b/>
          <w:bCs/>
          <w:color w:val="1E293B"/>
          <w:sz w:val="22"/>
          <w:szCs w:val="22"/>
        </w:rPr>
        <w:t xml:space="preserve">4.1.1 Mandatory Display Columns</w:t>
      </w:r>
    </w:p>
    <w:p>
      <w:pPr>
        <w:spacing w:after="120"/>
      </w:pPr>
      <w:r>
        <w:rPr>
          <w:rFonts w:ascii="Arial" w:cs="Arial" w:eastAsia="Arial" w:hAnsi="Arial"/>
        </w:rPr>
        <w:t xml:space="preserve">The inventory list displays the following columns, in this order,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780"/>
        <w:gridCol w:w="580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2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Column</w:t>
            </w:r>
          </w:p>
        </w:tc>
        <w:tc>
          <w:tcPr>
            <w:tcW w:type="dxa" w:w="58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Source / Notes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Admin-configurable label; default “Geography”. Sourced from the model record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Sub Category 1</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Admin-configurable label; default “Domain”. Sourced from the model record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Sub Category 2</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Admin-configurable label; default “Product”. Sourced from the model record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Unique identifier of the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Name</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Display name of the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Modelling Technique</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Logistic Regression, Gradient Boosting, Neural Network</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Event Definition</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model's target event definition (free text)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Monitoring Start Date</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Date from which monitoring obligations begin (calendar date)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9</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Monitoring Frequency</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Cadence of monitoring runs (e.g., Daily, Weekly, Monthly, Quarterly)</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10</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Due Date</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The absolute calendar date of the next monitoring obligation (e.g. 08 May 2026). Computed as Monitoring Start Date plus Monitoring Frequency, recalculated after each successful monitoring run.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11</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Due Time / Duration</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Calendar days remaining until the next monitoring obligation, expressed relative to the monitoring period (e.g. 7 days / 90d for a quarterly model). Colour-coded per section 4.1.4: default neutral when &gt;= 10% of the period remains; orange when &lt; 10% of the frequency window remains; red when overdue (value &lt; 0).</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12</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Workflow Status</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ERP-style step indicator showing the model's current pipeline position: KPI Review (Step 1), Data Ingestion (Step 2), Monitoring Active, or Monitoring Overdue. Coloured step-dots drive the context-sensitive action shown in the Add Data column. See section 4.1.5.</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13</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Add Data</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Context-sensitive action column driven by the model's Workflow Status: "Start KPI Review" button (purple) when KPI Review is required; "Continue with Data Ingestion" button (teal) when KPI Review is complete and data ingestion is next; "Data Added" pill (green) once a pipeline is linked. See section 4.6.</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14</w:t>
            </w:r>
          </w:p>
        </w:tc>
        <w:tc>
          <w:tcPr>
            <w:tcW w:type="dxa" w:w="2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Actions</w:t>
            </w:r>
          </w:p>
        </w:tc>
        <w:tc>
          <w:tcPr>
            <w:tcW w:type="dxa" w:w="5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Row-level actions: View Details, Delete (single, with reason)</w:t>
            </w:r>
          </w:p>
        </w:tc>
      </w:tr>
    </w:tbl>
    <w:p>
      <w:pPr>
        <w:pStyle w:val="Heading3"/>
        <w:spacing w:after="100" w:before="180"/>
      </w:pPr>
      <w:r>
        <w:rPr>
          <w:rFonts w:ascii="Arial" w:cs="Arial" w:eastAsia="Arial" w:hAnsi="Arial"/>
          <w:b/>
          <w:bCs/>
          <w:color w:val="1E293B"/>
          <w:sz w:val="22"/>
          <w:szCs w:val="22"/>
        </w:rPr>
        <w:t xml:space="preserve">4.1.2 Functional Requirements —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Inventory List shall, by default, display all active (non-archived) models in the platform inventory.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The list shall display the thirteen mandatory display columns specified in section 4.1.1, in the order defined, plus an Actions control column.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list shall support a global search across Model ID, Model Name, Modelling Technique, Event Definition, and the three Category fields.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The list shall support multi-column filtering on Category, Sub Category 1, Sub Category 2, Modelling Technique, Monitoring Frequency, and Due Time / Duration status (Default / Orange / Red).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column shall be sortable in ascending and descending order. Sort state shall be visually indicated.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list shall be paginated. Default page size: 25 rows. The Admin shall be able to choose page sizes of 25, 50, or 100.</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Active filters and sort state shall persist within the session and be reset on tile re-entry from the Admin homepage.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 toggle in the header shall allow the Admin to switch between Active Inventory and Archived Inventory views (see section 4.7).</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Primary action buttons shall be visible at the top of the list: “Add Single Model”, “Bulk Upload”, “Download Template”, “Configure Category Labels”, “Export Inventory”.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WF2-LST-010</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Admin shall be able to download the full inventory (including non-display fields) as an Excel file via the “Export Inventory” action.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non-display (additional metadata) fields listed in section 4.4.2 shall not appear in the on-screen list but shall be included in the exported file.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Clicking a row shall open a read-only “View Details” side panel showing all fields of the model, including the additional metadata.</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list shall load core content within 2.0 seconds at the 95th percentile for inventories of up to 5,000 active models (see also section 5.2).</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3"/>
        <w:spacing w:after="100" w:before="180"/>
      </w:pPr>
      <w:r>
        <w:rPr>
          <w:rFonts w:ascii="Arial" w:cs="Arial" w:eastAsia="Arial" w:hAnsi="Arial"/>
          <w:b/>
          <w:bCs/>
          <w:color w:val="1E293B"/>
          <w:sz w:val="22"/>
          <w:szCs w:val="22"/>
        </w:rPr>
        <w:t xml:space="preserve">4.1.3 Categories — Defaults and Configurability</w:t>
      </w:r>
    </w:p>
    <w:p>
      <w:pPr>
        <w:spacing w:after="160" w:line="300"/>
        <w:jc w:val="both"/>
      </w:pPr>
      <w:r>
        <w:rPr>
          <w:rFonts w:ascii="Arial" w:cs="Arial" w:eastAsia="Arial" w:hAnsi="Arial"/>
        </w:rPr>
        <w:t xml:space="preserve">Three classification fields are present in the inventory and in the upload template. Their column labels are configurable by the Admin per section 4.5; their defaults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Field</w:t>
            </w:r>
          </w:p>
        </w:tc>
        <w:tc>
          <w:tcPr>
            <w:tcW w:type="dxa" w:w="24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Default Label</w:t>
            </w:r>
          </w:p>
        </w:tc>
        <w:tc>
          <w:tcPr>
            <w:tcW w:type="dxa" w:w="476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Notes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Geography</w:t>
            </w:r>
          </w:p>
        </w:tc>
        <w:tc>
          <w:tcPr>
            <w:tcW w:type="dxa" w:w="4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NA, EMEA, APAC, LATAM</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Sub Category 1</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Domain</w:t>
            </w:r>
          </w:p>
        </w:tc>
        <w:tc>
          <w:tcPr>
            <w:tcW w:type="dxa" w:w="4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Credit, Market, Operational, Fraud</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Sub Category 2</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Product</w:t>
            </w:r>
          </w:p>
        </w:tc>
        <w:tc>
          <w:tcPr>
            <w:tcW w:type="dxa" w:w="4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Cards, Mortgage, Auto, Trading</w:t>
            </w:r>
          </w:p>
        </w:tc>
      </w:tr>
    </w:tbl>
    <w:p>
      <w:pPr>
        <w:pStyle w:val="Heading3"/>
        <w:spacing w:after="100" w:before="180"/>
      </w:pPr>
      <w:r>
        <w:rPr>
          <w:rFonts w:ascii="Arial" w:cs="Arial" w:eastAsia="Arial" w:hAnsi="Arial"/>
          <w:b/>
          <w:bCs/>
          <w:color w:val="1E293B"/>
          <w:sz w:val="22"/>
          <w:szCs w:val="22"/>
        </w:rPr>
        <w:t>4.1.4 Due Date &amp; Due Time / Duration — Colour Logic</w:t>
      </w:r>
    </w:p>
    <w:p>
      <w:pPr>
        <w:spacing w:after="160" w:line="300"/>
        <w:jc w:val="both"/>
      </w:pPr>
      <w:r>
        <w:rPr>
          <w:rFonts w:ascii="Arial" w:cs="Arial" w:eastAsia="Arial" w:hAnsi="Arial"/>
        </w:rPr>
        <w:t>The inventory list displays two separate date-related columns for each model. The Due Date column shows the absolute calendar date of the next monitoring obligation, computed as Monitoring Start Date plus Monitoring Frequency and recalculated after each successful monitoring run. The Due Time / Duration column shows the days remaining until that obligation expressed relative to the monitoring period (e.g. "7 days / 90d" for a quarterly model with 7 days to go). The colour-coding logic for Due Time / Duration is: default neutral when &gt;= 10% of the frequency window remains; orange when &lt; 10% of the window remains (e.g. 7 of 90 days for quarterly = 7.7% =&gt; orange); red when the model is overdue (days remaining &lt;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4800"/>
      </w:tblGrid>
      <w:tr>
        <w:trPr>
          <w:tblHeader/>
        </w:trPr>
        <w:tc>
          <w:tcPr>
            <w:tcW w:type="dxa" w:w="2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Condition</w:t>
            </w:r>
          </w:p>
        </w:tc>
        <w:tc>
          <w:tcPr>
            <w:tcW w:type="dxa" w:w="2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Colour</w:t>
            </w:r>
          </w:p>
        </w:tc>
        <w:tc>
          <w:tcPr>
            <w:tcW w:type="dxa" w:w="48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Meaning</w:t>
            </w:r>
          </w:p>
        </w:tc>
      </w:tr>
      <w:tr>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 &gt;= 10% of frequency window</w:t>
            </w:r>
          </w:p>
        </w:tc>
        <w:tc>
          <w:tcPr>
            <w:tcW w:type="dxa" w:w="22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Default (neutral)</w:t>
            </w:r>
          </w:p>
        </w:tc>
        <w:tc>
          <w:tcPr>
            <w:tcW w:type="dxa" w:w="4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track</w:t>
            </w:r>
          </w:p>
        </w:tc>
      </w:tr>
      <w:tr>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 &lt; 10% of frequency window AND &gt;= 0</w:t>
            </w:r>
          </w:p>
        </w:tc>
        <w:tc>
          <w:tcPr>
            <w:tcW w:type="dxa" w:w="2280"/>
            <w:tcBorders>
              <w:top w:val="single" w:color="CBD5E1" w:sz="4"/>
              <w:left w:val="single" w:color="CBD5E1" w:sz="4"/>
              <w:bottom w:val="single" w:color="CBD5E1" w:sz="4"/>
              <w:right w:val="single" w:color="CBD5E1" w:sz="4"/>
            </w:tcBorders>
            <w:shd w:fill="FED7AA" w:val="clear"/>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Orange</w:t>
            </w:r>
          </w:p>
        </w:tc>
        <w:tc>
          <w:tcPr>
            <w:tcW w:type="dxa" w:w="4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Approaching due date — operational attention recommended</w:t>
            </w:r>
          </w:p>
        </w:tc>
      </w:tr>
      <w:tr>
        <w:tc>
          <w:tcPr>
            <w:tcW w:type="dxa" w:w="2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 &lt; 0 (overdue)</w:t>
            </w:r>
          </w:p>
        </w:tc>
        <w:tc>
          <w:tcPr>
            <w:tcW w:type="dxa" w:w="2280"/>
            <w:tcBorders>
              <w:top w:val="single" w:color="CBD5E1" w:sz="4"/>
              <w:left w:val="single" w:color="CBD5E1" w:sz="4"/>
              <w:bottom w:val="single" w:color="CBD5E1" w:sz="4"/>
              <w:right w:val="single" w:color="CBD5E1" w:sz="4"/>
            </w:tcBorders>
            <w:shd w:fill="FECACA" w:val="clear"/>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Red</w:t>
            </w:r>
          </w:p>
        </w:tc>
        <w:tc>
          <w:tcPr>
            <w:tcW w:type="dxa" w:w="4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Overdue — escalation expected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Due In value shall be expressed in calendar days and recalculated automatically after each successful monitoring run reported by the Scheduler module.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Due In cell shall be visually colour-coded per the rules above; the colour-coding shall meet WCAG AA contrast and be reinforced by an icon for accessibility.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WF2-LST-016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Admin shall be able to filter the list to show only Orange or only Red models for at-a-glance triage.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3"/>
      </w:pPr>
      <w:r>
        <w:t xml:space="preserve">4.1.5.3  User Stories</w:t>
      </w:r>
    </w:p>
    <w:p>
      <w:r>
        <w:t>A Workflow Status column is listed as mandatory display column 12 in the inventory table (section 4.1.1). It renders a row of coloured step-dots representing the model's current position in the monitoring pipeline: KPI Review (Step 1), Data Ingestion (Step 2), and Monitoring Active / Monitoring Overdue. The step-dot state also drives the context-sensitive action shown in the Add Data column (column 13).</w:t>
      </w:r>
    </w:p>
    <w:p>
      <w:pPr>
        <w:pStyle w:val="Heading3"/>
      </w:pPr>
      <w:r>
        <w:t xml:space="preserve">4.1.5.2  ERP Workflow Status Column</w:t>
      </w:r>
    </w:p>
    <w:p>
      <w:r>
        <w:t xml:space="preserve">The due date scroller is a horizontal urgency panel pinned above the inventory table. It groups models into urgency tiers (Overdue, Due This Week, Due This Month, OK) using colour-coded cards with day-count labels, allowing Admins to identify time-critical models at a glance.</w:t>
      </w:r>
    </w:p>
    <w:p>
      <w:pPr>
        <w:pStyle w:val="Heading3"/>
      </w:pPr>
      <w:r>
        <w:t xml:space="preserve">4.1.5.1  Due Date Scroller Panel</w:t>
      </w:r>
    </w:p>
    <w:p>
      <w:r>
        <w:t xml:space="preserve">A persistent due-date urgency panel and an ERP-style step indicator give Admins immediate operational context on each model's monitoring readiness directly from the Inventory List screen.</w:t>
      </w:r>
    </w:p>
    <w:p>
      <w:pPr>
        <w:pStyle w:val="Heading2"/>
      </w:pPr>
      <w:r>
        <w:t xml:space="preserve">4.1.5  Workflow Status Tracker &amp; Due Date Scroller</w:t>
      </w:r>
    </w:p>
    <w:tbl>
      <w:tblPr>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As an...</w:t>
            </w:r>
          </w:p>
        </w:tc>
        <w:tc>
          <w:tcPr>
            <w:tcW w:type="dxa" w:w="2340"/>
          </w:tcPr>
          <w:p>
            <w:r>
              <w:rPr>
                <w:b/>
              </w:rPr>
              <w:t>Feature</w:t>
            </w:r>
          </w:p>
        </w:tc>
        <w:tc>
          <w:tcPr>
            <w:tcW w:type="dxa" w:w="2340"/>
          </w:tcPr>
          <w:p>
            <w:r>
              <w:rPr>
                <w:b/>
              </w:rPr>
              <w:t>User Story</w:t>
            </w:r>
          </w:p>
        </w:tc>
      </w:tr>
      <w:tr>
        <w:tc>
          <w:tcPr>
            <w:tcW w:type="dxa" w:w="2340"/>
          </w:tcPr>
          <w:p>
            <w:r>
              <w:t>WF2-ERP-001</w:t>
            </w:r>
          </w:p>
        </w:tc>
        <w:tc>
          <w:tcPr>
            <w:tcW w:type="dxa" w:w="2340"/>
          </w:tcPr>
          <w:p>
            <w:r>
              <w:t>Admin</w:t>
            </w:r>
          </w:p>
        </w:tc>
        <w:tc>
          <w:tcPr>
            <w:tcW w:type="dxa" w:w="2340"/>
          </w:tcPr>
          <w:p>
            <w:r>
              <w:t>Due Date Scroller</w:t>
            </w:r>
          </w:p>
        </w:tc>
        <w:tc>
          <w:tcPr>
            <w:tcW w:type="dxa" w:w="2340"/>
          </w:tcPr>
          <w:p>
            <w:r>
              <w:t>See a scrollable urgency panel above the inventory list that groups models into Overdue, Due This Week, Due This Month, and OK tiers, so that I can quickly identify and prioritise models needing immediate attention.</w:t>
            </w:r>
          </w:p>
        </w:tc>
      </w:tr>
      <w:tr>
        <w:tc>
          <w:tcPr>
            <w:tcW w:type="dxa" w:w="2340"/>
          </w:tcPr>
          <w:p>
            <w:r>
              <w:t>WF2-ERP-002</w:t>
            </w:r>
          </w:p>
        </w:tc>
        <w:tc>
          <w:tcPr>
            <w:tcW w:type="dxa" w:w="2340"/>
          </w:tcPr>
          <w:p>
            <w:r>
              <w:t>Admin</w:t>
            </w:r>
          </w:p>
        </w:tc>
        <w:tc>
          <w:tcPr>
            <w:tcW w:type="dxa" w:w="2340"/>
          </w:tcPr>
          <w:p>
            <w:r>
              <w:t>ERP Workflow Status Column</w:t>
            </w:r>
          </w:p>
        </w:tc>
        <w:tc>
          <w:tcPr>
            <w:tcW w:type="dxa" w:w="2340"/>
          </w:tcPr>
          <w:p>
            <w:r>
              <w:t>See a Workflow Status column in the inventory list displaying coloured step-dots for each model representing KPI Review, Data Ingestion, and Monitoring Active stages, so that I can assess pipeline progress at a glance.</w:t>
            </w:r>
          </w:p>
        </w:tc>
      </w:tr>
      <w:tr>
        <w:tc>
          <w:tcPr>
            <w:tcW w:type="dxa" w:w="2340"/>
          </w:tcPr>
          <w:p>
            <w:r>
              <w:t>WF2-ERP-003</w:t>
            </w:r>
          </w:p>
        </w:tc>
        <w:tc>
          <w:tcPr>
            <w:tcW w:type="dxa" w:w="2340"/>
          </w:tcPr>
          <w:p>
            <w:r>
              <w:t>Admin</w:t>
            </w:r>
          </w:p>
        </w:tc>
        <w:tc>
          <w:tcPr>
            <w:tcW w:type="dxa" w:w="2340"/>
          </w:tcPr>
          <w:p>
            <w:r>
              <w:t>Step State: KPI Review Required</w:t>
            </w:r>
          </w:p>
        </w:tc>
        <w:tc>
          <w:tcPr>
            <w:tcW w:type="dxa" w:w="2340"/>
          </w:tcPr>
          <w:p>
            <w:r>
              <w:t>See a blue step-dot labelled '1' indicating KPI Review is pending for a model, so that I know Step 1 of the ingestion pipeline must be completed before monitoring begins.</w:t>
            </w:r>
          </w:p>
        </w:tc>
      </w:tr>
      <w:tr>
        <w:tc>
          <w:tcPr>
            <w:tcW w:type="dxa" w:w="2340"/>
          </w:tcPr>
          <w:p>
            <w:r>
              <w:t>WF2-ERP-004</w:t>
            </w:r>
          </w:p>
        </w:tc>
        <w:tc>
          <w:tcPr>
            <w:tcW w:type="dxa" w:w="2340"/>
          </w:tcPr>
          <w:p>
            <w:r>
              <w:t>Admin</w:t>
            </w:r>
          </w:p>
        </w:tc>
        <w:tc>
          <w:tcPr>
            <w:tcW w:type="dxa" w:w="2340"/>
          </w:tcPr>
          <w:p>
            <w:r>
              <w:t>Step State: Data Ingestion Required</w:t>
            </w:r>
          </w:p>
        </w:tc>
        <w:tc>
          <w:tcPr>
            <w:tcW w:type="dxa" w:w="2340"/>
          </w:tcPr>
          <w:p>
            <w:r>
              <w:t>See a blue step-dot labelled '2' indicating Reference Data Ingestion is pending, so that I can see the model has confirmed KPIs and is awaiting reference data upload.</w:t>
            </w:r>
          </w:p>
        </w:tc>
      </w:tr>
      <w:tr>
        <w:tc>
          <w:tcPr>
            <w:tcW w:type="dxa" w:w="2340"/>
          </w:tcPr>
          <w:p>
            <w:r>
              <w:t>WF2-ERP-005</w:t>
            </w:r>
          </w:p>
        </w:tc>
        <w:tc>
          <w:tcPr>
            <w:tcW w:type="dxa" w:w="2340"/>
          </w:tcPr>
          <w:p>
            <w:r>
              <w:t>Admin</w:t>
            </w:r>
          </w:p>
        </w:tc>
        <w:tc>
          <w:tcPr>
            <w:tcW w:type="dxa" w:w="2340"/>
          </w:tcPr>
          <w:p>
            <w:r>
              <w:t>Step State: Monitoring Active</w:t>
            </w:r>
          </w:p>
        </w:tc>
        <w:tc>
          <w:tcPr>
            <w:tcW w:type="dxa" w:w="2340"/>
          </w:tcPr>
          <w:p>
            <w:r>
              <w:t>See a teal filled-circle indicator for models that have completed all ingestion steps and are actively monitored, so that I can confirm monitoring is running without opening the model detail.</w:t>
            </w:r>
          </w:p>
        </w:tc>
      </w:tr>
      <w:tr>
        <w:tc>
          <w:tcPr>
            <w:tcW w:type="dxa" w:w="2340"/>
          </w:tcPr>
          <w:p>
            <w:r>
              <w:t>WF2-ERP-006</w:t>
            </w:r>
          </w:p>
        </w:tc>
        <w:tc>
          <w:tcPr>
            <w:tcW w:type="dxa" w:w="2340"/>
          </w:tcPr>
          <w:p>
            <w:r>
              <w:t>Admin</w:t>
            </w:r>
          </w:p>
        </w:tc>
        <w:tc>
          <w:tcPr>
            <w:tcW w:type="dxa" w:w="2340"/>
          </w:tcPr>
          <w:p>
            <w:r>
              <w:t>Step State: Monitoring Overdue</w:t>
            </w:r>
          </w:p>
        </w:tc>
        <w:tc>
          <w:tcPr>
            <w:tcW w:type="dxa" w:w="2340"/>
          </w:tcPr>
          <w:p>
            <w:r>
              <w:t>See a red exclamation indicator for models that are past their monitoring due date, so that I can immediately act on overdue models during my daily review.</w:t>
            </w:r>
          </w:p>
        </w:tc>
      </w:tr>
    </w:tbl>
    <w:p>
      <w:pPr>
        <w:pStyle w:val="Heading2"/>
        <w:spacing w:after="140" w:before="240"/>
      </w:pPr>
      <w:r>
        <w:rPr>
          <w:rFonts w:ascii="Arial" w:cs="Arial" w:eastAsia="Arial" w:hAnsi="Arial"/>
          <w:b/>
          <w:bCs/>
          <w:color w:val="1E3A8A"/>
          <w:sz w:val="26"/>
          <w:szCs w:val="26"/>
        </w:rPr>
        <w:t xml:space="preserve">4.2 Bulk Upload of Models</w:t>
      </w:r>
    </w:p>
    <w:p>
      <w:pPr>
        <w:spacing w:after="160" w:line="300"/>
        <w:jc w:val="both"/>
      </w:pPr>
      <w:r>
        <w:rPr>
          <w:rFonts w:ascii="Arial" w:cs="Arial" w:eastAsia="Arial" w:hAnsi="Arial"/>
        </w:rPr>
        <w:t xml:space="preserve">Bulk Upload is the primary onboarding path for large numbers of models. The Admin downloads a platform-supplied template, populates it offline, and uploads the file. The platform validates the file against the schema, presents a preview with errors highlighted, and ingests only the valid rows on Admin confirmation.</w:t>
      </w:r>
    </w:p>
    <w:p>
      <w:pPr>
        <w:pStyle w:val="Heading3"/>
        <w:spacing w:after="100" w:before="180"/>
      </w:pPr>
      <w:r>
        <w:rPr>
          <w:rFonts w:ascii="Arial" w:cs="Arial" w:eastAsia="Arial" w:hAnsi="Arial"/>
          <w:b/>
          <w:bCs/>
          <w:color w:val="1E293B"/>
          <w:sz w:val="22"/>
          <w:szCs w:val="22"/>
        </w:rPr>
        <w:t xml:space="preserve">4.2.1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Bulk Upload action shall open a dedicated upload screen distinct from the inventory list.</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upload screen shall accept files in Excel (.xlsx) and CSV (.csv) formats only. Other formats shall be rejected with a clear error message.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screen shall enforce a configurable maximum file size (default 10 MB) and a configurable maximum row count (default 1,000 models per upload).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upload shall be schema-validated against the Required column set (see section 4.4.1). Files missing any Required column shall be rejected at file level with a clear message indicating which columns are missing.</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Row-level validation shall include: presence of mandatory values, data type / format checks (dates, frequencies), uniqueness of Model ID within the file and against the existing inventory, and length limits on free-text fields.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After validation, the system shall display a preview screen showing: total rows, number valid, number invalid, and a tabular preview with invalid rows visually highlighted and per-cell error messages.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From the preview screen, the Admin shall be able to: (a) Proceed — ingest valid rows only, (b) Cancel — discard the upload entirely, or (c) Download Error Report — an Excel file listing the rows and validation errors for offline correction.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Proceed, only valid rows shall be ingested into the inventory and shown in the list view. Invalid rows shall not be ingested and shall be discarded along with the temporary upload artifact.</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upload event shall be written to the audit log per section 4.10, capturing: file name, file size, total rows, valid rows, invalid rows, Admin ID, timestamp, and the ingestion outcome.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WF2-BLK-010</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schema validation shall use the Admin-configured Category labels (per section 4.5) when matching template columns at the time of upload. Renamed labels apply only to subsequent uploads (see section 4.5).</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WF2-BLK-011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upload screen shall display a prominent link to download the latest template (per section 4.4) so that the Admin always uses an up-to-date schema.</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WF2-BLK-012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Concurrent uploads by the same Admin shall be prevented; a clear message shall indicate that an upload is already in progress.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WF2-BLK-013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system shall protect against malformed or malicious files (e.g., embedded macros, formula injection) per corporate secure coding standards.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4.3 Add Single Model</w:t>
      </w:r>
    </w:p>
    <w:p>
      <w:pPr>
        <w:spacing w:after="160" w:line="300"/>
        <w:jc w:val="both"/>
      </w:pPr>
      <w:r>
        <w:rPr>
          <w:rFonts w:ascii="Arial" w:cs="Arial" w:eastAsia="Arial" w:hAnsi="Arial"/>
        </w:rPr>
        <w:t xml:space="preserve">The Add Single Model form supports the manual entry of one model at a time. It uses the same schema as the bulk upload template and is the recommended path when registering small numbers of models or when a structured bulk file is not available.</w:t>
      </w:r>
    </w:p>
    <w:p>
      <w:pPr>
        <w:pStyle w:val="Heading3"/>
        <w:spacing w:after="100" w:before="180"/>
      </w:pPr>
      <w:r>
        <w:rPr>
          <w:rFonts w:ascii="Arial" w:cs="Arial" w:eastAsia="Arial" w:hAnsi="Arial"/>
          <w:b/>
          <w:bCs/>
          <w:color w:val="1E293B"/>
          <w:sz w:val="22"/>
          <w:szCs w:val="22"/>
        </w:rPr>
        <w:t xml:space="preserve">4.3.1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“Add Single Model” action shall open a structured form covering the full template field set (see section 4.4.1 and 4.4.2), grouped into logical sections: Classification, Identification, Modelling, Lifecycle &amp; Ownership, Monitoring, Lineage, and Additional Metadata.</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form shall enforce the same mandatory and optional designations as the bulk template.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Field-level validation shall be performed inline as the Admin types or moves between fields, with helpful error messages.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uniqueness shall be checked against the active inventory in real time and at submission.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submission, the model shall be persisted to the inventory and the Admin shall be returned to the inventory list with a success confirmation banner.</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Admin shall be able to save a partially completed form as a draft (local browser cache) for the duration of the session.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form shall provide a “Cancel” action that discards entries after a confirmation prompt.</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WF2-ADD-008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successful registration shall be written to the audit log per section 4.10.</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4.4 Downloadable Inventory Template</w:t>
      </w:r>
    </w:p>
    <w:p>
      <w:pPr>
        <w:spacing w:after="160" w:line="300"/>
        <w:jc w:val="both"/>
      </w:pPr>
      <w:r>
        <w:rPr>
          <w:rFonts w:ascii="Arial" w:cs="Arial" w:eastAsia="Arial" w:hAnsi="Arial"/>
        </w:rPr>
        <w:t xml:space="preserve">The platform shall supply a downloadable Excel template that defines the exact schema accepted by the bulk upload. This template is also the field schema for the Add Single Model form. The template includes both Required (mandatory) and Optional fields.</w:t>
      </w:r>
    </w:p>
    <w:p>
      <w:pPr>
        <w:pStyle w:val="Heading3"/>
        <w:spacing w:after="100" w:before="180"/>
      </w:pPr>
      <w:r>
        <w:rPr>
          <w:rFonts w:ascii="Arial" w:cs="Arial" w:eastAsia="Arial" w:hAnsi="Arial"/>
          <w:b/>
          <w:bCs/>
          <w:color w:val="1E293B"/>
          <w:sz w:val="22"/>
          <w:szCs w:val="22"/>
        </w:rPr>
        <w:t xml:space="preserve">4.4.1 Required (Mandatory) Fields</w:t>
      </w:r>
    </w:p>
    <w:p>
      <w:pPr>
        <w:spacing w:after="120"/>
      </w:pPr>
      <w:r>
        <w:rPr>
          <w:rFonts w:ascii="Arial" w:cs="Arial" w:eastAsia="Arial" w:hAnsi="Arial"/>
        </w:rPr>
        <w:t xml:space="preserve">The template shall include the following Required fields. Bulk uploads missing any of these fields are rejected at file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980"/>
        <w:gridCol w:w="5600"/>
      </w:tblGrid>
      <w:tr>
        <w:trPr>
          <w:tblHeader/>
        </w:trPr>
        <w:tc>
          <w:tcPr>
            <w:tcW w:type="dxa" w:w="7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w:t>
            </w:r>
          </w:p>
        </w:tc>
        <w:tc>
          <w:tcPr>
            <w:tcW w:type="dxa" w:w="29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Field</w:t>
            </w:r>
          </w:p>
        </w:tc>
        <w:tc>
          <w:tcPr>
            <w:tcW w:type="dxa" w:w="56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Notes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Geography (Category — configurable label)</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Default Category label; Admin-configurable per section 4.5</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Domain (Sub Category 1 — configurable label)</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Default Sub Category 1 label; Admin-configurable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3</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Product (Sub Category 2 — configurable label)</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Default Sub Category 2 label; Admin-configurable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4</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Model ID</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Unique within the active inventory and within the upload file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5</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Model Name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Free text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6</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Modelling Technique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Free text or selectable from a configurable list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7</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Data Type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Tabular, Text, Image, Time Series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8</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Data Structure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Structured, Semi-structured, Unstructured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9</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Event Definition</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Target event the model is designed to predict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10</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Usage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Business use case / purpose</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11</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Risk Tier / MRR</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Risk Rating per organisational risk taxonomy</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12</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Model Status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e.g., In Development, Awaiting Approval, In Production, Retired</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13</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Developer</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Name / team responsible for model development</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14</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Approval Date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Date the model received governance approval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15</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First Use Date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Date the model went live in production</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16</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Owner</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Accountable model owner (User on the platform)</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17</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Upstream Models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Comma-separated Model IDs that feed this model</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18</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Downstream Models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Comma-separated Model IDs that consume this model's outputs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19</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Monitoring Frequency</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Daily / Weekly / Monthly / Quarterly (or configurable values)</w:t>
            </w:r>
          </w:p>
        </w:tc>
      </w:tr>
      <w:tr>
        <w:tc>
          <w:tcPr>
            <w:tcW w:type="dxa" w:w="7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20</w:t>
            </w:r>
          </w:p>
        </w:tc>
        <w:tc>
          <w:tcPr>
            <w:tcW w:type="dxa" w:w="29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1E293B"/>
                <w:sz w:val="20"/>
                <w:szCs w:val="20"/>
              </w:rPr>
              <w:t xml:space="preserve">Monitoring Start Date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Calendar date from which monitoring obligations begin</w:t>
            </w:r>
          </w:p>
        </w:tc>
      </w:tr>
    </w:tbl>
    <w:p>
      <w:pPr>
        <w:pStyle w:val="Heading3"/>
        <w:spacing w:after="100" w:before="180"/>
      </w:pPr>
      <w:r>
        <w:rPr>
          <w:rFonts w:ascii="Arial" w:cs="Arial" w:eastAsia="Arial" w:hAnsi="Arial"/>
          <w:b/>
          <w:bCs/>
          <w:color w:val="1E293B"/>
          <w:sz w:val="22"/>
          <w:szCs w:val="22"/>
        </w:rPr>
        <w:t xml:space="preserve">4.4.2 Optional Fields</w:t>
      </w:r>
    </w:p>
    <w:p>
      <w:pPr>
        <w:spacing w:after="160" w:line="300"/>
        <w:jc w:val="both"/>
      </w:pPr>
      <w:r>
        <w:rPr>
          <w:rFonts w:ascii="Arial" w:cs="Arial" w:eastAsia="Arial" w:hAnsi="Arial"/>
        </w:rPr>
        <w:t xml:space="preserve">All other fields supplied by the template are optional. They are not displayed on the inventory list but are persisted on the model record and are visible in the View Details panel and in the exported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downloadable template shall be supplied in Excel (.xlsx) format with a single tabular sheet, header row, and an instructions tab.</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header row shall use the Admin-configured Category labels at the time of download (per section 4.5). The Required versus Optional designation shall be visually indicated (e.g., bold header, asterisk).</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instructions tab shall describe each field, expected formats, allowed values where applicable, and the schema validation rules.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template shall be downloadable from: (a) the inventory list header, (b) the Bulk Upload screen, and (c) the Help / Documentation menu.</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download shall be audit-logged with timestamp, Admin ID, and the active label set at the time of download.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WF2-TPL-006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template version shall be embedded in the file (e.g., as a hidden cell or instructions-tab entry) to allow the platform to detect outdated templates on upload and warn the Admin.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bl>
    <w:p>
      <w:pPr>
        <w:pStyle w:val="Heading2"/>
        <w:spacing w:after="140" w:before="240"/>
      </w:pPr>
      <w:r>
        <w:rPr>
          <w:rFonts w:ascii="Arial" w:cs="Arial" w:eastAsia="Arial" w:hAnsi="Arial"/>
          <w:b/>
          <w:bCs/>
          <w:color w:val="1E3A8A"/>
          <w:sz w:val="26"/>
          <w:szCs w:val="26"/>
        </w:rPr>
        <w:t xml:space="preserve">4.5 Category Label Configuration</w:t>
      </w:r>
    </w:p>
    <w:p>
      <w:pPr>
        <w:spacing w:after="160" w:line="300"/>
        <w:jc w:val="both"/>
      </w:pPr>
      <w:r>
        <w:rPr>
          <w:rFonts w:ascii="Arial" w:cs="Arial" w:eastAsia="Arial" w:hAnsi="Arial"/>
        </w:rPr>
        <w:t xml:space="preserve">The three classification fields (Category, Sub Category 1, Sub Category 2) have default labels of Geography, Domain, and Product respectively. Admins may rename these labels to align with the organisation's preferred taxonomy. Renames apply going forward only — existing models retain the labels that were active at the time of their registration.</w:t>
      </w:r>
    </w:p>
    <w:p>
      <w:pPr>
        <w:pStyle w:val="Heading3"/>
        <w:spacing w:after="100" w:before="180"/>
      </w:pPr>
      <w:r>
        <w:rPr>
          <w:rFonts w:ascii="Arial" w:cs="Arial" w:eastAsia="Arial" w:hAnsi="Arial"/>
          <w:b/>
          <w:bCs/>
          <w:color w:val="1E293B"/>
          <w:sz w:val="22"/>
          <w:szCs w:val="22"/>
        </w:rPr>
        <w:t xml:space="preserve">4.5.1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Admin shall be able to access a “Configure Category Labels” screen from the inventory list header.</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screen shall display the current labels for Category, Sub Category 1, and Sub Category 2, along with an editable text field for each.</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Labels shall be alphanumeric (with spaces and hyphens) and shall be subject to a configurable maximum length (default 30 characters).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save, the new labels shall apply only to models registered after the save event. Existing models shall retain the labels that were active at the time of their registration.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screen shall display a clear, prominent warning before saving, explaining the going-forward-only behaviour and listing the current count of existing models that will retain their old labels.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model record shall persist its label-set version so that the View Details panel and the exported inventory can render each model with its correct (historical) labels.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inventory list view shall display the label-set version active at registration in a tooltip on the column headers when models with mixed label sets are present in the list.</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label change shall be written to the audit log capturing: previous labels, new labels, Admin ID, timestamp, and the count of models retaining old labels at the time of the change.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WF2-CAT-009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Renaming category labels shall not alter or affect any model's existing classification values — only the label under which those values are displayed for new models.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4.6 Add Data Action</w:t>
      </w:r>
    </w:p>
    <w:p>
      <w:pPr>
        <w:spacing w:after="160" w:line="300"/>
        <w:jc w:val="both"/>
      </w:pPr>
      <w:r>
        <w:rPr>
          <w:rFonts w:ascii="Arial" w:cs="Arial" w:eastAsia="Arial" w:hAnsi="Arial"/>
        </w:rPr>
        <w:t>The Add Data column (column 13) in the inventory list is context-sensitive and is driven by the model's Workflow Status (column 12). When a model requires KPI Pack review before data ingestion, the column shows a "Start KPI Review" button (purple). When KPI Review is complete and data ingestion is the pending next step, it shows a "Continue with Data Ingestion" button (teal). Once a pipeline has been successfully linked, the column shows a "Data Added" pill (green). The Add Data action launches a pipeline-selection panel linking the model to a Data Ingestion pipeline configured in Workflow 4 (Model Data Ingestion).</w:t>
      </w:r>
    </w:p>
    <w:p>
      <w:pPr>
        <w:pStyle w:val="Heading3"/>
        <w:spacing w:after="100" w:before="180"/>
      </w:pPr>
      <w:r>
        <w:rPr>
          <w:rFonts w:ascii="Arial" w:cs="Arial" w:eastAsia="Arial" w:hAnsi="Arial"/>
          <w:b/>
          <w:bCs/>
          <w:color w:val="1E293B"/>
          <w:sz w:val="22"/>
          <w:szCs w:val="22"/>
        </w:rPr>
        <w:t xml:space="preserve">4.6.1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The Add Data column in each inventory row shall be context-sensitive based on the model's Workflow Status (section 4.1.5): (a) "Start KPI Review" action button (purple) when the model requires KPI Pack review before data ingestion; (b) "Continue with Data Ingestion" button (teal) when KPI Review is complete and data ingestion is the next step; (c) "Data Added" status pill (green) once a pipeline is successfully linked.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Clicking “Add Data” shall open a modal or side panel listing the Data Ingestion pipelines available for selection (sourced from Workflow 4).</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selection panel shall support search and filter on pipeline name, source system, and status.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selection and confirmation, the chosen pipeline shall be linked to the model record. The row's status flips to “Data Added” immediately.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If no pipelines are available (e.g., none have been configured in Workflow 4), the panel shall display an informative empty state with a link to the Model Data Ingestion module.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Hovering over the “Data Added” pill shall display a tooltip with the linked pipeline's name and last-run status.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link / unlink event shall be written to the audit log per section 4.10.</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Re-linking (changing the linked pipeline for a model) shall be supported and shall require explicit confirmation.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WF2-DTA-009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Unlinking a pipeline (returning the model to “Add Data” state) shall be supported and audit-logged.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bl>
    <w:p>
      <w:pPr>
        <w:pStyle w:val="Heading2"/>
        <w:spacing w:after="140" w:before="240"/>
      </w:pPr>
      <w:r>
        <w:rPr>
          <w:rFonts w:ascii="Arial" w:cs="Arial" w:eastAsia="Arial" w:hAnsi="Arial"/>
          <w:b/>
          <w:bCs/>
          <w:color w:val="1E3A8A"/>
          <w:sz w:val="26"/>
          <w:szCs w:val="26"/>
        </w:rPr>
        <w:t xml:space="preserve">4.7 Soft Delete &amp; Archival</w:t>
      </w:r>
    </w:p>
    <w:p>
      <w:pPr>
        <w:spacing w:after="160" w:line="300"/>
        <w:jc w:val="both"/>
      </w:pPr>
      <w:r>
        <w:rPr>
          <w:rFonts w:ascii="Arial" w:cs="Arial" w:eastAsia="Arial" w:hAnsi="Arial"/>
        </w:rPr>
        <w:t xml:space="preserve">Model deletion is performed one model at a time, from the row-level Actions menu in the inventory list. Deletion is a soft delete: the model is marked deleted, removed from the active inventory list, and moved to a separate Archived view. Archived models retain their full record, audit history, and any monitoring outputs already generated.</w:t>
      </w:r>
    </w:p>
    <w:p>
      <w:pPr>
        <w:pStyle w:val="Heading3"/>
        <w:spacing w:after="100" w:before="180"/>
      </w:pPr>
      <w:r>
        <w:rPr>
          <w:rFonts w:ascii="Arial" w:cs="Arial" w:eastAsia="Arial" w:hAnsi="Arial"/>
          <w:b/>
          <w:bCs/>
          <w:color w:val="1E293B"/>
          <w:sz w:val="22"/>
          <w:szCs w:val="22"/>
        </w:rPr>
        <w:t xml:space="preserve">4.7.1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Delete action shall be available only at the row level. Bulk delete is not supported.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Clicking Delete shall open a confirmation modal that displays the model's Model ID, Model Name, and key metadata to prevent mistaken deletion.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confirmation modal shall require the Admin to enter a mandatory Deletion Reason (free text, configurable minimum length, default 20 characters) before the Delete action is enabled.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confirmation, the model shall be soft-deleted: marked as Archived, removed from the active inventory list, and added to the Archived inventory view.</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Soft-deleted models shall retain their full record (all fields, including the Deletion Reason, deleting Admin ID, and deletion timestamp) and any associated monitoring outputs.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Archived view shall be accessible from the toggle in the inventory list header (per WF2-LST-008) and shall be visible only to Admins.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Archived view shall display the same default columns as the Active view, plus: Archived Date, Archived By, Deletion Reason, and Restoration Status.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soft delete shall be written to the audit log per section 4.10, capturing: Model ID, Model Name, deleting Admin ID, timestamp, IP address, and the Deletion Reason.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Soft-deleted models shall not be eligible for monitoring runs and shall not appear in User or Viewer inventory views.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WF2-DEL-010</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Soft-deleted models shall remain restorable via the Restoration Request workflow (section 4.8) until they are hard-deleted (section 4.9).</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4.8 Restoration Request Workflow</w:t>
      </w:r>
    </w:p>
    <w:p>
      <w:pPr>
        <w:spacing w:after="160" w:line="300"/>
        <w:jc w:val="both"/>
      </w:pPr>
      <w:r>
        <w:rPr>
          <w:rFonts w:ascii="Arial" w:cs="Arial" w:eastAsia="Arial" w:hAnsi="Arial"/>
        </w:rPr>
        <w:t xml:space="preserve">Restoration of an archived model is intentionally controlled through an external review by the corporate IT team via the Information Technology Service Management (ITSM) system. This separation of duties ensures that an action with material data and audit implications is reviewed independently of the Admin who initiated the deletion.</w:t>
      </w:r>
    </w:p>
    <w:p>
      <w:pPr>
        <w:pStyle w:val="Heading3"/>
        <w:spacing w:after="100" w:before="180"/>
      </w:pPr>
      <w:r>
        <w:rPr>
          <w:rFonts w:ascii="Arial" w:cs="Arial" w:eastAsia="Arial" w:hAnsi="Arial"/>
          <w:b/>
          <w:bCs/>
          <w:color w:val="1E293B"/>
          <w:sz w:val="22"/>
          <w:szCs w:val="22"/>
        </w:rPr>
        <w:t xml:space="preserve">4.8.1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From the Archived inventory view, the Admin shall be able to raise a Restoration Request for any archived model that has not yet been hard-deleted.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Restoration Request form shall capture: the target Model ID and Name (pre-populated, read-only), Business Justification (mandatory, free text, configurable minimum length), Requested Restoration Priority (Low / Medium / High), and Requestor contact details (pre-populated, read-only).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 submission, the platform shall create a ticket in the corporate ITSM system, including the model record reference, the business justification, and the requestor identity. The ITSM ticket ID shall be returned to and displayed in the platform.</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Archived view shall reflect the restoration status of each model: None, Requested (with ITSM ticket ID), In Review, Approved, Rejected.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platform shall poll or be notified of the ITSM ticket outcome (the integration mechanism is to be defined by the ITSM and platform integration teams). On Approved, the model shall be restored to the Active inventory automatically. On Rejected, the model shall remain in the Archived view with status Rejected and the rejection reason captured.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Both submission of a restoration request and the receipt of an ITSM outcome shall be written to the audit log per section 4.10.</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WF2-RST-007</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requesting Admin shall be notified by email on ticket creation, status changes, and final outcome.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WF2-RST-008</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Restored models shall return to the Active inventory with all original fields, monitoring history, and category labels intact (the historical labels active at registration are preserved).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WF2-RST-009</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If a model is restored, the Due In calculation shall resume based on the original Monitoring Start Date and Frequency; the platform team may adjust if a long archival gap warrants reconfiguration through Workflow 6 (Scheduler).</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WF2-RST-010</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If the same model is the subject of multiple restoration requests over time, all requests and outcomes shall be visible on the model's Restoration history sub-section.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78350F"/>
                <w:sz w:val="20"/>
                <w:szCs w:val="20"/>
              </w:rPr>
              <w:t xml:space="preserve">Should</w:t>
            </w:r>
          </w:p>
        </w:tc>
      </w:tr>
    </w:tbl>
    <w:p>
      <w:pPr>
        <w:pStyle w:val="Heading2"/>
        <w:spacing w:after="140" w:before="240"/>
      </w:pPr>
      <w:r>
        <w:rPr>
          <w:rFonts w:ascii="Arial" w:cs="Arial" w:eastAsia="Arial" w:hAnsi="Arial"/>
          <w:b/>
          <w:bCs/>
          <w:color w:val="1E3A8A"/>
          <w:sz w:val="26"/>
          <w:szCs w:val="26"/>
        </w:rPr>
        <w:t xml:space="preserve">4.9 Hard Delete after Retention</w:t>
      </w:r>
    </w:p>
    <w:p>
      <w:pPr>
        <w:spacing w:after="160" w:line="300"/>
        <w:jc w:val="both"/>
      </w:pPr>
      <w:r>
        <w:rPr>
          <w:rFonts w:ascii="Arial" w:cs="Arial" w:eastAsia="Arial" w:hAnsi="Arial"/>
        </w:rPr>
        <w:t xml:space="preserve">Hard deletion of archived models is a controlled, retention-driven activity that occurs after the configured archival retention period has elapsed. Hard-deleted models are removed from the platform permanently. The retention period and the purge process itself are governed in detail by Workflow 7 (Governance); this section captures only the requirements that link the inventory workflow to that process.</w:t>
      </w:r>
    </w:p>
    <w:p>
      <w:pPr>
        <w:pStyle w:val="Heading3"/>
        <w:spacing w:after="100" w:before="180"/>
      </w:pPr>
      <w:r>
        <w:rPr>
          <w:rFonts w:ascii="Arial" w:cs="Arial" w:eastAsia="Arial" w:hAnsi="Arial"/>
          <w:b/>
          <w:bCs/>
          <w:color w:val="1E293B"/>
          <w:sz w:val="22"/>
          <w:szCs w:val="22"/>
        </w:rPr>
        <w:t xml:space="preserve">4.9.1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archived model shall have an Archive Date stamp persisted on the record. The hard-delete eligibility date shall be calculated as Archive Date plus the configured archival retention period.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default archival retention period shall be 7 years, aligned to the Audit Log retention defined in the Foundational BRD. The value shall be configurable through the Governance module (Workflow 7).</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 shall not be triggered automatically by the inventory workflow. The eligible-for-purge status shall be visible on the Archived view and the actual purge shall be executed by the Governance module's retention enforcement process.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Once hard-deleted, the model record and all directly-referenced monitoring data shall be removed from the platform; the audit log entry of the hard-delete event shall remain in the audit store per audit retention policy.</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WF2-HRD-005</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requests shall not be permitted on hard-deleted models. The Archived view shall not list hard-deleted models.</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WF2-HRD-006</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Each hard-delete event shall be written to the audit log per section 4.10, capturing: Model ID, Model Name, Archive Date, Hard Delete Date, retention policy version active at the time, and the system identity executing the purge.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4.10 Audit Logging</w:t>
      </w:r>
    </w:p>
    <w:p>
      <w:pPr>
        <w:spacing w:after="160" w:line="300"/>
        <w:jc w:val="both"/>
      </w:pPr>
      <w:r>
        <w:rPr>
          <w:rFonts w:ascii="Arial" w:cs="Arial" w:eastAsia="Arial" w:hAnsi="Arial"/>
        </w:rPr>
        <w:t xml:space="preserve">All material inventory actions performed in this workflow shall be captured in the platform audit log, consistent with the audit logging principles defined in the Foundational BRD. The audit log feeds the Governance module (Workflow 7) and supports internal and external audit needs.</w:t>
      </w:r>
    </w:p>
    <w:p>
      <w:pPr>
        <w:pStyle w:val="Heading3"/>
        <w:spacing w:after="100" w:before="180"/>
      </w:pPr>
      <w:r>
        <w:rPr>
          <w:rFonts w:ascii="Arial" w:cs="Arial" w:eastAsia="Arial" w:hAnsi="Arial"/>
          <w:b/>
          <w:bCs/>
          <w:color w:val="1E293B"/>
          <w:sz w:val="22"/>
          <w:szCs w:val="22"/>
        </w:rPr>
        <w:t xml:space="preserve">4.10.1 Events to be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Event</w:t>
            </w:r>
          </w:p>
        </w:tc>
        <w:tc>
          <w:tcPr>
            <w:tcW w:type="dxa" w:w="62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Captured Attributes</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registration (single)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Admin ID, timestamp, IP, full record snapshot</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 submitted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File name, file size, total / valid / invalid row counts, Admin ID, timestamp, IP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 ingestion outcome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Number of rows ingested, list of ingested Model IDs, Admin ID, timestamp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Template downloaded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ID, timestamp, active label set</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Inventory exported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Admin ID, timestamp, applied filters, row count exported</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 labels changed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Previous labels, new labels, Admin ID, timestamp, count of models retaining old labels</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Add Data — pipeline linked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pipeline ID, Admin ID, timestamp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Add Data — pipeline unlinked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prior pipeline ID, Admin ID, timestamp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Add Data — pipeline re-linked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prior pipeline ID, new pipeline ID, Admin ID, timestamp</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 delete (archive)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Model Name, Admin ID, timestamp, IP, Deletion Reason</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request submitted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Admin ID, timestamp, business justification, ITSM ticket ID, priority</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outcome received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ITSM ticket ID, outcome, decision date, decision reason (if rejected)</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restored</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restoring Admin ID (or system), timestamp, ITSM ticket reference</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 (purge)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 Model Name, Archive Date, Hard Delete Date, retention policy version, system identity</w:t>
            </w:r>
          </w:p>
        </w:tc>
      </w:tr>
    </w:tbl>
    <w:p>
      <w:pPr>
        <w:pStyle w:val="Heading3"/>
        <w:spacing w:after="100" w:before="180"/>
      </w:pPr>
      <w:r>
        <w:rPr>
          <w:rFonts w:ascii="Arial" w:cs="Arial" w:eastAsia="Arial" w:hAnsi="Arial"/>
          <w:b/>
          <w:bCs/>
          <w:color w:val="1E293B"/>
          <w:sz w:val="22"/>
          <w:szCs w:val="22"/>
        </w:rPr>
        <w:t xml:space="preserve">4.10.2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WF2-AUD-001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All events listed in section 4.10.1 shall be written to the audit log within the same transaction as the underlying action; failure to write the audit log shall cause the action to fail.</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WF2-AUD-002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Audit log entries shall be tamper-evident and read-only to all platform roles, including Admin.</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WF2-AUD-003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Audit log entries shall be retained per the corporate records-retention policy (default 7 years per Foundational BRD).</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WF2-AUD-004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Audit log entries originating from this workflow shall be queryable from the Governance module (Workflow 7).</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2"/>
        <w:spacing w:after="140" w:before="240"/>
      </w:pPr>
      <w:r>
        <w:rPr>
          <w:rFonts w:ascii="Arial" w:cs="Arial" w:eastAsia="Arial" w:hAnsi="Arial"/>
          <w:b/>
          <w:bCs/>
          <w:color w:val="1E3A8A"/>
          <w:sz w:val="26"/>
          <w:szCs w:val="26"/>
        </w:rPr>
        <w:t xml:space="preserve">4.11 Permissions &amp; Access Control</w:t>
      </w:r>
    </w:p>
    <w:p>
      <w:pPr>
        <w:spacing w:after="160" w:line="300"/>
        <w:jc w:val="both"/>
      </w:pPr>
      <w:r>
        <w:rPr>
          <w:rFonts w:ascii="Arial" w:cs="Arial" w:eastAsia="Arial" w:hAnsi="Arial"/>
        </w:rPr>
        <w:t xml:space="preserve">The Manage Model Inventory workflow is an Admin-only capability. The User and Viewer roles consume the inventory through their own (read-only or scope-limited) views defined in Workflows 9, 13, and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6440"/>
        <w:gridCol w:w="1280"/>
      </w:tblGrid>
      <w:tr>
        <w:trPr>
          <w:tblHeader/>
        </w:trPr>
        <w:tc>
          <w:tcPr>
            <w:tcW w:type="dxa" w:w="16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 ID</w:t>
            </w:r>
          </w:p>
        </w:tc>
        <w:tc>
          <w:tcPr>
            <w:tcW w:type="dxa" w:w="644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Requirement</w:t>
            </w:r>
          </w:p>
        </w:tc>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Priority</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WF2-PRM-001</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All actions defined in this workflow (list view, search, filter, sort, export, single add, bulk upload, template download, category configuration, add data, delete, restoration request) shall be available only to authenticated users with the Admin role active.</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WF2-PRM-002</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Any direct URL access to inventory write endpoints from non-Admin sessions shall be rejected with a 403 — Access Denied response, consistent with WF1-FOR-001.</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WF2-PRM-003</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Role switches that move from Admin to User or Viewer mid-task shall: (a) commit any in-flight write only if confirmed before the switch, and (b) refresh the UI to remove all Admin write controls. See WF1-ROLE-004.</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r>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2563EB"/>
                <w:sz w:val="20"/>
                <w:szCs w:val="20"/>
              </w:rPr>
              <w:t xml:space="preserve">WF2-PRM-004</w:t>
            </w:r>
          </w:p>
        </w:tc>
        <w:tc>
          <w:tcPr>
            <w:tcW w:type="dxa" w:w="644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All actions performed in this workflow shall be audit-logged with the active role context (Admin) at the time of action, per WF1-ROLE-007.</w:t>
            </w:r>
          </w:p>
        </w:tc>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bCs/>
                <w:color w:val="991B1B"/>
                <w:sz w:val="20"/>
                <w:szCs w:val="20"/>
              </w:rPr>
              <w:t xml:space="preserve">Must</w:t>
            </w:r>
          </w:p>
        </w:tc>
      </w:tr>
    </w:tbl>
    <w:p>
      <w:pPr>
        <w:pStyle w:val="Heading1"/>
        <w:spacing w:after="200" w:before="320"/>
      </w:pPr>
      <w:r>
        <w:rPr>
          <w:rFonts w:ascii="Arial" w:cs="Arial" w:eastAsia="Arial" w:hAnsi="Arial"/>
          <w:b/>
          <w:bCs/>
          <w:color w:val="1E3A8A"/>
          <w:sz w:val="32"/>
          <w:szCs w:val="32"/>
        </w:rPr>
        <w:t xml:space="preserve">5. Non-Functional Requirements</w:t>
      </w:r>
    </w:p>
    <w:p>
      <w:pPr>
        <w:pStyle w:val="Heading2"/>
        <w:spacing w:after="140" w:before="240"/>
      </w:pPr>
      <w:r>
        <w:rPr>
          <w:rFonts w:ascii="Arial" w:cs="Arial" w:eastAsia="Arial" w:hAnsi="Arial"/>
          <w:b/>
          <w:bCs/>
          <w:color w:val="1E3A8A"/>
          <w:sz w:val="26"/>
          <w:szCs w:val="26"/>
        </w:rPr>
        <w:t xml:space="preserve">5.1 Security</w:t>
      </w:r>
    </w:p>
    <w:p>
      <w:pPr>
        <w:pStyle w:val="ListParagraph"/>
        <w:numPr>
          <w:ilvl w:val="0"/>
          <w:numId w:val="2"/>
        </w:numPr>
        <w:spacing w:after="80"/>
      </w:pPr>
      <w:r>
        <w:rPr>
          <w:rFonts w:ascii="Arial" w:cs="Arial" w:eastAsia="Arial" w:hAnsi="Arial"/>
        </w:rPr>
        <w:t xml:space="preserve">All communication shall use TLS 1.2 or higher; HTTP shall be redirected to HTTPS</w:t>
      </w:r>
    </w:p>
    <w:p>
      <w:pPr>
        <w:pStyle w:val="ListParagraph"/>
        <w:numPr>
          <w:ilvl w:val="0"/>
          <w:numId w:val="2"/>
        </w:numPr>
        <w:spacing w:after="80"/>
      </w:pPr>
      <w:r>
        <w:rPr>
          <w:rFonts w:ascii="Arial" w:cs="Arial" w:eastAsia="Arial" w:hAnsi="Arial"/>
        </w:rPr>
        <w:t xml:space="preserve">Uploaded files shall be virus-scanned before processing; macro-enabled formats shall be rejected unless explicitly allowed by security policy</w:t>
      </w:r>
    </w:p>
    <w:p>
      <w:pPr>
        <w:pStyle w:val="ListParagraph"/>
        <w:numPr>
          <w:ilvl w:val="0"/>
          <w:numId w:val="2"/>
        </w:numPr>
        <w:spacing w:after="80"/>
      </w:pPr>
      <w:r>
        <w:rPr>
          <w:rFonts w:ascii="Arial" w:cs="Arial" w:eastAsia="Arial" w:hAnsi="Arial"/>
        </w:rPr>
        <w:t xml:space="preserve">The system shall protect against formula injection (CSV / Excel) by sanitising fields beginning with =, +, -, @ before persistence and on export</w:t>
      </w:r>
    </w:p>
    <w:p>
      <w:pPr>
        <w:pStyle w:val="ListParagraph"/>
        <w:numPr>
          <w:ilvl w:val="0"/>
          <w:numId w:val="2"/>
        </w:numPr>
        <w:spacing w:after="80"/>
      </w:pPr>
      <w:r>
        <w:rPr>
          <w:rFonts w:ascii="Arial" w:cs="Arial" w:eastAsia="Arial" w:hAnsi="Arial"/>
        </w:rPr>
        <w:t xml:space="preserve">Uploaded files shall be processed in an isolated sandbox; raw uploads shall be deleted from temporary storage once the upload outcome (proceed or cancel) is finalised</w:t>
      </w:r>
    </w:p>
    <w:p>
      <w:pPr>
        <w:pStyle w:val="ListParagraph"/>
        <w:numPr>
          <w:ilvl w:val="0"/>
          <w:numId w:val="2"/>
        </w:numPr>
        <w:spacing w:after="80"/>
      </w:pPr>
      <w:r>
        <w:rPr>
          <w:rFonts w:ascii="Arial" w:cs="Arial" w:eastAsia="Arial" w:hAnsi="Arial"/>
        </w:rPr>
        <w:t xml:space="preserve">All write actions in this workflow shall be subject to CSRF protection per corporate secure coding standards</w:t>
      </w:r>
    </w:p>
    <w:p>
      <w:pPr>
        <w:pStyle w:val="ListParagraph"/>
        <w:numPr>
          <w:ilvl w:val="0"/>
          <w:numId w:val="2"/>
        </w:numPr>
        <w:spacing w:after="80"/>
      </w:pPr>
      <w:r>
        <w:rPr>
          <w:rFonts w:ascii="Arial" w:cs="Arial" w:eastAsia="Arial" w:hAnsi="Arial"/>
        </w:rPr>
        <w:t xml:space="preserve">Audit log entries shall be tamper-evident and immutable to all platform roles</w:t>
      </w:r>
    </w:p>
    <w:p>
      <w:pPr>
        <w:pStyle w:val="Heading2"/>
        <w:spacing w:after="140" w:before="240"/>
      </w:pPr>
      <w:r>
        <w:rPr>
          <w:rFonts w:ascii="Arial" w:cs="Arial" w:eastAsia="Arial" w:hAnsi="Arial"/>
          <w:b/>
          <w:bCs/>
          <w:color w:val="1E3A8A"/>
          <w:sz w:val="26"/>
          <w:szCs w:val="26"/>
        </w:rPr>
        <w:t xml:space="preserve">5.2 Performance</w:t>
      </w:r>
    </w:p>
    <w:p>
      <w:pPr>
        <w:pStyle w:val="ListParagraph"/>
        <w:numPr>
          <w:ilvl w:val="0"/>
          <w:numId w:val="2"/>
        </w:numPr>
        <w:spacing w:after="80"/>
      </w:pPr>
      <w:r>
        <w:rPr>
          <w:rFonts w:ascii="Arial" w:cs="Arial" w:eastAsia="Arial" w:hAnsi="Arial"/>
        </w:rPr>
        <w:t xml:space="preserve">Inventory list shall render core content within 2.0 seconds at the 95th percentile for inventories of up to 5,000 active models</w:t>
      </w:r>
    </w:p>
    <w:p>
      <w:pPr>
        <w:pStyle w:val="ListParagraph"/>
        <w:numPr>
          <w:ilvl w:val="0"/>
          <w:numId w:val="2"/>
        </w:numPr>
        <w:spacing w:after="80"/>
      </w:pPr>
      <w:r>
        <w:rPr>
          <w:rFonts w:ascii="Arial" w:cs="Arial" w:eastAsia="Arial" w:hAnsi="Arial"/>
        </w:rPr>
        <w:t xml:space="preserve">Search, filter, and sort interactions shall return updated results within 1.0 second at the 95th percentile</w:t>
      </w:r>
    </w:p>
    <w:p>
      <w:pPr>
        <w:pStyle w:val="ListParagraph"/>
        <w:numPr>
          <w:ilvl w:val="0"/>
          <w:numId w:val="2"/>
        </w:numPr>
        <w:spacing w:after="80"/>
      </w:pPr>
      <w:r>
        <w:rPr>
          <w:rFonts w:ascii="Arial" w:cs="Arial" w:eastAsia="Arial" w:hAnsi="Arial"/>
        </w:rPr>
        <w:t xml:space="preserve">Bulk upload of 1,000 rows shall complete validation and reach the preview screen within 30 seconds at the 95th percentile</w:t>
      </w:r>
    </w:p>
    <w:p>
      <w:pPr>
        <w:pStyle w:val="ListParagraph"/>
        <w:numPr>
          <w:ilvl w:val="0"/>
          <w:numId w:val="2"/>
        </w:numPr>
        <w:spacing w:after="80"/>
      </w:pPr>
      <w:r>
        <w:rPr>
          <w:rFonts w:ascii="Arial" w:cs="Arial" w:eastAsia="Arial" w:hAnsi="Arial"/>
        </w:rPr>
        <w:t xml:space="preserve">Add Single Model submission shall complete within 1.5 seconds at the 95th percentile</w:t>
      </w:r>
    </w:p>
    <w:p>
      <w:pPr>
        <w:pStyle w:val="ListParagraph"/>
        <w:numPr>
          <w:ilvl w:val="0"/>
          <w:numId w:val="2"/>
        </w:numPr>
        <w:spacing w:after="80"/>
      </w:pPr>
      <w:r>
        <w:rPr>
          <w:rFonts w:ascii="Arial" w:cs="Arial" w:eastAsia="Arial" w:hAnsi="Arial"/>
        </w:rPr>
        <w:t xml:space="preserve">Template download shall start within 1.0 second of the click event</w:t>
      </w:r>
    </w:p>
    <w:p>
      <w:pPr>
        <w:pStyle w:val="Heading2"/>
        <w:spacing w:after="140" w:before="240"/>
      </w:pPr>
      <w:r>
        <w:rPr>
          <w:rFonts w:ascii="Arial" w:cs="Arial" w:eastAsia="Arial" w:hAnsi="Arial"/>
          <w:b/>
          <w:bCs/>
          <w:color w:val="1E3A8A"/>
          <w:sz w:val="26"/>
          <w:szCs w:val="26"/>
        </w:rPr>
        <w:t xml:space="preserve">5.3 Availability</w:t>
      </w:r>
    </w:p>
    <w:p>
      <w:pPr>
        <w:pStyle w:val="ListParagraph"/>
        <w:numPr>
          <w:ilvl w:val="0"/>
          <w:numId w:val="2"/>
        </w:numPr>
        <w:spacing w:after="80"/>
      </w:pPr>
      <w:r>
        <w:rPr>
          <w:rFonts w:ascii="Arial" w:cs="Arial" w:eastAsia="Arial" w:hAnsi="Arial"/>
        </w:rPr>
        <w:t xml:space="preserve">The platform shall target an uptime of 99.5% or higher, excluding scheduled maintenance windows</w:t>
      </w:r>
    </w:p>
    <w:p>
      <w:pPr>
        <w:pStyle w:val="ListParagraph"/>
        <w:numPr>
          <w:ilvl w:val="0"/>
          <w:numId w:val="2"/>
        </w:numPr>
        <w:spacing w:after="80"/>
      </w:pPr>
      <w:r>
        <w:rPr>
          <w:rFonts w:ascii="Arial" w:cs="Arial" w:eastAsia="Arial" w:hAnsi="Arial"/>
        </w:rPr>
        <w:t xml:space="preserve">ITSM integration outages (used by the Restoration Request flow) shall not block other inventory actions; restoration requests shall be queued and submitted on integration recovery</w:t>
      </w:r>
    </w:p>
    <w:p>
      <w:pPr>
        <w:pStyle w:val="Heading2"/>
        <w:spacing w:after="140" w:before="240"/>
      </w:pPr>
      <w:r>
        <w:rPr>
          <w:rFonts w:ascii="Arial" w:cs="Arial" w:eastAsia="Arial" w:hAnsi="Arial"/>
          <w:b/>
          <w:bCs/>
          <w:color w:val="1E3A8A"/>
          <w:sz w:val="26"/>
          <w:szCs w:val="26"/>
        </w:rPr>
        <w:t xml:space="preserve">5.4 Usability and Accessibility</w:t>
      </w:r>
    </w:p>
    <w:p>
      <w:pPr>
        <w:pStyle w:val="ListParagraph"/>
        <w:numPr>
          <w:ilvl w:val="0"/>
          <w:numId w:val="2"/>
        </w:numPr>
        <w:spacing w:after="80"/>
      </w:pPr>
      <w:r>
        <w:rPr>
          <w:rFonts w:ascii="Arial" w:cs="Arial" w:eastAsia="Arial" w:hAnsi="Arial"/>
        </w:rPr>
        <w:t xml:space="preserve">The workflow shall meet WCAG 2.1 Level AA accessibility standards (subject to confirmation in OPN-007 of Workflow 1)</w:t>
      </w:r>
    </w:p>
    <w:p>
      <w:pPr>
        <w:pStyle w:val="ListParagraph"/>
        <w:numPr>
          <w:ilvl w:val="0"/>
          <w:numId w:val="2"/>
        </w:numPr>
        <w:spacing w:after="80"/>
      </w:pPr>
      <w:r>
        <w:rPr>
          <w:rFonts w:ascii="Arial" w:cs="Arial" w:eastAsia="Arial" w:hAnsi="Arial"/>
        </w:rPr>
        <w:t xml:space="preserve">Colour-coding (Due In, status pills) shall be reinforced by icons and labels so that information is not conveyed by colour alone</w:t>
      </w:r>
    </w:p>
    <w:p>
      <w:pPr>
        <w:pStyle w:val="ListParagraph"/>
        <w:numPr>
          <w:ilvl w:val="0"/>
          <w:numId w:val="2"/>
        </w:numPr>
        <w:spacing w:after="80"/>
      </w:pPr>
      <w:r>
        <w:rPr>
          <w:rFonts w:ascii="Arial" w:cs="Arial" w:eastAsia="Arial" w:hAnsi="Arial"/>
        </w:rPr>
        <w:t xml:space="preserve">All interactive elements shall be keyboard-navigable and screen-reader compatible</w:t>
      </w:r>
    </w:p>
    <w:p>
      <w:pPr>
        <w:pStyle w:val="ListParagraph"/>
        <w:numPr>
          <w:ilvl w:val="0"/>
          <w:numId w:val="2"/>
        </w:numPr>
        <w:spacing w:after="80"/>
      </w:pPr>
      <w:r>
        <w:rPr>
          <w:rFonts w:ascii="Arial" w:cs="Arial" w:eastAsia="Arial" w:hAnsi="Arial"/>
        </w:rPr>
        <w:t xml:space="preserve">Validation errors in the bulk upload preview shall be announced to assistive technologies</w:t>
      </w:r>
    </w:p>
    <w:p>
      <w:pPr>
        <w:pStyle w:val="ListParagraph"/>
        <w:numPr>
          <w:ilvl w:val="0"/>
          <w:numId w:val="2"/>
        </w:numPr>
        <w:spacing w:after="80"/>
      </w:pPr>
      <w:r>
        <w:rPr>
          <w:rFonts w:ascii="Arial" w:cs="Arial" w:eastAsia="Arial" w:hAnsi="Arial"/>
        </w:rPr>
        <w:t xml:space="preserve">Inline form validation messages shall be descriptive and specify the corrective action</w:t>
      </w:r>
    </w:p>
    <w:p>
      <w:pPr>
        <w:pStyle w:val="Heading2"/>
        <w:spacing w:after="140" w:before="240"/>
      </w:pPr>
      <w:r>
        <w:rPr>
          <w:rFonts w:ascii="Arial" w:cs="Arial" w:eastAsia="Arial" w:hAnsi="Arial"/>
          <w:b/>
          <w:bCs/>
          <w:color w:val="1E3A8A"/>
          <w:sz w:val="26"/>
          <w:szCs w:val="26"/>
        </w:rPr>
        <w:t xml:space="preserve">5.5 Compliance</w:t>
      </w:r>
    </w:p>
    <w:p>
      <w:pPr>
        <w:pStyle w:val="ListParagraph"/>
        <w:numPr>
          <w:ilvl w:val="0"/>
          <w:numId w:val="2"/>
        </w:numPr>
        <w:spacing w:after="80"/>
      </w:pPr>
      <w:r>
        <w:rPr>
          <w:rFonts w:ascii="Arial" w:cs="Arial" w:eastAsia="Arial" w:hAnsi="Arial"/>
        </w:rPr>
        <w:t xml:space="preserve">Audit logging shall meet the requirements of internal model risk management, data governance, and external regulatory bodies as identified by the Governance team</w:t>
      </w:r>
    </w:p>
    <w:p>
      <w:pPr>
        <w:pStyle w:val="ListParagraph"/>
        <w:numPr>
          <w:ilvl w:val="0"/>
          <w:numId w:val="2"/>
        </w:numPr>
        <w:spacing w:after="80"/>
      </w:pPr>
      <w:r>
        <w:rPr>
          <w:rFonts w:ascii="Arial" w:cs="Arial" w:eastAsia="Arial" w:hAnsi="Arial"/>
        </w:rPr>
        <w:t xml:space="preserve">Retention behaviour for archived models shall align with the Foundational BRD data-retention policy and shall be configurable through the Governance module</w:t>
      </w:r>
    </w:p>
    <w:p>
      <w:pPr>
        <w:pStyle w:val="Heading2"/>
        <w:spacing w:after="140" w:before="240"/>
      </w:pPr>
      <w:r>
        <w:rPr>
          <w:rFonts w:ascii="Arial" w:cs="Arial" w:eastAsia="Arial" w:hAnsi="Arial"/>
          <w:b/>
          <w:bCs/>
          <w:color w:val="1E3A8A"/>
          <w:sz w:val="26"/>
          <w:szCs w:val="26"/>
        </w:rPr>
        <w:t xml:space="preserve">5.6 Maintainability</w:t>
      </w:r>
    </w:p>
    <w:p>
      <w:pPr>
        <w:pStyle w:val="ListParagraph"/>
        <w:numPr>
          <w:ilvl w:val="0"/>
          <w:numId w:val="2"/>
        </w:numPr>
        <w:spacing w:after="80"/>
      </w:pPr>
      <w:r>
        <w:rPr>
          <w:rFonts w:ascii="Arial" w:cs="Arial" w:eastAsia="Arial" w:hAnsi="Arial"/>
        </w:rPr>
        <w:t xml:space="preserve">Configuration values (default page size, max file size, max row count, archival retention period, label maximum length, deletion-reason minimum length) shall be externalised and modifiable without code changes</w:t>
      </w:r>
    </w:p>
    <w:p>
      <w:pPr>
        <w:pStyle w:val="ListParagraph"/>
        <w:numPr>
          <w:ilvl w:val="0"/>
          <w:numId w:val="2"/>
        </w:numPr>
        <w:spacing w:after="80"/>
      </w:pPr>
      <w:r>
        <w:rPr>
          <w:rFonts w:ascii="Arial" w:cs="Arial" w:eastAsia="Arial" w:hAnsi="Arial"/>
        </w:rPr>
        <w:t xml:space="preserve">The schema validation rules shall be expressed declaratively to allow extension when new template fields are added</w:t>
      </w:r>
    </w:p>
    <w:p>
      <w:pPr>
        <w:pStyle w:val="ListParagraph"/>
        <w:numPr>
          <w:ilvl w:val="0"/>
          <w:numId w:val="2"/>
        </w:numPr>
        <w:spacing w:after="80"/>
      </w:pPr>
      <w:r>
        <w:rPr>
          <w:rFonts w:ascii="Arial" w:cs="Arial" w:eastAsia="Arial" w:hAnsi="Arial"/>
        </w:rPr>
        <w:t xml:space="preserve">The ITSM integration shall be implemented behind an abstraction so that the integration target can be changed without impact to the inventory workflow logic</w:t>
      </w:r>
    </w:p>
    <w:p>
      <w:pPr>
        <w:pStyle w:val="Heading1"/>
        <w:spacing w:after="200" w:before="320"/>
      </w:pPr>
      <w:r>
        <w:rPr>
          <w:rFonts w:ascii="Arial" w:cs="Arial" w:eastAsia="Arial" w:hAnsi="Arial"/>
          <w:b/>
          <w:bCs/>
          <w:color w:val="1E3A8A"/>
          <w:sz w:val="32"/>
          <w:szCs w:val="32"/>
        </w:rPr>
        <w:t xml:space="preserve">6. UI / UX References</w:t>
      </w:r>
    </w:p>
    <w:p>
      <w:pPr>
        <w:spacing w:after="160" w:line="300"/>
        <w:jc w:val="both"/>
      </w:pPr>
      <w:r>
        <w:rPr>
          <w:rFonts w:ascii="Arial" w:cs="Arial" w:eastAsia="Arial" w:hAnsi="Arial"/>
        </w:rPr>
        <w:t>Interactive HTML wireframes for ten of the eleven screens covered in this BRD have been delivered as a companion artefact (WF1_Manage_Model_Inventory_Wireframe.html). The wireframes provide click-through navigation across Screens 1–5 and 7–11, illustrate the bulk upload preview behaviour, the soft-delete and restoration-request flows, and include in-line annotations explaining BRD intent. Note: Screen 6 (Category Label Configuration) wireframe is pending delivery.</w:t>
      </w:r>
    </w:p>
    <w:p>
      <w:pPr>
        <w:pStyle w:val="Heading2"/>
        <w:spacing w:after="140" w:before="240"/>
      </w:pPr>
      <w:r>
        <w:rPr>
          <w:rFonts w:ascii="Arial" w:cs="Arial" w:eastAsia="Arial" w:hAnsi="Arial"/>
          <w:b/>
          <w:bCs/>
          <w:color w:val="1E3A8A"/>
          <w:sz w:val="26"/>
          <w:szCs w:val="26"/>
        </w:rPr>
        <w:t xml:space="preserve">6.1 Branding and Design System</w:t>
      </w:r>
    </w:p>
    <w:p>
      <w:pPr>
        <w:pStyle w:val="ListParagraph"/>
        <w:numPr>
          <w:ilvl w:val="0"/>
          <w:numId w:val="2"/>
        </w:numPr>
        <w:spacing w:after="80"/>
      </w:pPr>
      <w:r>
        <w:rPr>
          <w:rFonts w:ascii="Arial" w:cs="Arial" w:eastAsia="Arial" w:hAnsi="Arial"/>
        </w:rPr>
        <w:t xml:space="preserve">All visual design shall conform strictly to the corporate design system</w:t>
      </w:r>
    </w:p>
    <w:p>
      <w:pPr>
        <w:pStyle w:val="ListParagraph"/>
        <w:numPr>
          <w:ilvl w:val="0"/>
          <w:numId w:val="2"/>
        </w:numPr>
        <w:spacing w:after="80"/>
      </w:pPr>
      <w:r>
        <w:rPr>
          <w:rFonts w:ascii="Arial" w:cs="Arial" w:eastAsia="Arial" w:hAnsi="Arial"/>
        </w:rPr>
        <w:t xml:space="preserve">Logos, colour palette, typography, and iconography shall be sourced from the official corporate design library</w:t>
      </w:r>
    </w:p>
    <w:p>
      <w:pPr>
        <w:pStyle w:val="ListParagraph"/>
        <w:numPr>
          <w:ilvl w:val="0"/>
          <w:numId w:val="2"/>
        </w:numPr>
        <w:spacing w:after="80"/>
      </w:pPr>
      <w:r>
        <w:rPr>
          <w:rFonts w:ascii="Arial" w:cs="Arial" w:eastAsia="Arial" w:hAnsi="Arial"/>
        </w:rPr>
        <w:t xml:space="preserve">Final visual designs shall be produced by the UX team and reviewed by the brand custodian prior to development</w:t>
      </w:r>
    </w:p>
    <w:p>
      <w:pPr>
        <w:pStyle w:val="Heading2"/>
        <w:spacing w:after="140" w:before="240"/>
      </w:pPr>
      <w:r>
        <w:rPr>
          <w:rFonts w:ascii="Arial" w:cs="Arial" w:eastAsia="Arial" w:hAnsi="Arial"/>
          <w:b/>
          <w:bCs/>
          <w:color w:val="1E3A8A"/>
          <w:sz w:val="26"/>
          <w:szCs w:val="26"/>
        </w:rPr>
        <w:t xml:space="preserve">6.2 Iconography</w:t>
      </w:r>
    </w:p>
    <w:p>
      <w:pPr>
        <w:spacing w:after="160" w:line="300"/>
        <w:jc w:val="both"/>
      </w:pPr>
      <w:r>
        <w:rPr>
          <w:rFonts w:ascii="Arial" w:cs="Arial" w:eastAsia="Arial" w:hAnsi="Arial"/>
        </w:rPr>
        <w:t xml:space="preserve">Iconography in the wireframe is illustrative only. Final icon selection shall conform to the corporate icon set or, where unavailable, an approved third-party icon library.</w:t>
      </w:r>
    </w:p>
    <w:p>
      <w:pPr>
        <w:pStyle w:val="Heading1"/>
        <w:spacing w:after="200" w:before="320"/>
      </w:pPr>
      <w:r>
        <w:rPr>
          <w:rFonts w:ascii="Arial" w:cs="Arial" w:eastAsia="Arial" w:hAnsi="Arial"/>
          <w:b/>
          <w:bCs/>
          <w:color w:val="1E3A8A"/>
          <w:sz w:val="32"/>
          <w:szCs w:val="32"/>
        </w:rPr>
        <w:t xml:space="preserve">7. Open Items and Parked Gaps</w:t>
      </w:r>
    </w:p>
    <w:p>
      <w:pPr>
        <w:spacing w:after="160" w:line="300"/>
        <w:jc w:val="both"/>
      </w:pPr>
      <w:r>
        <w:rPr>
          <w:rFonts w:ascii="Arial" w:cs="Arial" w:eastAsia="Arial" w:hAnsi="Arial"/>
        </w:rPr>
        <w:t xml:space="preserve">The following items have been identified during requirements elaboration and parked for resolution prior to or during subsequent workflow definition. They do not block the development of Workflow 2 but require closure to ensure full implementation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2480"/>
        <w:gridCol w:w="5600"/>
      </w:tblGrid>
      <w:tr>
        <w:trPr>
          <w:tblHeader/>
        </w:trPr>
        <w:tc>
          <w:tcPr>
            <w:tcW w:type="dxa" w:w="12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ID</w:t>
            </w:r>
          </w:p>
        </w:tc>
        <w:tc>
          <w:tcPr>
            <w:tcW w:type="dxa" w:w="24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Topic</w:t>
            </w:r>
          </w:p>
        </w:tc>
        <w:tc>
          <w:tcPr>
            <w:tcW w:type="dxa" w:w="56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Question / Decision Required</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OPN-W2-001</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ITSM integration design</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Detailed design of the ITSM ticket payload, polling vs. webhook for outcome, error handling, and retry policy. Owned jointly by ITSM platform team and Workflow 2 development team.</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OPN-W2-002</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Master data lists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Modelling Technique, Risk Tier / MRR, and Model Status should be free text, configurable picklists, or master data managed via Workflow 7. Recommendation: configurable picklists, owners TBD.</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OPN-W2-003</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Owner and Developer fields linkage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the Owner and Developer fields should be free text or linked to a User directory. Recommendation: linked to User directory for Owner; free text acceptable for Developer.</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OPN-W2-004</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Upstream / Downstream models linkage</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the Upstream / Downstream Models fields should be validated against the active inventory at registration. Recommendation: warn on unknown IDs but do not block (lineage may pre-exist registration order).</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OPN-W2-005</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Configurable monitoring frequencies</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Final list of allowed Monitoring Frequency values (Daily / Weekly / Monthly / Quarterly / custom cron). Owned by Workflow 6 (Scheduler).</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OPN-W2-006</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Inventory export field set</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the export should always include all fields (mandatory + optional + system fields) or be filterable. Recommendation: configurable per export, default = all fields.</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OPN-W2-007</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Mixed-label-set display in list view</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UX treatment when models registered under different label sets are present in the same list (column-header tooltip is recommended; final treatment to be confirmed by UX).</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OPN-W2-008</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without ITSM</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Fallback behaviour if ITSM is permanently unavailable or decommissioned. Recommendation: in-platform admin approval as a fallback, controlled by Governance module configuration.</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OPN-W2-009</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 trigger UI</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Whether Admins should be notified when models in their scope reach hard-delete eligibility. Recommendation: yes, via a Governance-driven notification.</w:t>
            </w:r>
          </w:p>
        </w:tc>
      </w:tr>
      <w:tr>
        <w:tc>
          <w:tcPr>
            <w:tcW w:type="dxa" w:w="12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OPN-W2-010</w:t>
            </w:r>
          </w:p>
        </w:tc>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 max row limit</w:t>
            </w:r>
          </w:p>
        </w:tc>
        <w:tc>
          <w:tcPr>
            <w:tcW w:type="dxa" w:w="5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Confirmation of the 1,000-row default; some adoption scenarios may require higher. Owned by performance benchmarking before go-live.</w:t>
            </w:r>
          </w:p>
        </w:tc>
      </w:tr>
    </w:tbl>
    <w:p>
      <w:pPr>
        <w:pStyle w:val="Heading1"/>
        <w:spacing w:after="200" w:before="32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rPr>
          <w:tblHeader/>
        </w:trPr>
        <w:tc>
          <w:tcPr>
            <w:tcW w:type="dxa" w:w="24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Term</w:t>
            </w:r>
          </w:p>
        </w:tc>
        <w:tc>
          <w:tcPr>
            <w:tcW w:type="dxa" w:w="688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vAlign w:val="center"/>
          </w:tcPr>
          <w:p>
            <w:pPr>
              <w:spacing w:after="0"/>
              <w:jc w:val="left"/>
            </w:pPr>
            <w:r>
              <w:rPr>
                <w:rFonts w:ascii="Arial" w:cs="Arial" w:eastAsia="Arial" w:hAnsi="Arial"/>
                <w:b/>
                <w:bCs/>
                <w:color w:val="1E3A8A"/>
                <w:sz w:val="20"/>
                <w:szCs w:val="20"/>
              </w:rPr>
              <w:t xml:space="preserve">Definition</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Active Inventory</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default view of models that are currently registered and not archived. Visible to Admin (full controls) and to User / Viewer in their respective workflows (read-only / scope-limited).</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Archived Inventory</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view of models that have been soft-deleted. Visible to Admin only. Models in this view remain restorable until the configured retention period expires and a hard delete is executed.</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Bulk Upload</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mechanism by which an Admin uploads an Excel or CSV file containing multiple model records for registration in a single operation.</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Category / Sub Category 1 / Sub Category 2</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Three classification fields on every model record. Default labels are Geography, Domain, and Product. Labels are Admin-configurable; renames apply going forward only.</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Due In</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number of calendar days remaining until the next monitoring obligation, computed from Monitoring Start Date and Monitoring Frequency. Colour-coded on the inventory list to surface upcoming and overdue items.</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Hard Delete</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Permanent removal of a model record and its directly-referenced data after the archival retention period has elapsed. Executed by the Governance module's retention enforcement process.</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ITSM</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Information Technology Service Management — the corporate ticketing system used as the system of record for the restoration request approval workflow.</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ID</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unique identifier of a model in the platform inventory. Must be unique within the active inventory.</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MRR</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Model Risk Rating — the risk classification of a model per the organisation's model risk management taxonomy.</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Restoration Request</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An Admin-initiated request to restore a soft-deleted (archived) model to the active inventory. Approved or rejected through the corporate ITSM workflow.</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Schema Validation</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The platform's pre-ingestion check on bulk upload files against the Required column set and per-cell format / uniqueness rules.</w:t>
            </w:r>
          </w:p>
        </w:tc>
      </w:tr>
      <w:tr>
        <w:tc>
          <w:tcPr>
            <w:tcW w:type="dxa" w:w="24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Soft Delete</w:t>
            </w:r>
          </w:p>
        </w:tc>
        <w:tc>
          <w:tcPr>
            <w:tcW w:type="dxa" w:w="68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spacing w:after="0"/>
            </w:pPr>
            <w:r>
              <w:rPr>
                <w:rFonts w:ascii="Arial" w:cs="Arial" w:eastAsia="Arial" w:hAnsi="Arial"/>
                <w:b w:val="false"/>
                <w:bCs w:val="false"/>
                <w:color w:val="1E293B"/>
                <w:sz w:val="20"/>
                <w:szCs w:val="20"/>
              </w:rPr>
              <w:t xml:space="preserve">An Admin action that marks a model as archived and removes it from the active inventory while preserving the full record. Reversible through the Restoration Request workflow.</w:t>
            </w:r>
          </w:p>
        </w:tc>
      </w:tr>
    </w:tbl>
    <w:p>
      <w:pPr>
        <w:spacing w:after="100" w:before="320"/>
        <w:jc w:val="center"/>
      </w:pPr>
      <w:r>
        <w:rPr>
          <w:rFonts w:ascii="Arial" w:cs="Arial" w:eastAsia="Arial" w:hAnsi="Arial"/>
          <w:i/>
          <w:iCs/>
          <w:color w:val="64748B"/>
          <w:sz w:val="22"/>
          <w:szCs w:val="22"/>
        </w:rPr>
        <w:t xml:space="preserve">— End of Workflow 2 BRD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Arial" w:cs="Arial" w:eastAsia="Arial" w:hAnsi="Arial"/>
        <w:color w:val="64748B"/>
        <w:sz w:val="18"/>
        <w:szCs w:val="18"/>
      </w:rPr>
      <w:t xml:space="preserve">Confidential — Internal Use Only</w:t>
    </w:r>
    <w:r>
      <w:rPr>
        <w:rFonts w:ascii="Arial" w:cs="Arial" w:eastAsia="Arial" w:hAnsi="Arial"/>
        <w:color w:val="64748B"/>
        <w:sz w:val="18"/>
        <w:szCs w:val="18"/>
      </w:rPr>
      <w:t xml:space="preserve">	Workflow 2 — Manage Model Inventory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space="1"/>
      </w:pBdr>
      <w:jc w:val="right"/>
    </w:pPr>
    <w:r>
      <w:rPr>
        <w:rFonts w:ascii="Arial" w:cs="Arial" w:eastAsia="Arial" w:hAnsi="Arial"/>
        <w:i/>
        <w:iCs/>
        <w:color w:val="64748B"/>
        <w:sz w:val="18"/>
        <w:szCs w:val="18"/>
      </w:rPr>
      <w:t xml:space="preserve">Model Monitoring Platform — BRD Workflow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E293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2026-05-07T12:10:43.533Z</dcterms:created>
  <dcterms:modified xsi:type="dcterms:W3CDTF">2026-05-07T12:10:43.546Z</dcterms:modified>
</cp:coreProperties>
</file>

<file path=docProps/custom.xml><?xml version="1.0" encoding="utf-8"?>
<Properties xmlns="http://schemas.openxmlformats.org/officeDocument/2006/custom-properties" xmlns:vt="http://schemas.openxmlformats.org/officeDocument/2006/docPropsVTypes"/>
</file>