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80" w:before="0"/>
        <w:jc w:val="center"/>
      </w:pPr>
      <w:r>
        <w:rPr>
          <w:rFonts w:ascii="Arial" w:cs="Arial" w:eastAsia="Arial" w:hAnsi="Arial"/>
          <w:b/>
          <w:bCs/>
          <w:color w:val="1E3A8A"/>
          <w:sz w:val="36"/>
          <w:szCs w:val="36"/>
        </w:rPr>
        <w:t xml:space="preserve">Model Monitoring Platform</w:t>
      </w:r>
    </w:p>
    <w:p>
      <w:pPr>
        <w:spacing w:after="80" w:before="0"/>
        <w:jc w:val="center"/>
      </w:pPr>
      <w:r>
        <w:rPr>
          <w:rFonts w:ascii="Arial" w:cs="Arial" w:eastAsia="Arial" w:hAnsi="Arial"/>
          <w:i/>
          <w:iCs/>
          <w:color w:val="64748B"/>
          <w:sz w:val="22"/>
          <w:szCs w:val="22"/>
        </w:rPr>
        <w:t xml:space="preserve">Enterprise-Grade Agentic Model Monitoring Solution</w:t>
      </w:r>
    </w:p>
    <w:p>
      <w:pPr>
        <w:spacing w:after="80" w:before="0"/>
        <w:jc w:val="center"/>
      </w:pPr>
      <w:r>
        <w:rPr>
          <w:rFonts w:ascii="Arial" w:cs="Arial" w:eastAsia="Arial" w:hAnsi="Arial"/>
          <w:b/>
          <w:bCs/>
          <w:color w:val="1E293B"/>
          <w:sz w:val="28"/>
          <w:szCs w:val="28"/>
        </w:rPr>
        <w:t xml:space="preserve">BUSINESS REQUIREMENTS DOCUMENT</w:t>
      </w:r>
    </w:p>
    <w:p>
      <w:pPr>
        <w:spacing w:after="80" w:before="0"/>
        <w:jc w:val="center"/>
      </w:pPr>
      <w:r>
        <w:rPr>
          <w:rFonts w:ascii="Arial" w:cs="Arial" w:eastAsia="Arial" w:hAnsi="Arial"/>
          <w:b/>
          <w:bCs/>
          <w:color w:val="1E3A8A"/>
          <w:sz w:val="32"/>
          <w:szCs w:val="32"/>
        </w:rPr>
        <w:t xml:space="preserve">Workflow 7 — Admin: Governance</w:t>
      </w:r>
    </w:p>
    <w:p>
      <w:pPr>
        <w:spacing w:after="240" w:before="0"/>
        <w:jc w:val="center"/>
      </w:pPr>
      <w:r>
        <w:rPr>
          <w:rFonts w:ascii="Arial" w:cs="Arial" w:eastAsia="Arial" w:hAnsi="Arial"/>
          <w:i/>
          <w:iCs/>
          <w:color w:val="64748B"/>
          <w:sz w:val="20"/>
          <w:szCs w:val="20"/>
        </w:rPr>
        <w:t>Audit Log  •  Request History  •  Data Log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Document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BRD — Workflow 7: Admin — Governance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Draft for Review</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Workflow Coverage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Governance Homepage • Audit Log • Request History • Data Log &amp; Reports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Document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 Business Analyst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Distribution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Development Team, Architects, Security, QA, Governance</w:t>
            </w:r>
          </w:p>
        </w:tc>
      </w:tr>
    </w:tbl>
    <w:p>
      <w:pPr>
        <w:spacing w:after="0" w:before="0"/>
      </w:pPr>
      <w:r>
        <w:rPr>
          <w:sz w:val="20"/>
          <w:szCs w:val="20"/>
        </w:rPr>
        <w:t xml:space="preserve"/>
      </w:r>
    </w:p>
    <w:p>
      <w:pPr>
        <w:pStyle w:val="Heading1"/>
        <w:spacing w:after="120" w:before="240"/>
      </w:pPr>
      <w:r>
        <w:rPr>
          <w:rFonts w:ascii="Arial" w:cs="Arial" w:eastAsia="Arial" w:hAnsi="Arial"/>
          <w:b/>
          <w:bCs/>
          <w:color w:val="1E3A8A"/>
          <w:sz w:val="32"/>
          <w:szCs w:val="32"/>
        </w:rPr>
        <w:t xml:space="preserve">Document Control</w:t>
      </w:r>
    </w:p>
    <w:p>
      <w:pPr>
        <w:pStyle w:val="Heading2"/>
        <w:spacing w:after="80" w:before="200"/>
      </w:pPr>
      <w:r>
        <w:rPr>
          <w:rFonts w:ascii="Arial" w:cs="Arial" w:eastAsia="Arial" w:hAnsi="Arial"/>
          <w:b/>
          <w:bCs/>
          <w:color w:val="1E3A8A"/>
          <w:sz w:val="26"/>
          <w:szCs w:val="26"/>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5760"/>
      </w:tblGrid>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Version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Date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Author</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 of Change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May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 / Product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Initial draft — Workflow 7: Admin Governance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May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 / Product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Stakeholder decisions incorporated; sub-section scope, retention policy, agent monitor, and notification log model finalised; baseline for development</w:t>
            </w:r>
          </w:p>
        </w:tc>
      </w:tr>
    </w:tbl>
    <w:p>
      <w:pPr>
        <w:spacing w:after="0" w:before="0"/>
      </w:pPr>
      <w:r>
        <w:rPr>
          <w:sz w:val="8"/>
          <w:szCs w:val="8"/>
        </w:rPr>
        <w:t xml:space="preserve"/>
      </w:r>
    </w:p>
    <w:p>
      <w:pPr>
        <w:pStyle w:val="Heading2"/>
        <w:spacing w:after="80" w:before="200"/>
      </w:pPr>
      <w:r>
        <w:rPr>
          <w:rFonts w:ascii="Arial" w:cs="Arial" w:eastAsia="Arial" w:hAnsi="Arial"/>
          <w:b/>
          <w:bCs/>
          <w:color w:val="1E3A8A"/>
          <w:sz w:val="26"/>
          <w:szCs w:val="26"/>
        </w:rPr>
        <w:t xml:space="preserve">1.2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Role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Name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Signature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Business Sponsor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Tech Lead / Architect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Security / Governance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QA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bl>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w:t>
            </w:r>
          </w:p>
        </w:tc>
        <w:tc>
          <w:tcPr>
            <w:tcW w:type="dxa" w:w="8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Introduction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Business Context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Workflow Overview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Functional Requirements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4.1  Governance Homepage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4.2  Audit 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4.3  Run 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4.4  Request History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4.5  Notification 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4.6  Data Retention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4.7  Agent Run Monitor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4.8  Reports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4.9  Permissions &amp; Access Control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Non-Functional Requirements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UI / UX References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Open Items and Parked Gaps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Glossary</w:t>
            </w:r>
          </w:p>
        </w:tc>
      </w:tr>
    </w:tbl>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1. Introduction</w:t>
      </w:r>
    </w:p>
    <w:p>
      <w:pPr>
        <w:pStyle w:val="Heading2"/>
        <w:spacing w:after="80" w:before="200"/>
      </w:pPr>
      <w:r>
        <w:rPr>
          <w:rFonts w:ascii="Arial" w:cs="Arial" w:eastAsia="Arial" w:hAnsi="Arial"/>
          <w:b/>
          <w:bCs/>
          <w:color w:val="1E3A8A"/>
          <w:sz w:val="26"/>
          <w:szCs w:val="26"/>
        </w:rPr>
        <w:t xml:space="preserve">1.1 Purpose</w:t>
      </w:r>
    </w:p>
    <w:p>
      <w:pPr>
        <w:spacing w:after="40" w:before="40"/>
      </w:pPr>
      <w:r>
        <w:rPr>
          <w:rFonts w:ascii="Arial" w:cs="Arial" w:eastAsia="Arial" w:hAnsi="Arial"/>
          <w:color w:val="1E293B"/>
          <w:sz w:val="22"/>
          <w:szCs w:val="22"/>
        </w:rPr>
        <w:t xml:space="preserve">This Business Requirements Document (BRD) defines the functional and non-functional requirements for the Governance workflow of the Model Monitoring Platform. The Governance module is the centralised oversight and audit hub for the platform, providing Admins with a consolidated, read-only view of every material action, agent execution, access event, and notification that has occurred across all platform workflows. It also serves as the authoritative control centre for data retention policy configuration and platform-wide compliance reporting. This document serves as the authoritative implementation guide for the development, security, and quality assurance teams for this workflow.</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1.2 Scope</w:t>
      </w:r>
    </w:p>
    <w:p>
      <w:pPr>
        <w:spacing w:after="40" w:before="40"/>
      </w:pPr>
      <w:r>
        <w:rPr>
          <w:rFonts w:ascii="Arial" w:cs="Arial" w:eastAsia="Arial" w:hAnsi="Arial"/>
          <w:color w:val="1E293B"/>
          <w:sz w:val="22"/>
          <w:szCs w:val="22"/>
        </w:rPr>
        <w:t xml:space="preserve">This BRD covers the following capabilities of Workflow 7 — Admin: Governance:</w:t>
      </w:r>
    </w:p>
    <w:p>
      <w:pPr>
        <w:pStyle w:val="ListParagraph"/>
        <w:numPr>
          <w:ilvl w:val="0"/>
          <w:numId w:val="2"/>
        </w:numPr>
        <w:spacing w:after="20" w:before="20"/>
      </w:pPr>
      <w:r>
        <w:rPr>
          <w:rFonts w:ascii="Arial" w:cs="Arial" w:eastAsia="Arial" w:hAnsi="Arial"/>
          <w:color w:val="1E293B"/>
          <w:sz w:val="22"/>
          <w:szCs w:val="22"/>
        </w:rPr>
        <w:t xml:space="preserve">Governance Homepage — tile-based dashboard with live alert badge for failed agent runs and summary KPIs across all sub-sections</w:t>
      </w:r>
    </w:p>
    <w:p>
      <w:pPr>
        <w:pStyle w:val="ListParagraph"/>
        <w:numPr>
          <w:ilvl w:val="0"/>
          <w:numId w:val="2"/>
        </w:numPr>
        <w:spacing w:after="20" w:before="20"/>
      </w:pPr>
      <w:r>
        <w:rPr>
          <w:rFonts w:ascii="Arial" w:cs="Arial" w:eastAsia="Arial" w:hAnsi="Arial"/>
          <w:color w:val="1E293B"/>
          <w:sz w:val="22"/>
          <w:szCs w:val="22"/>
        </w:rPr>
        <w:t xml:space="preserve">Audit Log — immutable, compliance-grade, cross-workflow record of every material platform action</w:t>
      </w:r>
    </w:p>
    <w:p>
      <w:pPr>
        <w:pStyle w:val="ListParagraph"/>
        <w:numPr>
          <w:ilvl w:val="0"/>
          <w:numId w:val="2"/>
        </w:numPr>
        <w:spacing w:after="20" w:before="20"/>
      </w:pPr>
      <w:r>
        <w:rPr>
          <w:rFonts w:ascii="Arial" w:cs="Arial" w:eastAsia="Arial" w:hAnsi="Arial"/>
          <w:color w:val="1E293B"/>
          <w:sz w:val="22"/>
          <w:szCs w:val="22"/>
        </w:rPr>
        <w:t>Run Log — operational view of agent executions, scheduler triggers, ingestion jobs, and monitoring run outcomes (consolidated into Data Log &amp; Reports in wireframe v1.0)</w:t>
      </w:r>
    </w:p>
    <w:p>
      <w:pPr>
        <w:pStyle w:val="ListParagraph"/>
        <w:numPr>
          <w:ilvl w:val="0"/>
          <w:numId w:val="2"/>
        </w:numPr>
        <w:spacing w:after="20" w:before="20"/>
      </w:pPr>
      <w:r>
        <w:rPr>
          <w:rFonts w:ascii="Arial" w:cs="Arial" w:eastAsia="Arial" w:hAnsi="Arial"/>
          <w:color w:val="1E293B"/>
          <w:sz w:val="22"/>
          <w:szCs w:val="22"/>
        </w:rPr>
        <w:t xml:space="preserve">Request History — consolidated historical record of all access, model, data deletion, and provisioning requests across the platform lifecycle</w:t>
      </w:r>
    </w:p>
    <w:p>
      <w:pPr>
        <w:pStyle w:val="ListParagraph"/>
        <w:numPr>
          <w:ilvl w:val="0"/>
          <w:numId w:val="2"/>
        </w:numPr>
        <w:spacing w:after="20" w:before="20"/>
      </w:pPr>
      <w:r>
        <w:rPr>
          <w:rFonts w:ascii="Arial" w:cs="Arial" w:eastAsia="Arial" w:hAnsi="Arial"/>
          <w:color w:val="1E293B"/>
          <w:sz w:val="22"/>
          <w:szCs w:val="22"/>
        </w:rPr>
        <w:t>Notification Log — delivery status tracking for all platform email and in-platform notifications, with privacy masking for sensitive events (consolidated into Data Log &amp; Reports in wireframe v1.0)</w:t>
      </w:r>
    </w:p>
    <w:p>
      <w:pPr>
        <w:pStyle w:val="ListParagraph"/>
        <w:numPr>
          <w:ilvl w:val="0"/>
          <w:numId w:val="2"/>
        </w:numPr>
        <w:spacing w:after="20" w:before="20"/>
      </w:pPr>
      <w:r>
        <w:rPr>
          <w:rFonts w:ascii="Arial" w:cs="Arial" w:eastAsia="Arial" w:hAnsi="Arial"/>
          <w:color w:val="1E293B"/>
          <w:sz w:val="22"/>
          <w:szCs w:val="22"/>
        </w:rPr>
        <w:t>Data Retention — Platform Admin-restricted configuration of retention windows for all data categories, hard-delete eligibility queue, and purge execution with full audit coverage (consolidated into Data Log &amp; Reports in wireframe v1.0)</w:t>
      </w:r>
    </w:p>
    <w:p>
      <w:pPr>
        <w:pStyle w:val="ListParagraph"/>
        <w:numPr>
          <w:ilvl w:val="0"/>
          <w:numId w:val="2"/>
        </w:numPr>
        <w:spacing w:after="20" w:before="20"/>
      </w:pPr>
      <w:r>
        <w:rPr>
          <w:rFonts w:ascii="Arial" w:cs="Arial" w:eastAsia="Arial" w:hAnsi="Arial"/>
          <w:color w:val="1E293B"/>
          <w:sz w:val="22"/>
          <w:szCs w:val="22"/>
        </w:rPr>
        <w:t>Agent Run Monitor — per-agent, per-model run status table with failure reason detail and homepage alert badge integration (consolidated into Data Log &amp; Reports in wireframe v1.0)</w:t>
      </w:r>
    </w:p>
    <w:p>
      <w:pPr>
        <w:pStyle w:val="ListParagraph"/>
        <w:numPr>
          <w:ilvl w:val="0"/>
          <w:numId w:val="2"/>
        </w:numPr>
        <w:spacing w:after="20" w:before="20"/>
      </w:pPr>
      <w:r>
        <w:rPr>
          <w:rFonts w:ascii="Arial" w:cs="Arial" w:eastAsia="Arial" w:hAnsi="Arial"/>
          <w:color w:val="1E293B"/>
          <w:sz w:val="22"/>
          <w:szCs w:val="22"/>
        </w:rPr>
        <w:t>Reports — pre-built compliance and audit report templates executable and exportable by Admin (available within Data Log &amp; Reports — Screen 4 in wireframe v1.0)</w:t>
      </w:r>
    </w:p>
    <w:p>
      <w:pPr>
        <w:spacing w:after="40" w:before="40"/>
      </w:pPr>
      <w:r>
        <w:rPr>
          <w:rFonts w:ascii="Arial" w:cs="Arial" w:eastAsia="Arial" w:hAnsi="Arial"/>
          <w:color w:val="1E293B"/>
          <w:sz w:val="22"/>
          <w:szCs w:val="22"/>
        </w:rPr>
        <w:t xml:space="preserve">Out of scope for this workflow document: the underlying actioning of access requests and model assignments (covered in WF4 — Access Control Center); scheduler configuration and execution (covered in WF5 — Set-up Scheduler); platform settings and picklist management (parked — OPN-W7-001); and break-glass emergency access (parked — OPN-W7-002).</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1.3 Audience</w:t>
      </w:r>
    </w:p>
    <w:p>
      <w:pPr>
        <w:spacing w:after="40" w:before="40"/>
      </w:pPr>
      <w:r>
        <w:rPr>
          <w:rFonts w:ascii="Arial" w:cs="Arial" w:eastAsia="Arial" w:hAnsi="Arial"/>
          <w:color w:val="1E293B"/>
          <w:sz w:val="22"/>
          <w:szCs w:val="22"/>
        </w:rPr>
        <w:t xml:space="preserve">This document is intended for: development team (frontend and backend engineers); solution architects and technical leads; information security and governance teams; quality assurance and test engineers; product owners and business stakeholders.</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1.4 Document Conventions</w:t>
      </w:r>
    </w:p>
    <w:p>
      <w:pPr>
        <w:spacing w:after="40" w:before="40"/>
      </w:pPr>
      <w:r>
        <w:rPr>
          <w:rFonts w:ascii="Arial" w:cs="Arial" w:eastAsia="Arial" w:hAnsi="Arial"/>
          <w:color w:val="1E293B"/>
          <w:sz w:val="22"/>
          <w:szCs w:val="22"/>
        </w:rPr>
        <w:t xml:space="preserve">Requirement identifiers follow the pattern WF7-XXX-NNN, where XXX denotes the functional area and NNN is a sequential number. The keywords "must", "shall", and "will" denote mandatory requirements; "should" denotes recommended requirements; and "may" denotes optional requirements.</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2. Business Context</w:t>
      </w:r>
    </w:p>
    <w:p>
      <w:pPr>
        <w:pStyle w:val="Heading2"/>
        <w:spacing w:after="80" w:before="200"/>
      </w:pPr>
      <w:r>
        <w:rPr>
          <w:rFonts w:ascii="Arial" w:cs="Arial" w:eastAsia="Arial" w:hAnsi="Arial"/>
          <w:b/>
          <w:bCs/>
          <w:color w:val="1E3A8A"/>
          <w:sz w:val="26"/>
          <w:szCs w:val="26"/>
        </w:rPr>
        <w:t xml:space="preserve">2.1 Background</w:t>
      </w:r>
    </w:p>
    <w:p>
      <w:pPr>
        <w:spacing w:after="40" w:before="40"/>
      </w:pPr>
      <w:r>
        <w:rPr>
          <w:rFonts w:ascii="Arial" w:cs="Arial" w:eastAsia="Arial" w:hAnsi="Arial"/>
          <w:color w:val="1E293B"/>
          <w:sz w:val="22"/>
          <w:szCs w:val="22"/>
        </w:rPr>
        <w:t xml:space="preserve">The organisation operates a large and growing portfolio of machine learning and statistical models across multiple business units. As the platform scales, the volume of administrative actions, agent executions, access events, and data changes grows proportionally. Without a centralised governance and oversight module, Admins have no single vantage point from which to detect anomalies, respond to compliance queries, evidence regulatory audits, or enforce data lifecycle policies. The Governance workflow addresses this gap by consolidating all platform activity into a structured, tamper-evident, read-only oversight hub — and by providing the control surface for retention policy management and compliance reporting.</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2.2 Business Drivers</w:t>
      </w:r>
    </w:p>
    <w:p>
      <w:pPr>
        <w:pStyle w:val="ListParagraph"/>
        <w:numPr>
          <w:ilvl w:val="0"/>
          <w:numId w:val="2"/>
        </w:numPr>
        <w:spacing w:after="20" w:before="20"/>
      </w:pPr>
      <w:r>
        <w:rPr>
          <w:rFonts w:ascii="Arial" w:cs="Arial" w:eastAsia="Arial" w:hAnsi="Arial"/>
          <w:color w:val="1E293B"/>
          <w:sz w:val="22"/>
          <w:szCs w:val="22"/>
        </w:rPr>
        <w:t xml:space="preserve">Regulatory and internal audit readiness — a tamper-evident, queryable audit trail covering all workflows satisfies SR 11-7, DORA, BCBS 239, and internal model risk management requirements</w:t>
      </w:r>
    </w:p>
    <w:p>
      <w:pPr>
        <w:pStyle w:val="ListParagraph"/>
        <w:numPr>
          <w:ilvl w:val="0"/>
          <w:numId w:val="2"/>
        </w:numPr>
        <w:spacing w:after="20" w:before="20"/>
      </w:pPr>
      <w:r>
        <w:rPr>
          <w:rFonts w:ascii="Arial" w:cs="Arial" w:eastAsia="Arial" w:hAnsi="Arial"/>
          <w:color w:val="1E293B"/>
          <w:sz w:val="22"/>
          <w:szCs w:val="22"/>
        </w:rPr>
        <w:t xml:space="preserve">Operational transparency — Admins require real-time visibility into agent run health, scheduler outcomes, and ingestion job status without navigating across multiple modules</w:t>
      </w:r>
    </w:p>
    <w:p>
      <w:pPr>
        <w:pStyle w:val="ListParagraph"/>
        <w:numPr>
          <w:ilvl w:val="0"/>
          <w:numId w:val="2"/>
        </w:numPr>
        <w:spacing w:after="20" w:before="20"/>
      </w:pPr>
      <w:r>
        <w:rPr>
          <w:rFonts w:ascii="Arial" w:cs="Arial" w:eastAsia="Arial" w:hAnsi="Arial"/>
          <w:color w:val="1E293B"/>
          <w:sz w:val="22"/>
          <w:szCs w:val="22"/>
        </w:rPr>
        <w:t xml:space="preserve">Access governance — a consolidated request history enables Admins to evidence who requested what, when it was approved or rejected, and by whom, across the full platform lifecycle</w:t>
      </w:r>
    </w:p>
    <w:p>
      <w:pPr>
        <w:pStyle w:val="ListParagraph"/>
        <w:numPr>
          <w:ilvl w:val="0"/>
          <w:numId w:val="2"/>
        </w:numPr>
        <w:spacing w:after="20" w:before="20"/>
      </w:pPr>
      <w:r>
        <w:rPr>
          <w:rFonts w:ascii="Arial" w:cs="Arial" w:eastAsia="Arial" w:hAnsi="Arial"/>
          <w:color w:val="1E293B"/>
          <w:sz w:val="22"/>
          <w:szCs w:val="22"/>
        </w:rPr>
        <w:t xml:space="preserve">Notification accountability — the platform must be able to demonstrate that notifications were sent, delivered, and — where delivery failed — that failures were visible and acted upon</w:t>
      </w:r>
    </w:p>
    <w:p>
      <w:pPr>
        <w:pStyle w:val="ListParagraph"/>
        <w:numPr>
          <w:ilvl w:val="0"/>
          <w:numId w:val="2"/>
        </w:numPr>
        <w:spacing w:after="20" w:before="20"/>
      </w:pPr>
      <w:r>
        <w:rPr>
          <w:rFonts w:ascii="Arial" w:cs="Arial" w:eastAsia="Arial" w:hAnsi="Arial"/>
          <w:color w:val="1E293B"/>
          <w:sz w:val="22"/>
          <w:szCs w:val="22"/>
        </w:rPr>
        <w:t xml:space="preserve">Data lifecycle control — retention windows and purge execution must be configurable without code changes, auditable, and restricted to authorised Platform Admins</w:t>
      </w:r>
    </w:p>
    <w:p>
      <w:pPr>
        <w:pStyle w:val="ListParagraph"/>
        <w:numPr>
          <w:ilvl w:val="0"/>
          <w:numId w:val="2"/>
        </w:numPr>
        <w:spacing w:after="20" w:before="20"/>
      </w:pPr>
      <w:r>
        <w:rPr>
          <w:rFonts w:ascii="Arial" w:cs="Arial" w:eastAsia="Arial" w:hAnsi="Arial"/>
          <w:color w:val="1E293B"/>
          <w:sz w:val="22"/>
          <w:szCs w:val="22"/>
        </w:rPr>
        <w:t xml:space="preserve">Compliance reporting — pre-built report templates reduce the time and effort required to respond to audit requests and regulatory queries</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2.3 Relationship to Other Workflows</w:t>
      </w:r>
    </w:p>
    <w:p>
      <w:pPr>
        <w:spacing w:after="40" w:before="40"/>
      </w:pPr>
      <w:r>
        <w:rPr>
          <w:rFonts w:ascii="Arial" w:cs="Arial" w:eastAsia="Arial" w:hAnsi="Arial"/>
          <w:color w:val="1E293B"/>
          <w:sz w:val="22"/>
          <w:szCs w:val="22"/>
        </w:rPr>
        <w:t xml:space="preserve">The Governance module is the downstream consumer of audit events generated by every other workflow on the platform. It does not originate actions; it records, surfaces, and governs them.</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Related Workflow</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Dependency / Relationship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WF1 — Landing Page &amp;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Login events, session events, and unauthorised access attempts feed the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WF2 — Manage Model Inventory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registration, archive, restoration, and hard-delete events feed the Audit Log and Run Log; hard-delete eligibility is managed in Data 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WF3 — KPI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KPI pack creation, publish, and version events feed the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WF4 — Model Data Ingestion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Ingestion job events (start, success, failure) feed the Run Log; KPI review and threshold edits feed the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 — Access Control Center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access provisioning, model assignment, deactivation, and deletion request actions feed the Audit Log and Request History; email delivery failures surface in the Notification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WF6 — Set-up Scheduler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Scheduler create, edit, pause, resume, and failure events feed the Audit Log and Run Log; agent execution events triggered by the scheduler feed the Agent Run 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WF12 — 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Document upload, soft delete, and restore events feed the Audit Log; simultaneous hard delete of repository components on model purge is executed via Data 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Workflows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email and in-platform notification events feed the Notification Log</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2.4 Assumptions and Dependencies</w:t>
      </w:r>
    </w:p>
    <w:p>
      <w:pPr>
        <w:pStyle w:val="ListParagraph"/>
        <w:numPr>
          <w:ilvl w:val="0"/>
          <w:numId w:val="2"/>
        </w:numPr>
        <w:spacing w:after="20" w:before="20"/>
      </w:pPr>
      <w:r>
        <w:rPr>
          <w:rFonts w:ascii="Arial" w:cs="Arial" w:eastAsia="Arial" w:hAnsi="Arial"/>
          <w:color w:val="1E293B"/>
          <w:sz w:val="22"/>
          <w:szCs w:val="22"/>
        </w:rPr>
        <w:t xml:space="preserve">All platform workflows write audit log entries transactionally — if the audit log write fails, the underlying action fails (established in WF2–WF6 BRDs).</w:t>
      </w:r>
    </w:p>
    <w:p>
      <w:pPr>
        <w:pStyle w:val="ListParagraph"/>
        <w:numPr>
          <w:ilvl w:val="0"/>
          <w:numId w:val="2"/>
        </w:numPr>
        <w:spacing w:after="20" w:before="20"/>
      </w:pPr>
      <w:r>
        <w:rPr>
          <w:rFonts w:ascii="Arial" w:cs="Arial" w:eastAsia="Arial" w:hAnsi="Arial"/>
          <w:color w:val="1E293B"/>
          <w:sz w:val="22"/>
          <w:szCs w:val="22"/>
        </w:rPr>
        <w:t xml:space="preserve">Audit log entries are tamper-evident and write-once at the storage layer; no platform role, including Admin, can modify or delete audit log entries.</w:t>
      </w:r>
    </w:p>
    <w:p>
      <w:pPr>
        <w:pStyle w:val="ListParagraph"/>
        <w:numPr>
          <w:ilvl w:val="0"/>
          <w:numId w:val="2"/>
        </w:numPr>
        <w:spacing w:after="20" w:before="20"/>
      </w:pPr>
      <w:r>
        <w:rPr>
          <w:rFonts w:ascii="Arial" w:cs="Arial" w:eastAsia="Arial" w:hAnsi="Arial"/>
          <w:color w:val="1E293B"/>
          <w:sz w:val="22"/>
          <w:szCs w:val="22"/>
        </w:rPr>
        <w:t xml:space="preserve">The email notification service is operational and surfaces delivery status (sent, delivered, bounced, failed) via API to the platform notification log.</w:t>
      </w:r>
    </w:p>
    <w:p>
      <w:pPr>
        <w:pStyle w:val="ListParagraph"/>
        <w:numPr>
          <w:ilvl w:val="0"/>
          <w:numId w:val="2"/>
        </w:numPr>
        <w:spacing w:after="20" w:before="20"/>
      </w:pPr>
      <w:r>
        <w:rPr>
          <w:rFonts w:ascii="Arial" w:cs="Arial" w:eastAsia="Arial" w:hAnsi="Arial"/>
          <w:color w:val="1E293B"/>
          <w:sz w:val="22"/>
          <w:szCs w:val="22"/>
        </w:rPr>
        <w:t xml:space="preserve">Platform Admin is a distinct permission tier above standard Admin for retention policy changes; the exact authentication mechanism for Platform Admin privilege is to be confirmed with the security team.</w:t>
      </w:r>
    </w:p>
    <w:p>
      <w:pPr>
        <w:pStyle w:val="ListParagraph"/>
        <w:numPr>
          <w:ilvl w:val="0"/>
          <w:numId w:val="2"/>
        </w:numPr>
        <w:spacing w:after="20" w:before="20"/>
      </w:pPr>
      <w:r>
        <w:rPr>
          <w:rFonts w:ascii="Arial" w:cs="Arial" w:eastAsia="Arial" w:hAnsi="Arial"/>
          <w:color w:val="1E293B"/>
          <w:sz w:val="22"/>
          <w:szCs w:val="22"/>
        </w:rPr>
        <w:t xml:space="preserve">Data retention default values (Raw: 180 days; Monitoring Outputs: 3 years; Audit Logs: 7 years) are agreed in the Foundational BRD and are the starting configuration values loaded at platform initialisation.</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3. Workflow Overview</w:t>
      </w:r>
    </w:p>
    <w:p>
      <w:pPr>
        <w:pStyle w:val="Heading2"/>
        <w:spacing w:after="80" w:before="200"/>
      </w:pPr>
      <w:r>
        <w:rPr>
          <w:rFonts w:ascii="Arial" w:cs="Arial" w:eastAsia="Arial" w:hAnsi="Arial"/>
          <w:b/>
          <w:bCs/>
          <w:color w:val="1E3A8A"/>
          <w:sz w:val="26"/>
          <w:szCs w:val="26"/>
        </w:rPr>
        <w:t xml:space="preserve">3.1 High-Level Admin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6710"/>
      </w:tblGrid>
      <w:tr>
        <w:tc>
          <w:tcPr>
            <w:tcW w:type="dxa" w:w="4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Step</w:t>
            </w:r>
          </w:p>
        </w:tc>
        <w:tc>
          <w:tcPr>
            <w:tcW w:type="dxa" w:w="67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Land on Governance Homepage</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Admin sees the three sub-section tiles (Audit Log, Request History, Data Log &amp; Reports) with live KPI summaries.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Review Audit Log</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queries the cross-workflow audit trail by date, actor, workflow, event type, or entity to respond to audit or compliance queries.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Review Request History</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Admin accesses the consolidated historical record of all platform requests — access provisioning, model assignments, data deletions — with full approval trail, status pills, and Audit Log drill-through.</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Access Data Log &amp; Reports</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Admin accesses the unified Data Log &amp; Reports screen (Screen 4) to review Run Logs, Notification Logs, Agent Run Monitor status, and Data Retention queue; also generates compliance and audit reports from within this screen.</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Generate Reports</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Admin selects a pre-built compliance or audit report template within Data Log &amp; Reports (Screen 4), applies date range and scope filters, generates the report, and downloads to PDF or CSV.</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Manage Data Retention</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Platform Admin reviews retention policy configuration, identifies models eligible for hard deletion, and executes purge operations with mandatory confirmation. Accessible within Data Log &amp; Reports (Screen 4).</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Monitor Agent Runs</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Admin reviews the Agent Run Monitor view within Data Log &amp; Reports (Screen 4) for failed or timed-out agent runs, drills into failure detail, and navigates to the affected model in inventory.</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Generate Reports</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Pre-built report templates are available within Data Log &amp; Reports (Screen 4). Admin selects a template, applies filters, generates and downloads the report to PDF or CSV.</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3.2 Screens in Scope</w:t>
      </w:r>
    </w:p>
    <w:p>
      <w:pPr>
        <w:pStyle w:val="ListParagraph"/>
        <w:numPr>
          <w:ilvl w:val="0"/>
          <w:numId w:val="2"/>
        </w:numPr>
        <w:spacing w:after="20" w:before="20"/>
      </w:pPr>
      <w:r>
        <w:rPr>
          <w:rFonts w:ascii="Arial" w:cs="Arial" w:eastAsia="Arial" w:hAnsi="Arial"/>
          <w:color w:val="1E293B"/>
          <w:sz w:val="22"/>
          <w:szCs w:val="22"/>
        </w:rPr>
        <w:t xml:space="preserve">Screen 1: Governance Homepage (7-tile dashboard with KPI summaries and alert badge)</w:t>
      </w:r>
    </w:p>
    <w:p>
      <w:pPr>
        <w:pStyle w:val="ListParagraph"/>
        <w:numPr>
          <w:ilvl w:val="0"/>
          <w:numId w:val="2"/>
        </w:numPr>
        <w:spacing w:after="20" w:before="20"/>
      </w:pPr>
      <w:r>
        <w:rPr>
          <w:rFonts w:ascii="Arial" w:cs="Arial" w:eastAsia="Arial" w:hAnsi="Arial"/>
          <w:color w:val="1E293B"/>
          <w:sz w:val="22"/>
          <w:szCs w:val="22"/>
        </w:rPr>
        <w:t xml:space="preserve">Screen 2: Audit Log (full-platform queryable event table with export)</w:t>
      </w:r>
    </w:p>
    <w:p>
      <w:pPr>
        <w:pStyle w:val="ListParagraph"/>
        <w:numPr>
          <w:ilvl w:val="0"/>
          <w:numId w:val="2"/>
        </w:numPr>
        <w:spacing w:after="20" w:before="20"/>
      </w:pPr>
      <w:r>
        <w:rPr>
          <w:rFonts w:ascii="Arial" w:cs="Arial" w:eastAsia="Arial" w:hAnsi="Arial"/>
          <w:color w:val="1E293B"/>
          <w:sz w:val="22"/>
          <w:szCs w:val="22"/>
        </w:rPr>
        <w:t>Screen 3: Request History — consolidated historical record of all access, model, data deletion, and provisioning requests across the platform lifecycle (search, filter, export)</w:t>
      </w:r>
    </w:p>
    <w:p>
      <w:pPr>
        <w:pStyle w:val="ListParagraph"/>
        <w:numPr>
          <w:ilvl w:val="0"/>
          <w:numId w:val="2"/>
        </w:numPr>
        <w:spacing w:after="20" w:before="20"/>
      </w:pPr>
      <w:r>
        <w:rPr>
          <w:rFonts w:ascii="Arial" w:cs="Arial" w:eastAsia="Arial" w:hAnsi="Arial"/>
          <w:color w:val="1E293B"/>
          <w:sz w:val="22"/>
          <w:szCs w:val="22"/>
        </w:rPr>
        <w:t>Screen 4: Data Log &amp; Reports — unified log of all repository component versions, storage locations, source, and status; includes pre-built compliance and audit report templates (consolidates Run Log, Notification Log, Data Retention, and Agent Run Monitor)</w:t>
      </w:r>
    </w:p>
    <w:p>
      <w:pPr>
        <w:pStyle w:val="ListParagraph"/>
        <w:numPr>
          <w:ilvl w:val="0"/>
          <w:numId w:val="2"/>
        </w:numPr>
        <w:spacing w:after="20" w:before="20"/>
      </w:pPr>
      <w:r>
        <w:rPr>
          <w:rFonts w:ascii="Arial" w:cs="Arial" w:eastAsia="Arial" w:hAnsi="Arial"/>
          <w:color w:val="1E293B"/>
          <w:sz w:val="22"/>
          <w:szCs w:val="22"/>
        </w:rPr>
        <w:t>Screen 5: Reports — pre-built report templates; consolidated within Screen 4 (Data Log &amp; Reports) in wireframe v1.0</w:t>
      </w:r>
    </w:p>
    <w:p>
      <w:pPr>
        <w:pStyle w:val="ListParagraph"/>
        <w:numPr>
          <w:ilvl w:val="0"/>
          <w:numId w:val="2"/>
        </w:numPr>
        <w:spacing w:after="20" w:before="20"/>
      </w:pPr>
      <w:r>
        <w:rPr>
          <w:rFonts w:ascii="Arial" w:cs="Arial" w:eastAsia="Arial" w:hAnsi="Arial"/>
          <w:color w:val="1E293B"/>
          <w:sz w:val="22"/>
          <w:szCs w:val="22"/>
        </w:rPr>
        <w:t>Screen 6: Data Retention (requirements defined in Section 4.6; functionality consolidated into Screen 4 in wireframe v1.0)</w:t>
      </w:r>
    </w:p>
    <w:p>
      <w:pPr>
        <w:pStyle w:val="ListParagraph"/>
        <w:numPr>
          <w:ilvl w:val="0"/>
          <w:numId w:val="2"/>
        </w:numPr>
        <w:spacing w:after="20" w:before="20"/>
      </w:pPr>
      <w:r>
        <w:rPr>
          <w:rFonts w:ascii="Arial" w:cs="Arial" w:eastAsia="Arial" w:hAnsi="Arial"/>
          <w:color w:val="1E293B"/>
          <w:sz w:val="22"/>
          <w:szCs w:val="22"/>
        </w:rPr>
        <w:t>Screen 7: Agent Run Monitor (requirements defined in Section 4.7; functionality consolidated into Screen 4 in wireframe v1.0)</w:t>
      </w:r>
    </w:p>
    <w:p>
      <w:pPr>
        <w:pStyle w:val="ListParagraph"/>
        <w:numPr>
          <w:ilvl w:val="0"/>
          <w:numId w:val="2"/>
        </w:numPr>
        <w:spacing w:after="20" w:before="20"/>
      </w:pPr>
      <w:r>
        <w:rPr>
          <w:rFonts w:ascii="Arial" w:cs="Arial" w:eastAsia="Arial" w:hAnsi="Arial"/>
          <w:color w:val="1E293B"/>
          <w:sz w:val="22"/>
          <w:szCs w:val="22"/>
        </w:rPr>
        <w:t>Screen 8: Reports (requirements defined in Section 4.8; moved to Screen 5 / consolidated into Screen 4 in wireframe v1.0)</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4. Functional Requirements</w:t>
      </w:r>
    </w:p>
    <w:p>
      <w:pPr>
        <w:pStyle w:val="Heading2"/>
        <w:spacing w:after="80" w:before="200"/>
      </w:pPr>
      <w:r>
        <w:rPr>
          <w:rFonts w:ascii="Arial" w:cs="Arial" w:eastAsia="Arial" w:hAnsi="Arial"/>
          <w:b/>
          <w:bCs/>
          <w:color w:val="1E3A8A"/>
          <w:sz w:val="26"/>
          <w:szCs w:val="26"/>
        </w:rPr>
        <w:t xml:space="preserve">4.1 Governance Homepage</w:t>
      </w:r>
    </w:p>
    <w:p>
      <w:pPr>
        <w:pStyle w:val="Heading3"/>
        <w:spacing w:after="60" w:before="160"/>
      </w:pPr>
      <w:r>
        <w:rPr>
          <w:rFonts w:ascii="Arial" w:cs="Arial" w:eastAsia="Arial" w:hAnsi="Arial"/>
          <w:b/>
          <w:bCs/>
          <w:color w:val="1E293B"/>
          <w:sz w:val="24"/>
          <w:szCs w:val="24"/>
        </w:rPr>
        <w:t xml:space="preserve">4.1.1 Overview</w:t>
      </w:r>
    </w:p>
    <w:p>
      <w:pPr>
        <w:spacing w:after="40" w:before="40"/>
      </w:pPr>
      <w:r>
        <w:rPr>
          <w:rFonts w:ascii="Arial" w:cs="Arial" w:eastAsia="Arial" w:hAnsi="Arial"/>
          <w:color w:val="1E293B"/>
          <w:sz w:val="22"/>
          <w:szCs w:val="22"/>
        </w:rPr>
        <w:t>The Governance Homepage is the entry point to the module. It presents three sub-section tiles — Audit Log, Request History, and Data Log &amp; Reports — each displaying a real-time summary KPI and a navigation link to the full sub-section. The Agent Run Monitor tile displays a live alert badge when one or more agent runs have a Failed or Timed Out status within the last 24 hours.</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4.1.2 Homepage Tile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Tile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Summary KPI Displayed</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Alert Badge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 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events logged today / Last event timestamp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Request History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Open requests pending (count) / Last actioned timestamp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Data Log &amp; Reports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Total log entries today / Last activity timestamp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(Run Log, Notification Log, Data Retention, Agent Run Monitor, and Reports sub-sections are incorporated within the Data Log &amp; Reports tile — requirements in Sections 4.3, 4.5, 4.6, 4.7, 4.8)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4.1.3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The Governance Homepage shall display three sub-section tiles — Audit Log, Request History, and Data Log &amp; Reports — each with the defined summary KPI and a 'View' action navigating to the full sub-section.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The Data Log &amp; Reports tile shall display a red alert badge showing the count of Failed and Timed Out agent runs within the last 24 hours. The badge shall disappear when no failures exist within the window.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tile KPI values shall refresh on every page load; the Admin shall be able to manually refresh via a Refresh button without reloading the entire page.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homepage shall be accessible only to authenticated users with the Admin role or Platform Admin privilege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Clicking any tile shall navigate to the corresponding sub-section with filters reset to the default state (no pre-applied filters, most recent records shown first).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4.2 Audit Log</w:t>
      </w:r>
    </w:p>
    <w:p>
      <w:pPr>
        <w:pStyle w:val="Heading3"/>
        <w:spacing w:after="60" w:before="160"/>
      </w:pPr>
      <w:r>
        <w:rPr>
          <w:rFonts w:ascii="Arial" w:cs="Arial" w:eastAsia="Arial" w:hAnsi="Arial"/>
          <w:b/>
          <w:bCs/>
          <w:color w:val="1E293B"/>
          <w:sz w:val="24"/>
          <w:szCs w:val="24"/>
        </w:rPr>
        <w:t xml:space="preserve">4.2.1 Overview</w:t>
      </w:r>
    </w:p>
    <w:p>
      <w:pPr>
        <w:spacing w:after="40" w:before="40"/>
      </w:pPr>
      <w:r>
        <w:rPr>
          <w:rFonts w:ascii="Arial" w:cs="Arial" w:eastAsia="Arial" w:hAnsi="Arial"/>
          <w:color w:val="1E293B"/>
          <w:sz w:val="22"/>
          <w:szCs w:val="22"/>
        </w:rPr>
        <w:t xml:space="preserve">The Audit Log is the immutable, compliance-grade, cross-workflow record of every material action taken on the platform by any actor (Admin, User, External, or System/Agent). It is the single authoritative source of truth for internal and external auditors. The Audit Log is read-only to all platform roles without exception.</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4.2.2 Audit Log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Always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Event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System-generated unique identifier for the audit log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and time of the event in UTC, displayed in Admin local timezone with UTC offset 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User ID of the actor who performed the 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 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Display name of the actor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 Role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Role active at time of action (Admin / User / External /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Action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Categorised event type (e.g., Model Registered, User Provisioned, Schedule Created, Data Deleted)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Workflow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Which platform workflow generated the event (WF1–WF12)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type of object acted upon (Model, User Account, Schedule, KPI Pack, Repository Component,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system ID of the object acted upon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 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display name of the object acted upon (where applicable)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Before 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Snapshot of the record state immediately before the action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After 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Snapshot of the record state immediately after the action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IP Address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IP address from which the action was performed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Session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session identifier linking the event to an authenticated 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Outcome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Success or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Failure Reason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Description of why the action failed, if Outcome =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If Failure</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4.2.3 Filter and Search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Filter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Type</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picker (From / 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Default: last 7 days; maximum range: 3 years (Category B retention limit)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Free-text search or dropdown of platform users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Partial match on name or User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Multi-select 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 User / External /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Workflow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Multi-select 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WF1 through WF12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Action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Multi-select 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Populated dynamically from event taxonomy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Multi-select 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 User Account / Schedule / KPI Pack / Repository Component /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Free-text search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Matches on Entity ID or Entity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Outcome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Toggle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 Success / Failure</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4.2.4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shall be read-only to all platform roles including Platform Admin. No role shall have the ability to edit, delete, or suppress any audit log entry from within the platform.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entries shall be displayed in reverse chronological order by default (most recent first). Column-level sort shall be available for: Timestamp, Actor, Workflow Source, Action Type, Outcome.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filter and search controls defined in Section 4.2.3 shall be available. Applied filters shall be visually indicated (active filter chips). Multiple filters shall be combinable (AND logic).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table shall support pagination with a configurable page size (default: 50 rows; options: 25, 50, 100).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Each row shall be expandable to reveal the full entry detail including Before State and After State JSON payloads in a formatted, readable 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Audit Log results to CSV and PDF. The export shall include all visible columns and the applied filter parameters as a header.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shall retain entries for 7 years per the Foundational BRD Category C retention policy. Entries beyond 7 years shall be purged by the system automatically; this purge event shall itself generate an audit log meta-entry.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shall surface entries from all platform workflows (WF1–WF12) in a single unified view. Workflow-level filtering is provided to allow per-workflow review.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shall render up to 1,000 entries within 2.0 seconds with filters applied at the 95th percentile.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WF7-AUD-010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Direct URL access to the Audit Log from a non-Admin session shall return a 403 — Access Denied response.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4.3 Run Log</w:t>
      </w:r>
    </w:p>
    <w:p>
      <w:pPr>
        <w:pStyle w:val="Heading3"/>
        <w:spacing w:after="60" w:before="160"/>
      </w:pPr>
      <w:r>
        <w:rPr>
          <w:rFonts w:ascii="Arial" w:cs="Arial" w:eastAsia="Arial" w:hAnsi="Arial"/>
          <w:b/>
          <w:bCs/>
          <w:color w:val="1E293B"/>
          <w:sz w:val="24"/>
          <w:szCs w:val="24"/>
        </w:rPr>
        <w:t xml:space="preserve">4.3.1 Overview</w:t>
      </w:r>
    </w:p>
    <w:p>
      <w:pPr>
        <w:spacing w:after="40" w:before="40"/>
      </w:pPr>
      <w:r>
        <w:rPr>
          <w:rFonts w:ascii="Arial" w:cs="Arial" w:eastAsia="Arial" w:hAnsi="Arial"/>
          <w:color w:val="1E293B"/>
          <w:sz w:val="22"/>
          <w:szCs w:val="22"/>
        </w:rPr>
        <w:t xml:space="preserve">The Run Log provides an operational, near-real-time view of all agent executions, scheduler-triggered monitoring runs, data ingestion jobs, and report generation events across the platform. It is the first place an Admin checks to diagnose execution issues — "why did last night's run fail for Model X?" — without needing to parse the full compliance-grade Audit Log.</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4.3.2 Run Log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System-generated unique identifier for the run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 Scheduler Trigger / Ingestion Job / Report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 Process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Name of the agent or process (e.g., Data Ingestion Agent, Drift Detection Agent, Report Generation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platform Model ID the run was executed for (where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Display name of the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Trigger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Scheduled / On-Demand /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Start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 (UTC, displayed in local timezone with offset label)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 (UTC); blank if status is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Calculated elapsed time (minutes / seconds); blank if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Running / Completed / Failed / Timed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Failure Reason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Description of the failure cause if Status = Failed or Timed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Navigation link to the relevant model in the Model Inventory</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4.3.3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Run Log shall display all agent execution events, scheduler trigger events, ingestion job events, and report generation events in reverse chronological order by default.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controls shall include: Run Type (multi-select), Agent / Process Name (multi-select), Model (free-text search), Status (multi-select: Running / Completed / Failed / Timed Out), Trigger Type (multi-select), Date Range (date picker).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Run Log shall be read-only. No re-trigger or re-run actions shall be available from this screen; those remain in the Scheduler workflow (WF6).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Each row shall be expandable to show the full failure reason detail for Failed and Timed Out entries.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Model Name cell shall contain a navigation link to the relevant model record in the Model Inventory (opens in the same tab with breadcrumb back to Governance).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Log entries shall be retained per the Foundational BRD Category B policy (3 years for monitoring outputs). Entries beyond this window shall be automatically archived and a meta-event logged.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Run Log shall render core content within 2.0 seconds at the 95th percentile.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Run Log results to CSV.</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4.4 Request History</w:t>
      </w:r>
    </w:p>
    <w:p>
      <w:pPr>
        <w:pStyle w:val="Heading3"/>
        <w:spacing w:after="60" w:before="160"/>
      </w:pPr>
      <w:r>
        <w:rPr>
          <w:rFonts w:ascii="Arial" w:cs="Arial" w:eastAsia="Arial" w:hAnsi="Arial"/>
          <w:b/>
          <w:bCs/>
          <w:color w:val="1E293B"/>
          <w:sz w:val="24"/>
          <w:szCs w:val="24"/>
        </w:rPr>
        <w:t xml:space="preserve">4.4.1 Overview</w:t>
      </w:r>
    </w:p>
    <w:p>
      <w:pPr>
        <w:spacing w:after="40" w:before="40"/>
      </w:pPr>
      <w:r>
        <w:rPr>
          <w:rFonts w:ascii="Arial" w:cs="Arial" w:eastAsia="Arial" w:hAnsi="Arial"/>
          <w:color w:val="1E293B"/>
          <w:sz w:val="22"/>
          <w:szCs w:val="22"/>
        </w:rPr>
        <w:t xml:space="preserve">The Request History sub-section provides a consolidated, searchable, read-only historical record of all platform requests across the entire lifecycle. This is distinct from the live action queues in the Access Control Center (WF5), which are the actioning interface. Request History is the evidence trail — who requested what, when it was reviewed, what the decision was, and who made it.</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4.4.2 Request Categories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Request Category</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Source Workflow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New User Access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from an individual to be provisioned as a User on the platform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WF1 / 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External Access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from an individual to be provisioned as an External stakeholder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Provisioning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to create a new Admin account (including dual-auth trail)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Access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from a User or External to be assigned to a specific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Deletion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raised by a User for deletion of a specific data reference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Account Deactivation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action to deactivate a User or External 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Access Expiry Renewal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to extend an expiring role or model access assignment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Account Reactivation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to restore a deactivated 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4.4.3 Request History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System-generated 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Category from the taxonomy in 4.4.2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Name and User ID of the person who raised the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and time the request was submitted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entity the request relates to (User name, Model name, data reference,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Pending / Approved / Rejected / Expired / Withdrawn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Decision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and time the request was actioned (null if still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Decision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name and ID who actioned the request (null if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Decision Reason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Reason provided by the Admin at time of approval or rejection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 Audit Entry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 to the corresponding Audit Log entry for full detail</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4.4.4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Request History shall display all request categories defined in 4.4.2 in a single unified table, filterable by category.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controls shall include: Request Category (multi-select), Status (multi-select), Requester (free-text search), Target Entity (free-text search), Decision By (free-text search), Date Range (date picker).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Request History shall be read-only. No approval, rejection, or modification actions shall be available from this screen.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Each row shall link to the corresponding Audit Log entry via the Linked Audit Entry field, enabling drill-through to the full event detail.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History entries shall be retained for 7 years per Category C retention policy.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Request History to CSV and PDF.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4.5 Notification Log</w:t>
      </w:r>
    </w:p>
    <w:p>
      <w:pPr>
        <w:pStyle w:val="Heading3"/>
        <w:spacing w:after="60" w:before="160"/>
      </w:pPr>
      <w:r>
        <w:rPr>
          <w:rFonts w:ascii="Arial" w:cs="Arial" w:eastAsia="Arial" w:hAnsi="Arial"/>
          <w:b/>
          <w:bCs/>
          <w:color w:val="1E293B"/>
          <w:sz w:val="24"/>
          <w:szCs w:val="24"/>
        </w:rPr>
        <w:t xml:space="preserve">4.5.1 Overview</w:t>
      </w:r>
    </w:p>
    <w:p>
      <w:pPr>
        <w:spacing w:after="40" w:before="40"/>
      </w:pPr>
      <w:r>
        <w:rPr>
          <w:rFonts w:ascii="Arial" w:cs="Arial" w:eastAsia="Arial" w:hAnsi="Arial"/>
          <w:color w:val="1E293B"/>
          <w:sz w:val="22"/>
          <w:szCs w:val="22"/>
        </w:rPr>
        <w:t xml:space="preserve">The Notification Log records the delivery status of all platform-generated notifications — both email and in-platform — across every workflow. It provides Admins with the evidence that notifications were sent and a clear view of any delivery failures that require follow-up. Sensitive notification events (account deactivation, data deletion approval) are subject to privacy masking as defined below.</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4.5.2 Notification Log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00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Privacy Masking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System-generated unique identifier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and time the notification was dispatched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Category of notification (e.g., User Provisioned, Schedule Failed, Model Access Approved, Account Deactivated)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Channel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 In-Platform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Recipient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Display name and User ID of the notification recipient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Masked for sensitive event types (see 4.5.3)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Source Workflow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Which workflow generated the notification event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Related Entity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name, User name, or other entity the notification concerns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Delivery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Sent / Delivered / Failed / Bounced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Failure Reason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Error detail if Delivery Status = Failed or Bounced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Retry 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Number of delivery retry attempts made (email channel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4.5.3 Privacy Masking Rules</w:t>
      </w:r>
    </w:p>
    <w:p>
      <w:pPr>
        <w:spacing w:after="40" w:before="40"/>
      </w:pPr>
      <w:r>
        <w:rPr>
          <w:rFonts w:ascii="Arial" w:cs="Arial" w:eastAsia="Arial" w:hAnsi="Arial"/>
          <w:color w:val="1E293B"/>
          <w:sz w:val="22"/>
          <w:szCs w:val="22"/>
        </w:rPr>
        <w:t xml:space="preserve">The following notification types shall have the Recipient field masked to show only the User ID (not the display name or email address) for all Admin viewers except the Admin who performed the originating action:</w:t>
      </w:r>
    </w:p>
    <w:p>
      <w:pPr>
        <w:pStyle w:val="ListParagraph"/>
        <w:numPr>
          <w:ilvl w:val="0"/>
          <w:numId w:val="2"/>
        </w:numPr>
        <w:spacing w:after="20" w:before="20"/>
      </w:pPr>
      <w:r>
        <w:rPr>
          <w:rFonts w:ascii="Arial" w:cs="Arial" w:eastAsia="Arial" w:hAnsi="Arial"/>
          <w:color w:val="1E293B"/>
          <w:sz w:val="22"/>
          <w:szCs w:val="22"/>
        </w:rPr>
        <w:t xml:space="preserve">Account Deactivated notifications</w:t>
      </w:r>
    </w:p>
    <w:p>
      <w:pPr>
        <w:pStyle w:val="ListParagraph"/>
        <w:numPr>
          <w:ilvl w:val="0"/>
          <w:numId w:val="2"/>
        </w:numPr>
        <w:spacing w:after="20" w:before="20"/>
      </w:pPr>
      <w:r>
        <w:rPr>
          <w:rFonts w:ascii="Arial" w:cs="Arial" w:eastAsia="Arial" w:hAnsi="Arial"/>
          <w:color w:val="1E293B"/>
          <w:sz w:val="22"/>
          <w:szCs w:val="22"/>
        </w:rPr>
        <w:t xml:space="preserve">Data Deletion Approved notifications</w:t>
      </w:r>
    </w:p>
    <w:p>
      <w:pPr>
        <w:pStyle w:val="ListParagraph"/>
        <w:numPr>
          <w:ilvl w:val="0"/>
          <w:numId w:val="2"/>
        </w:numPr>
        <w:spacing w:after="20" w:before="20"/>
      </w:pPr>
      <w:r>
        <w:rPr>
          <w:rFonts w:ascii="Arial" w:cs="Arial" w:eastAsia="Arial" w:hAnsi="Arial"/>
          <w:color w:val="1E293B"/>
          <w:sz w:val="22"/>
          <w:szCs w:val="22"/>
        </w:rPr>
        <w:t xml:space="preserve">Role Revoked notifications</w:t>
      </w:r>
    </w:p>
    <w:p>
      <w:pPr>
        <w:pStyle w:val="ListParagraph"/>
        <w:numPr>
          <w:ilvl w:val="0"/>
          <w:numId w:val="2"/>
        </w:numPr>
        <w:spacing w:after="20" w:before="20"/>
      </w:pPr>
      <w:r>
        <w:rPr>
          <w:rFonts w:ascii="Arial" w:cs="Arial" w:eastAsia="Arial" w:hAnsi="Arial"/>
          <w:color w:val="1E293B"/>
          <w:sz w:val="22"/>
          <w:szCs w:val="22"/>
        </w:rPr>
        <w:t xml:space="preserve">Account Suspension notifications (if applicable in future)</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4.5.4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Notification Log shall record all platform notification events (email and in-platform) from all workflows in a single unified table.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Privacy masking rules defined in 4.5.3 shall be applied server-side; masked fields shall never be transmitted to the client in unmasked form for unauthorised viewers.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controls shall include: Notification Type (multi-select), Channel (multi-select), Delivery Status (multi-select), Source Workflow (multi-select), Date Range (date picker).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Notification Log shall be read-only. No resend actions shall be available from this screen; manual follow-up for failed deliveries is an operational process outside the platform.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Entries with Delivery Status = Failed or Bounced shall be visually highlighted (red status pill) to aid rapid Admin identification of delivery issues.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Log entries shall be retained for 7 years per Category C retention policy.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Notification Log results to CSV, subject to privacy masking rules applying equally to exports.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4.6 Data Retention</w:t>
      </w:r>
    </w:p>
    <w:p>
      <w:pPr>
        <w:pStyle w:val="Heading3"/>
        <w:spacing w:after="60" w:before="160"/>
      </w:pPr>
      <w:r>
        <w:rPr>
          <w:rFonts w:ascii="Arial" w:cs="Arial" w:eastAsia="Arial" w:hAnsi="Arial"/>
          <w:b/>
          <w:bCs/>
          <w:color w:val="1E293B"/>
          <w:sz w:val="24"/>
          <w:szCs w:val="24"/>
        </w:rPr>
        <w:t xml:space="preserve">4.6.1 Overview</w:t>
      </w:r>
    </w:p>
    <w:p>
      <w:pPr>
        <w:spacing w:after="40" w:before="40"/>
      </w:pPr>
      <w:r>
        <w:rPr>
          <w:rFonts w:ascii="Arial" w:cs="Arial" w:eastAsia="Arial" w:hAnsi="Arial"/>
          <w:color w:val="1E293B"/>
          <w:sz w:val="22"/>
          <w:szCs w:val="22"/>
        </w:rPr>
        <w:t xml:space="preserve">The Data Retention sub-section is the Platform Admin-restricted control centre for configuring data retention windows, reviewing models eligible for hard deletion, and executing purge operations. Standard Admins have read-only access to retention policy configuration; only Platform Admins may modify retention windows. All purge operations are destructive and irreversible; the workflow includes a mandatory confirmation step before execution.</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4.6.2 Data Retention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200"/>
        <w:gridCol w:w="22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Category</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Default Retention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Configurable By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 Raw Ingested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Training, scoring, and outcome data ingested by the Data Ingestion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180 days (rolling)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 — Monitoring Outputs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Drift scores, performance metrics, bias metrics, RCA findings, trigger hit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 — Reports &amp; Audit Logs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Generated reports and full platform audit trail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only</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4.6.3 Hard Delete Behaviour</w:t>
      </w:r>
    </w:p>
    <w:p>
      <w:pPr>
        <w:spacing w:after="40" w:before="40"/>
      </w:pPr>
      <w:r>
        <w:rPr>
          <w:rFonts w:ascii="Arial" w:cs="Arial" w:eastAsia="Arial" w:hAnsi="Arial"/>
          <w:color w:val="1E293B"/>
          <w:sz w:val="22"/>
          <w:szCs w:val="22"/>
        </w:rPr>
        <w:t xml:space="preserve">When a model reaches its hard-delete eligibility date (Archive Date + configured retention period), it appears in the Hard-Delete Eligibility Queue. The Platform Admin or Admin reviews the queue, selects the model, and initiates the purge. The following simultaneous hard-delete cascade applies per the decision recorded in this BRD (closing OPN-W12-007):</w:t>
      </w:r>
    </w:p>
    <w:p>
      <w:pPr>
        <w:pStyle w:val="ListParagraph"/>
        <w:numPr>
          <w:ilvl w:val="0"/>
          <w:numId w:val="2"/>
        </w:numPr>
        <w:spacing w:after="20" w:before="20"/>
      </w:pPr>
      <w:r>
        <w:rPr>
          <w:rFonts w:ascii="Arial" w:cs="Arial" w:eastAsia="Arial" w:hAnsi="Arial"/>
          <w:color w:val="1E293B"/>
          <w:sz w:val="22"/>
          <w:szCs w:val="22"/>
        </w:rPr>
        <w:t xml:space="preserve">The model record is permanently removed from the platform inventory</w:t>
      </w:r>
    </w:p>
    <w:p>
      <w:pPr>
        <w:pStyle w:val="ListParagraph"/>
        <w:numPr>
          <w:ilvl w:val="0"/>
          <w:numId w:val="2"/>
        </w:numPr>
        <w:spacing w:after="20" w:before="20"/>
      </w:pPr>
      <w:r>
        <w:rPr>
          <w:rFonts w:ascii="Arial" w:cs="Arial" w:eastAsia="Arial" w:hAnsi="Arial"/>
          <w:color w:val="1E293B"/>
          <w:sz w:val="22"/>
          <w:szCs w:val="22"/>
        </w:rPr>
        <w:t xml:space="preserve">All associated repository components and their complete version histories are permanently deleted in the same transaction</w:t>
      </w:r>
    </w:p>
    <w:p>
      <w:pPr>
        <w:pStyle w:val="ListParagraph"/>
        <w:numPr>
          <w:ilvl w:val="0"/>
          <w:numId w:val="2"/>
        </w:numPr>
        <w:spacing w:after="20" w:before="20"/>
      </w:pPr>
      <w:r>
        <w:rPr>
          <w:rFonts w:ascii="Arial" w:cs="Arial" w:eastAsia="Arial" w:hAnsi="Arial"/>
          <w:color w:val="1E293B"/>
          <w:sz w:val="22"/>
          <w:szCs w:val="22"/>
        </w:rPr>
        <w:t xml:space="preserve">All associated monitoring outputs (drift scores, performance metrics, bias metrics, RCA findings) are permanently deleted</w:t>
      </w:r>
    </w:p>
    <w:p>
      <w:pPr>
        <w:pStyle w:val="ListParagraph"/>
        <w:numPr>
          <w:ilvl w:val="0"/>
          <w:numId w:val="2"/>
        </w:numPr>
        <w:spacing w:after="20" w:before="20"/>
      </w:pPr>
      <w:r>
        <w:rPr>
          <w:rFonts w:ascii="Arial" w:cs="Arial" w:eastAsia="Arial" w:hAnsi="Arial"/>
          <w:color w:val="1E293B"/>
          <w:sz w:val="22"/>
          <w:szCs w:val="22"/>
        </w:rPr>
        <w:t xml:space="preserve">All associated ingestion job records are permanently deleted</w:t>
      </w:r>
    </w:p>
    <w:p>
      <w:pPr>
        <w:pStyle w:val="ListParagraph"/>
        <w:numPr>
          <w:ilvl w:val="0"/>
          <w:numId w:val="2"/>
        </w:numPr>
        <w:spacing w:after="20" w:before="20"/>
      </w:pPr>
      <w:r>
        <w:rPr>
          <w:rFonts w:ascii="Arial" w:cs="Arial" w:eastAsia="Arial" w:hAnsi="Arial"/>
          <w:color w:val="1E293B"/>
          <w:sz w:val="22"/>
          <w:szCs w:val="22"/>
        </w:rPr>
        <w:t xml:space="preserve">The audit log entry recording the hard-delete event persists permanently per Category C retention — it is not deleted</w:t>
      </w:r>
    </w:p>
    <w:p>
      <w:pPr>
        <w:pStyle w:val="ListParagraph"/>
        <w:numPr>
          <w:ilvl w:val="0"/>
          <w:numId w:val="2"/>
        </w:numPr>
        <w:spacing w:after="20" w:before="20"/>
      </w:pPr>
      <w:r>
        <w:rPr>
          <w:rFonts w:ascii="Arial" w:cs="Arial" w:eastAsia="Arial" w:hAnsi="Arial"/>
          <w:color w:val="1E293B"/>
          <w:sz w:val="22"/>
          <w:szCs w:val="22"/>
        </w:rPr>
        <w:t xml:space="preserve">The Request History entries for the model persist permanently per Category C retention</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4.6.4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Retention policy configuration (Category A, B, C window values) shall be visible to all Admins but editable only by authenticated Platform Admins.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Any change to a retention window value shall be audit-logged with: the Platform Admin ID, timestamp, Category changed, previous value, new value. The change shall take effect immediately on save.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Hard-Delete Eligibility Queue shall display all archived models whose Archive Date plus the configured Category A/B retention period has elapsed, sorted by eligibility date ascending (oldest eligible first).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Hard-Delete Eligibility Queue shall display: Model ID, Model Name, Domain, Archive Date, Eligibility Date, Days Overdue (calculated), and a Purge action button.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Before executing a purge, the Admin shall be presented with a confirmation modal clearly listing: the model name and ID, all data categories and repository components that will be permanently deleted, a statement that this action is irreversible, and a free-text confirmation field requiring the Admin to type the Model ID to proceed.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purge shall execute as a single atomic transaction. If any component of the purge fails, the entire transaction shall roll back and no data shall be deleted. The failure shall be surfaced to the Admin and logged.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 successful purge, the audit log entry for the hard-delete event shall capture: Model ID, Model Name, Archive Date, Hard Delete Date, retention policy version active at the time, and the Admin ID executing the purge.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entry for a purged model shall be retained permanently per Category C policy; it shall not be removed by any subsequent purge or retention enforcement process.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Standard Admin (non-Platform Admin) shall have read-only access to the Data Retention sub-section. Purge action buttons and retention window edit controls shall be hidden for standard Admin sessions.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WF7-RET-010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purge history table shall be available within the Data Retention sub-section, listing all previously executed purge events with: Model ID, Model Name, Purge Date, Purge Executed By, and a link to the corresponding Audit Log entry.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4.7 Agent Run Monitor</w:t>
      </w:r>
    </w:p>
    <w:p>
      <w:pPr>
        <w:pStyle w:val="Heading3"/>
        <w:spacing w:after="60" w:before="160"/>
      </w:pPr>
      <w:r>
        <w:rPr>
          <w:rFonts w:ascii="Arial" w:cs="Arial" w:eastAsia="Arial" w:hAnsi="Arial"/>
          <w:b/>
          <w:bCs/>
          <w:color w:val="1E293B"/>
          <w:sz w:val="24"/>
          <w:szCs w:val="24"/>
        </w:rPr>
        <w:t xml:space="preserve">4.7.1 Overview</w:t>
      </w:r>
    </w:p>
    <w:p>
      <w:pPr>
        <w:spacing w:after="40" w:before="40"/>
      </w:pPr>
      <w:r>
        <w:rPr>
          <w:rFonts w:ascii="Arial" w:cs="Arial" w:eastAsia="Arial" w:hAnsi="Arial"/>
          <w:color w:val="1E293B"/>
          <w:sz w:val="22"/>
          <w:szCs w:val="22"/>
        </w:rPr>
        <w:t xml:space="preserve">The Agent Run Monitor provides a per-agent, per-model operational status view focused specifically on the seven platform agents. It is the detailed diagnostic companion to the homepage alert badge — when a failed-run alert fires on the Governance homepage tile, the Admin drills into the Agent Run Monitor to identify which agent failed, for which model, and why. The Agent Run Monitor is read-only; no re-trigger or remediation actions are available here.</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4.7.2 Platform Agents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6310"/>
      </w:tblGrid>
      <w:tr>
        <w:tc>
          <w:tcPr>
            <w:tcW w:type="dxa" w:w="4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Agent Name</w:t>
            </w:r>
          </w:p>
        </w:tc>
        <w:tc>
          <w:tcPr>
            <w:tcW w:type="dxa" w:w="63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Responsibility</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Ingestion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Ingest training, scoring, and outcome data from configured sources; validate schema and data quality</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Insights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Compute descriptive statistics, feature distributions, and exploratory insights on ingested data</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Drift Detection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Detect feature and target distribution drift between reference and current monitoring windows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Performance Assessment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Evaluate model predictive performance metrics against reference benchmarks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Bias Evaluation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Assess model output bias across protected and proxy attributes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Root Cause Analysis (RCA)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Investigate and attribute detected drift or performance degradation to specific data or model factors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Generation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Compile monitoring outputs into structured reports for business and technical consumption</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4.7.3 Agent Run Monitor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Name of the agent from the taxonomy in 4.7.2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Model ID the agent ran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Display name of the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Trigger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Scheduled / On-Demand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Start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 (UTC, displayed in local timezone)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 blank if Status =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Elapsed time; blank if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Running / Completed / Failed / Timed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Failure Reason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Descriptive failure cause for Failed / Timed Out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Navigation link to the model record in the Model Inventory</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4.7.4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Agent Run Monitor shall display all seven agent types in a single unified table with filter controls for: Agent Name (multi-select), Model (free-text), Trigger Type (multi-select), Status (multi-select), Date Range (date picker).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Rows with Status = Failed or Timed Out shall be visually highlighted (red row background or status pill) to enable rapid identification.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Each Failed or Timed Out row shall be expandable to show the full Failure Reason detail.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Model Name cell shall contain a navigation link to the relevant model record in the Model Inventory.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homepage tile alert badge shall reflect the count of Failed and Timed Out agent runs within the last 24 hours. The badge count shall update on every page load of the Governance Homepage.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Agent Run Monitor shall have no re-trigger, retry, or remediation controls. It is a read-only diagnostic 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entries shall be retained per the Category B retention policy (3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Agent Run Monitor data to CSV.</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4.8 Reports</w:t>
      </w:r>
    </w:p>
    <w:p>
      <w:pPr>
        <w:pStyle w:val="Heading3"/>
        <w:spacing w:after="60" w:before="160"/>
      </w:pPr>
      <w:r>
        <w:rPr>
          <w:rFonts w:ascii="Arial" w:cs="Arial" w:eastAsia="Arial" w:hAnsi="Arial"/>
          <w:b/>
          <w:bCs/>
          <w:color w:val="1E293B"/>
          <w:sz w:val="24"/>
          <w:szCs w:val="24"/>
        </w:rPr>
        <w:t xml:space="preserve">4.8.1 Overview</w:t>
      </w:r>
    </w:p>
    <w:p>
      <w:pPr>
        <w:spacing w:after="40" w:before="40"/>
      </w:pPr>
      <w:r>
        <w:rPr>
          <w:rFonts w:ascii="Arial" w:cs="Arial" w:eastAsia="Arial" w:hAnsi="Arial"/>
          <w:color w:val="1E293B"/>
          <w:sz w:val="22"/>
          <w:szCs w:val="22"/>
        </w:rPr>
        <w:t xml:space="preserve">The Reports sub-section provides pre-built compliance and audit report templates that Admins can run on demand, parameterise with date ranges and scope filters, and export. Reports are owned and managed by Admin. Template content is fixed in this version; configurable templates are a future enhancement.</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4.8.2 Pre-Built Report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460"/>
        <w:gridCol w:w="1800"/>
      </w:tblGrid>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Report Name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Key Parameters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Export Formats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Full Audit Trail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Complete export of all Audit Log entries within a specified date range and optional workflow/actor filter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 Workflow Source (multi-select), Actor, Outcome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User Access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Lists all current platform users, their roles, model assignments, and access expiry dates at a point in time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As-At Date, Role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Deletion Certificate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Formal record of a specific approved data deletion event, suitable for regulatory submission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ID / Model ID / Date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PDF only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Monitoring Coverage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Lists all registered models with: scheduled status, last run date, last run outcome, and breach count for the reporting period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 Domain filter, Status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Aggregated summary of agent run outcomes (counts by agent, by status, by model domain) for a reporting period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 Agent Name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Delivery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Summary of notification delivery outcomes (sent, delivered, failed) by channel and notification type for a reporting period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 Channel filter, Notification Type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Retention Policy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Record of all retention policy changes made by Platform Admins, with before/after values and timestamps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4.8.3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Reports sub-section shall display all pre-built report templates as a tile or list with a description and a Run Report CTA for each.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 selecting Run Report, Admin shall be presented with a parameter panel for the applicable parameters defined in 4.8.2. All mandatory parameters must be populated before the report can be generated.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generation shall complete within 30 seconds for date ranges of up to 12 months at the 95th percentile. For longer ranges, a progress indicator shall be displayed.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Generated reports shall be immediately available for download in the specified format(s). Admin shall also receive an in-platform notification when the report is ready.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report run history table shall list all reports generated by any Admin, with: Report Name, Generated By, Parameters Applied, Generation Timestamp, and Download link (if within retention window).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files shall be retained for 7 years per Category C policy. Report run history metadata shall be retained for the same period.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Privacy masking rules from Section 4.5.3 shall apply equally to any report output that includes notification data.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4.9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sub-sections of the Governance module shall be accessible only to authenticated users with the Admin role or Platform Admin privilege active. Users and Externals shall have no access.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Direct URL access to any Governance sub-section endpoint from a non-Admin session shall be rejected with a 403 — Access Denied response.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Data Retention sub-section configuration controls (retention window edits and purge execution) shall be restricted to Platform Admin privilege only. Standard Admin shall see these controls in a disabled, read-only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sub-sections are read-only to all Admin roles except Data Retention (which permits Platform Admin write actions as defined in Section 4.6).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Privacy masking rules for the Notification Log (Section 4.5.3) shall be enforced at the API layer; masked fields shall not be present in any API response for non-privileged Admin viewers.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Export actions (CSV, PDF) shall enforce the same access controls and privacy masking rules as the on-screen view. Exports shall not expose data that the exporting Admin cannot see on screen.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5. Non-Functional Requirements</w:t>
      </w:r>
    </w:p>
    <w:p>
      <w:pPr>
        <w:pStyle w:val="Heading2"/>
        <w:spacing w:after="80" w:before="200"/>
      </w:pPr>
      <w:r>
        <w:rPr>
          <w:rFonts w:ascii="Arial" w:cs="Arial" w:eastAsia="Arial" w:hAnsi="Arial"/>
          <w:b/>
          <w:bCs/>
          <w:color w:val="1E3A8A"/>
          <w:sz w:val="26"/>
          <w:szCs w:val="26"/>
        </w:rPr>
        <w:t xml:space="preserve">5.1 Performance</w:t>
      </w:r>
    </w:p>
    <w:p>
      <w:pPr>
        <w:pStyle w:val="ListParagraph"/>
        <w:numPr>
          <w:ilvl w:val="0"/>
          <w:numId w:val="2"/>
        </w:numPr>
        <w:spacing w:after="20" w:before="20"/>
      </w:pPr>
      <w:r>
        <w:rPr>
          <w:rFonts w:ascii="Arial" w:cs="Arial" w:eastAsia="Arial" w:hAnsi="Arial"/>
          <w:color w:val="1E293B"/>
          <w:sz w:val="22"/>
          <w:szCs w:val="22"/>
        </w:rPr>
        <w:t xml:space="preserve">Governance Homepage shall render all tile KPIs within 2.0 seconds at the 95th percentile.</w:t>
      </w:r>
    </w:p>
    <w:p>
      <w:pPr>
        <w:pStyle w:val="ListParagraph"/>
        <w:numPr>
          <w:ilvl w:val="0"/>
          <w:numId w:val="2"/>
        </w:numPr>
        <w:spacing w:after="20" w:before="20"/>
      </w:pPr>
      <w:r>
        <w:rPr>
          <w:rFonts w:ascii="Arial" w:cs="Arial" w:eastAsia="Arial" w:hAnsi="Arial"/>
          <w:color w:val="1E293B"/>
          <w:sz w:val="22"/>
          <w:szCs w:val="22"/>
        </w:rPr>
        <w:t xml:space="preserve">Audit Log, Run Log, Request History, Notification Log, and Agent Run Monitor tables shall render up to 1,000 entries within 2.0 seconds with filters applied at the 95th percentile.</w:t>
      </w:r>
    </w:p>
    <w:p>
      <w:pPr>
        <w:pStyle w:val="ListParagraph"/>
        <w:numPr>
          <w:ilvl w:val="0"/>
          <w:numId w:val="2"/>
        </w:numPr>
        <w:spacing w:after="20" w:before="20"/>
      </w:pPr>
      <w:r>
        <w:rPr>
          <w:rFonts w:ascii="Arial" w:cs="Arial" w:eastAsia="Arial" w:hAnsi="Arial"/>
          <w:color w:val="1E293B"/>
          <w:sz w:val="22"/>
          <w:szCs w:val="22"/>
        </w:rPr>
        <w:t xml:space="preserve">Export generation (CSV) for up to 10,000 rows shall complete within 10 seconds at the 95th percentile. PDF exports may take up to 30 seconds for large datasets.</w:t>
      </w:r>
    </w:p>
    <w:p>
      <w:pPr>
        <w:pStyle w:val="ListParagraph"/>
        <w:numPr>
          <w:ilvl w:val="0"/>
          <w:numId w:val="2"/>
        </w:numPr>
        <w:spacing w:after="20" w:before="20"/>
      </w:pPr>
      <w:r>
        <w:rPr>
          <w:rFonts w:ascii="Arial" w:cs="Arial" w:eastAsia="Arial" w:hAnsi="Arial"/>
          <w:color w:val="1E293B"/>
          <w:sz w:val="22"/>
          <w:szCs w:val="22"/>
        </w:rPr>
        <w:t xml:space="preserve">Report generation for date ranges up to 12 months shall complete within 30 seconds at the 95th percentile.</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5.2 Security</w:t>
      </w:r>
    </w:p>
    <w:p>
      <w:pPr>
        <w:pStyle w:val="ListParagraph"/>
        <w:numPr>
          <w:ilvl w:val="0"/>
          <w:numId w:val="2"/>
        </w:numPr>
        <w:spacing w:after="20" w:before="20"/>
      </w:pPr>
      <w:r>
        <w:rPr>
          <w:rFonts w:ascii="Arial" w:cs="Arial" w:eastAsia="Arial" w:hAnsi="Arial"/>
          <w:color w:val="1E293B"/>
          <w:sz w:val="22"/>
          <w:szCs w:val="22"/>
        </w:rPr>
        <w:t xml:space="preserve">All communication shall use TLS 1.2 or higher; HTTP shall be redirected to HTTPS.</w:t>
      </w:r>
    </w:p>
    <w:p>
      <w:pPr>
        <w:pStyle w:val="ListParagraph"/>
        <w:numPr>
          <w:ilvl w:val="0"/>
          <w:numId w:val="2"/>
        </w:numPr>
        <w:spacing w:after="20" w:before="20"/>
      </w:pPr>
      <w:r>
        <w:rPr>
          <w:rFonts w:ascii="Arial" w:cs="Arial" w:eastAsia="Arial" w:hAnsi="Arial"/>
          <w:color w:val="1E293B"/>
          <w:sz w:val="22"/>
          <w:szCs w:val="22"/>
        </w:rPr>
        <w:t xml:space="preserve">Audit log storage shall be write-once and tamper-evident at the infrastructure layer; no application-layer process shall have delete or update access to audit log records.</w:t>
      </w:r>
    </w:p>
    <w:p>
      <w:pPr>
        <w:pStyle w:val="ListParagraph"/>
        <w:numPr>
          <w:ilvl w:val="0"/>
          <w:numId w:val="2"/>
        </w:numPr>
        <w:spacing w:after="20" w:before="20"/>
      </w:pPr>
      <w:r>
        <w:rPr>
          <w:rFonts w:ascii="Arial" w:cs="Arial" w:eastAsia="Arial" w:hAnsi="Arial"/>
          <w:color w:val="1E293B"/>
          <w:sz w:val="22"/>
          <w:szCs w:val="22"/>
        </w:rPr>
        <w:t xml:space="preserve">Platform Admin privilege shall require a separate, explicitly elevated authentication step beyond the standard Admin login; the mechanism is to be confirmed with the security team (OPN-W7-003).</w:t>
      </w:r>
    </w:p>
    <w:p>
      <w:pPr>
        <w:pStyle w:val="ListParagraph"/>
        <w:numPr>
          <w:ilvl w:val="0"/>
          <w:numId w:val="2"/>
        </w:numPr>
        <w:spacing w:after="20" w:before="20"/>
      </w:pPr>
      <w:r>
        <w:rPr>
          <w:rFonts w:ascii="Arial" w:cs="Arial" w:eastAsia="Arial" w:hAnsi="Arial"/>
          <w:color w:val="1E293B"/>
          <w:sz w:val="22"/>
          <w:szCs w:val="22"/>
        </w:rPr>
        <w:t xml:space="preserve">Export files shall be generated server-side and served via time-limited signed URLs; export files shall not be stored on the application server beyond the immediate download window.</w:t>
      </w:r>
    </w:p>
    <w:p>
      <w:pPr>
        <w:pStyle w:val="ListParagraph"/>
        <w:numPr>
          <w:ilvl w:val="0"/>
          <w:numId w:val="2"/>
        </w:numPr>
        <w:spacing w:after="20" w:before="20"/>
      </w:pPr>
      <w:r>
        <w:rPr>
          <w:rFonts w:ascii="Arial" w:cs="Arial" w:eastAsia="Arial" w:hAnsi="Arial"/>
          <w:color w:val="1E293B"/>
          <w:sz w:val="22"/>
          <w:szCs w:val="22"/>
        </w:rPr>
        <w:t xml:space="preserve">All Governance API endpoints shall enforce role-based access control and shall return 403 for non-Admin callers.</w:t>
      </w:r>
    </w:p>
    <w:p>
      <w:pPr>
        <w:pStyle w:val="ListParagraph"/>
        <w:numPr>
          <w:ilvl w:val="0"/>
          <w:numId w:val="2"/>
        </w:numPr>
        <w:spacing w:after="20" w:before="20"/>
      </w:pPr>
      <w:r>
        <w:rPr>
          <w:rFonts w:ascii="Arial" w:cs="Arial" w:eastAsia="Arial" w:hAnsi="Arial"/>
          <w:color w:val="1E293B"/>
          <w:sz w:val="22"/>
          <w:szCs w:val="22"/>
        </w:rPr>
        <w:t xml:space="preserve">Privacy masking shall be applied server-side; no unmasked sensitive data shall reach the client layer for unauthorised viewers.</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5.3 Reliability</w:t>
      </w:r>
    </w:p>
    <w:p>
      <w:pPr>
        <w:pStyle w:val="ListParagraph"/>
        <w:numPr>
          <w:ilvl w:val="0"/>
          <w:numId w:val="2"/>
        </w:numPr>
        <w:spacing w:after="20" w:before="20"/>
      </w:pPr>
      <w:r>
        <w:rPr>
          <w:rFonts w:ascii="Arial" w:cs="Arial" w:eastAsia="Arial" w:hAnsi="Arial"/>
          <w:color w:val="1E293B"/>
          <w:sz w:val="22"/>
          <w:szCs w:val="22"/>
        </w:rPr>
        <w:t xml:space="preserve">Audit log write operations shall be transactional with the underlying action in the source workflow (established in WF2–WF6 BRDs). A failure in the audit log write shall cause the originating action to roll back.</w:t>
      </w:r>
    </w:p>
    <w:p>
      <w:pPr>
        <w:pStyle w:val="ListParagraph"/>
        <w:numPr>
          <w:ilvl w:val="0"/>
          <w:numId w:val="2"/>
        </w:numPr>
        <w:spacing w:after="20" w:before="20"/>
      </w:pPr>
      <w:r>
        <w:rPr>
          <w:rFonts w:ascii="Arial" w:cs="Arial" w:eastAsia="Arial" w:hAnsi="Arial"/>
          <w:color w:val="1E293B"/>
          <w:sz w:val="22"/>
          <w:szCs w:val="22"/>
        </w:rPr>
        <w:t xml:space="preserve">The Governance module itself shall be read-only (except Data Retention); it has no write dependencies that could cause data corruption.</w:t>
      </w:r>
    </w:p>
    <w:p>
      <w:pPr>
        <w:pStyle w:val="ListParagraph"/>
        <w:numPr>
          <w:ilvl w:val="0"/>
          <w:numId w:val="2"/>
        </w:numPr>
        <w:spacing w:after="20" w:before="20"/>
      </w:pPr>
      <w:r>
        <w:rPr>
          <w:rFonts w:ascii="Arial" w:cs="Arial" w:eastAsia="Arial" w:hAnsi="Arial"/>
          <w:color w:val="1E293B"/>
          <w:sz w:val="22"/>
          <w:szCs w:val="22"/>
        </w:rPr>
        <w:t xml:space="preserve">Platform downtime shall not result in loss of audit log entries; the audit log write mechanism shall use a durable message queue or outbox pattern to guarantee delivery.</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5.4 Usability &amp; Accessibility</w:t>
      </w:r>
    </w:p>
    <w:p>
      <w:pPr>
        <w:pStyle w:val="ListParagraph"/>
        <w:numPr>
          <w:ilvl w:val="0"/>
          <w:numId w:val="2"/>
        </w:numPr>
        <w:spacing w:after="20" w:before="20"/>
      </w:pPr>
      <w:r>
        <w:rPr>
          <w:rFonts w:ascii="Arial" w:cs="Arial" w:eastAsia="Arial" w:hAnsi="Arial"/>
          <w:color w:val="1E293B"/>
          <w:sz w:val="22"/>
          <w:szCs w:val="22"/>
        </w:rPr>
        <w:t xml:space="preserve">All interactive controls (filters, dropdowns, date pickers, export buttons) shall be keyboard-navigable and screen-reader compatible per WCAG 2.1 Level AA.</w:t>
      </w:r>
    </w:p>
    <w:p>
      <w:pPr>
        <w:pStyle w:val="ListParagraph"/>
        <w:numPr>
          <w:ilvl w:val="0"/>
          <w:numId w:val="2"/>
        </w:numPr>
        <w:spacing w:after="20" w:before="20"/>
      </w:pPr>
      <w:r>
        <w:rPr>
          <w:rFonts w:ascii="Arial" w:cs="Arial" w:eastAsia="Arial" w:hAnsi="Arial"/>
          <w:color w:val="1E293B"/>
          <w:sz w:val="22"/>
          <w:szCs w:val="22"/>
        </w:rPr>
        <w:t xml:space="preserve">Status pills (Completed, Failed, Timed Out, Delivered, Bounced) shall be reinforced by icon or text labels, not colour alone.</w:t>
      </w:r>
    </w:p>
    <w:p>
      <w:pPr>
        <w:pStyle w:val="ListParagraph"/>
        <w:numPr>
          <w:ilvl w:val="0"/>
          <w:numId w:val="2"/>
        </w:numPr>
        <w:spacing w:after="20" w:before="20"/>
      </w:pPr>
      <w:r>
        <w:rPr>
          <w:rFonts w:ascii="Arial" w:cs="Arial" w:eastAsia="Arial" w:hAnsi="Arial"/>
          <w:color w:val="1E293B"/>
          <w:sz w:val="22"/>
          <w:szCs w:val="22"/>
        </w:rPr>
        <w:t xml:space="preserve">Table rows shall support keyboard navigation (arrow keys) and row expansion via Enter key.</w:t>
      </w:r>
    </w:p>
    <w:p>
      <w:pPr>
        <w:pStyle w:val="ListParagraph"/>
        <w:numPr>
          <w:ilvl w:val="0"/>
          <w:numId w:val="2"/>
        </w:numPr>
        <w:spacing w:after="20" w:before="20"/>
      </w:pPr>
      <w:r>
        <w:rPr>
          <w:rFonts w:ascii="Arial" w:cs="Arial" w:eastAsia="Arial" w:hAnsi="Arial"/>
          <w:color w:val="1E293B"/>
          <w:sz w:val="22"/>
          <w:szCs w:val="22"/>
        </w:rPr>
        <w:t xml:space="preserve">Applied filter chips shall be individually dismissible via keyboard.</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5.5 Maintainability</w:t>
      </w:r>
    </w:p>
    <w:p>
      <w:pPr>
        <w:pStyle w:val="ListParagraph"/>
        <w:numPr>
          <w:ilvl w:val="0"/>
          <w:numId w:val="2"/>
        </w:numPr>
        <w:spacing w:after="20" w:before="20"/>
      </w:pPr>
      <w:r>
        <w:rPr>
          <w:rFonts w:ascii="Arial" w:cs="Arial" w:eastAsia="Arial" w:hAnsi="Arial"/>
          <w:color w:val="1E293B"/>
          <w:sz w:val="22"/>
          <w:szCs w:val="22"/>
        </w:rPr>
        <w:t xml:space="preserve">Audit event taxonomy (Action Type values) shall be externalised and extensible without schema changes as new workflows are added.</w:t>
      </w:r>
    </w:p>
    <w:p>
      <w:pPr>
        <w:pStyle w:val="ListParagraph"/>
        <w:numPr>
          <w:ilvl w:val="0"/>
          <w:numId w:val="2"/>
        </w:numPr>
        <w:spacing w:after="20" w:before="20"/>
      </w:pPr>
      <w:r>
        <w:rPr>
          <w:rFonts w:ascii="Arial" w:cs="Arial" w:eastAsia="Arial" w:hAnsi="Arial"/>
          <w:color w:val="1E293B"/>
          <w:sz w:val="22"/>
          <w:szCs w:val="22"/>
        </w:rPr>
        <w:t xml:space="preserve">Report templates shall be data-driven and configurable without code changes in a future version (OPN-W7-004).</w:t>
      </w:r>
    </w:p>
    <w:p>
      <w:pPr>
        <w:pStyle w:val="ListParagraph"/>
        <w:numPr>
          <w:ilvl w:val="0"/>
          <w:numId w:val="2"/>
        </w:numPr>
        <w:spacing w:after="20" w:before="20"/>
      </w:pPr>
      <w:r>
        <w:rPr>
          <w:rFonts w:ascii="Arial" w:cs="Arial" w:eastAsia="Arial" w:hAnsi="Arial"/>
          <w:color w:val="1E293B"/>
          <w:sz w:val="22"/>
          <w:szCs w:val="22"/>
        </w:rPr>
        <w:t xml:space="preserve">Retention window default values shall be externalised configuration, modifiable by Platform Admin through the UI without code deployment.</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6. UI / UX References</w:t>
      </w:r>
    </w:p>
    <w:p>
      <w:pPr>
        <w:spacing w:after="40" w:before="40"/>
      </w:pPr>
      <w:r>
        <w:rPr>
          <w:rFonts w:ascii="Arial" w:cs="Arial" w:eastAsia="Arial" w:hAnsi="Arial"/>
          <w:color w:val="1E293B"/>
          <w:sz w:val="22"/>
          <w:szCs w:val="22"/>
        </w:rPr>
        <w:t>An interactive HTML wireframe covering all five screens in this BRD has been delivered as a companion artefact (WF7_Governance_Wireframe.html). The wireframe illustrates:</w:t>
      </w:r>
    </w:p>
    <w:p>
      <w:pPr>
        <w:pStyle w:val="ListParagraph"/>
        <w:numPr>
          <w:ilvl w:val="0"/>
          <w:numId w:val="2"/>
        </w:numPr>
        <w:spacing w:after="20" w:before="20"/>
      </w:pPr>
      <w:r>
        <w:rPr>
          <w:rFonts w:ascii="Arial" w:cs="Arial" w:eastAsia="Arial" w:hAnsi="Arial"/>
          <w:color w:val="1E293B"/>
          <w:sz w:val="22"/>
          <w:szCs w:val="22"/>
        </w:rPr>
        <w:t>The Governance Homepage with three sub-section tiles (Audit Log, Request History, and Data Log &amp; Reports) and live KPI summaries</w:t>
      </w:r>
    </w:p>
    <w:p>
      <w:pPr>
        <w:pStyle w:val="ListParagraph"/>
        <w:numPr>
          <w:ilvl w:val="0"/>
          <w:numId w:val="2"/>
        </w:numPr>
        <w:spacing w:after="20" w:before="20"/>
      </w:pPr>
      <w:r>
        <w:rPr>
          <w:rFonts w:ascii="Arial" w:cs="Arial" w:eastAsia="Arial" w:hAnsi="Arial"/>
          <w:color w:val="1E293B"/>
          <w:sz w:val="22"/>
          <w:szCs w:val="22"/>
        </w:rPr>
        <w:t xml:space="preserve">The Audit Log table with filter toolbar, active filter chips, row expansion for Before/After state JSON detail, and export controls</w:t>
      </w:r>
    </w:p>
    <w:p>
      <w:pPr>
        <w:pStyle w:val="ListParagraph"/>
        <w:numPr>
          <w:ilvl w:val="0"/>
          <w:numId w:val="2"/>
        </w:numPr>
        <w:spacing w:after="20" w:before="20"/>
      </w:pPr>
      <w:r>
        <w:rPr>
          <w:rFonts w:ascii="Arial" w:cs="Arial" w:eastAsia="Arial" w:hAnsi="Arial"/>
          <w:color w:val="1E293B"/>
          <w:sz w:val="22"/>
          <w:szCs w:val="22"/>
        </w:rPr>
        <w:t>The Request History table with status pills, decision detail, drill-through links to corresponding Audit Log entries, and export controls</w:t>
      </w:r>
    </w:p>
    <w:p>
      <w:pPr>
        <w:pStyle w:val="ListParagraph"/>
        <w:numPr>
          <w:ilvl w:val="0"/>
          <w:numId w:val="2"/>
        </w:numPr>
        <w:spacing w:after="20" w:before="20"/>
      </w:pPr>
      <w:r>
        <w:rPr>
          <w:rFonts w:ascii="Arial" w:cs="Arial" w:eastAsia="Arial" w:hAnsi="Arial"/>
          <w:color w:val="1E293B"/>
          <w:sz w:val="22"/>
          <w:szCs w:val="22"/>
        </w:rPr>
        <w:t>The Data Log — a unified view incorporating Run Log, Notification Log, Agent Run Monitor, and Data Retention content, with pre-built compliance and audit report templates accessible within the same screen</w:t>
      </w:r>
    </w:p>
    <w:p>
      <w:pPr>
        <w:pStyle w:val="ListParagraph"/>
        <w:numPr>
          <w:ilvl w:val="0"/>
          <w:numId w:val="2"/>
        </w:numPr>
        <w:spacing w:after="20" w:before="20"/>
      </w:pPr>
      <w:r>
        <w:rPr>
          <w:rFonts w:ascii="Arial" w:cs="Arial" w:eastAsia="Arial" w:hAnsi="Arial"/>
          <w:color w:val="1E293B"/>
          <w:sz w:val="22"/>
          <w:szCs w:val="22"/>
        </w:rPr>
        <w:t>The Reports template view, accessible within Data Log &amp; Reports, with template tile list, parameter panel, report generation progress indicator, and report run history table</w:t>
      </w:r>
    </w:p>
    <w:p>
      <w:pPr>
        <w:pStyle w:val="ListParagraph"/>
        <w:numPr>
          <w:ilvl w:val="0"/>
          <w:numId w:val="2"/>
        </w:numPr>
        <w:spacing w:after="20" w:before="20"/>
      </w:pPr>
      <w:r>
        <w:rPr>
          <w:rFonts w:ascii="Arial" w:cs="Arial" w:eastAsia="Arial" w:hAnsi="Arial"/>
          <w:color w:val="1E293B"/>
          <w:sz w:val="22"/>
          <w:szCs w:val="22"/>
        </w:rPr>
        <w:t>(Data Retention configuration is accessible within Data Log &amp; Reports — requirements in Section 4.6)</w:t>
      </w:r>
    </w:p>
    <w:p>
      <w:pPr>
        <w:pStyle w:val="ListParagraph"/>
        <w:numPr>
          <w:ilvl w:val="0"/>
          <w:numId w:val="2"/>
        </w:numPr>
        <w:spacing w:after="20" w:before="20"/>
      </w:pPr>
      <w:r>
        <w:rPr>
          <w:rFonts w:ascii="Arial" w:cs="Arial" w:eastAsia="Arial" w:hAnsi="Arial"/>
          <w:color w:val="1E293B"/>
          <w:sz w:val="22"/>
          <w:szCs w:val="22"/>
        </w:rPr>
        <w:t>(Agent Run Monitor view is accessible within Data Log &amp; Reports — requirements in Section 4.7)</w:t>
      </w:r>
    </w:p>
    <w:p>
      <w:pPr>
        <w:pStyle w:val="ListParagraph"/>
        <w:numPr>
          <w:ilvl w:val="0"/>
          <w:numId w:val="2"/>
        </w:numPr>
        <w:spacing w:after="20" w:before="20"/>
      </w:pPr>
      <w:r>
        <w:rPr>
          <w:rFonts w:ascii="Arial" w:cs="Arial" w:eastAsia="Arial" w:hAnsi="Arial"/>
          <w:color w:val="1E293B"/>
          <w:sz w:val="22"/>
          <w:szCs w:val="22"/>
        </w:rPr>
        <w:t>(Report templates are available as a tab within Data Log &amp; Reports — requirements in Section 4.8)</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6.1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6510"/>
      </w:tblGrid>
      <w:tr>
        <w:tc>
          <w:tcPr>
            <w:tcW w:type="dxa" w:w="4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Screen</w:t>
            </w:r>
          </w:p>
        </w:tc>
        <w:tc>
          <w:tcPr>
            <w:tcW w:type="dxa" w:w="6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Key Elements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Governance Homepage</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3 sub-section tiles (Audit Log, Request History, Data Log &amp; Reports), KPI summaries, Refresh button</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 Log</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toolbar (date, actor, role, workflow, action type, entity, outcome), table with row expansion, export CSV/PDF</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Request History</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Filter toolbar, unified request table, status pills, decision detail, drill-through to Audit Log, export CSV/PDF</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Data Log &amp; Reports</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Tabbed unified log view (Run Log, Notification Log, Agent Run Monitor, Data Retention); pre-built compliance and audit report templates; filter toolbar; export controls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Reports</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Template tile list, parameter panel drawer, report generation progress, download link, report run history table; accessible within Data Log &amp; Reports (Screen 4)</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(Data Retention — consolidated into Screen 4: Data Log &amp; Reports)</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See Section 4.6 for requirements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(Agent Run Monitor — consolidated into Screen 4: Data Log &amp; Reports)</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See Section 4.7 for requirements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(Reports — consolidated into Screens 4 and 5: Data Log &amp; Reports)</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See Section 4.8 for requirements</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6.2 Design System Notes</w:t>
      </w:r>
    </w:p>
    <w:p>
      <w:pPr>
        <w:pStyle w:val="ListParagraph"/>
        <w:numPr>
          <w:ilvl w:val="0"/>
          <w:numId w:val="2"/>
        </w:numPr>
        <w:spacing w:after="20" w:before="20"/>
      </w:pPr>
      <w:r>
        <w:rPr>
          <w:rFonts w:ascii="Arial" w:cs="Arial" w:eastAsia="Arial" w:hAnsi="Arial"/>
          <w:color w:val="1E293B"/>
          <w:sz w:val="22"/>
          <w:szCs w:val="22"/>
        </w:rPr>
        <w:t xml:space="preserve">All visual design shall conform to the corporate design system (logo, colour palette, typography, iconography) consistent with Workflows 1–6.</w:t>
      </w:r>
    </w:p>
    <w:p>
      <w:pPr>
        <w:pStyle w:val="ListParagraph"/>
        <w:numPr>
          <w:ilvl w:val="0"/>
          <w:numId w:val="2"/>
        </w:numPr>
        <w:spacing w:after="20" w:before="20"/>
      </w:pPr>
      <w:r>
        <w:rPr>
          <w:rFonts w:ascii="Arial" w:cs="Arial" w:eastAsia="Arial" w:hAnsi="Arial"/>
          <w:color w:val="1E293B"/>
          <w:sz w:val="22"/>
          <w:szCs w:val="22"/>
        </w:rPr>
        <w:t xml:space="preserve">Status pills shall use the standard platform colour tokens: green (Completed / Delivered / Approved), red (Failed / Timed Out / Bounced / Rejected), amber (Running / Pending), grey (Expired / Withdrawn).</w:t>
      </w:r>
    </w:p>
    <w:p>
      <w:pPr>
        <w:pStyle w:val="ListParagraph"/>
        <w:numPr>
          <w:ilvl w:val="0"/>
          <w:numId w:val="2"/>
        </w:numPr>
        <w:spacing w:after="20" w:before="20"/>
      </w:pPr>
      <w:r>
        <w:rPr>
          <w:rFonts w:ascii="Arial" w:cs="Arial" w:eastAsia="Arial" w:hAnsi="Arial"/>
          <w:color w:val="1E293B"/>
          <w:sz w:val="22"/>
          <w:szCs w:val="22"/>
        </w:rPr>
        <w:t xml:space="preserve">The alert badge on the Agent Run Monitor tile shall use the standard platform error red token and shall be visually consistent with the notification bell badge pattern established in WF5.</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7. Open Items and Parked Gaps</w:t>
      </w:r>
    </w:p>
    <w:p>
      <w:pPr>
        <w:spacing w:after="40" w:before="40"/>
      </w:pPr>
      <w:r>
        <w:rPr>
          <w:rFonts w:ascii="Arial" w:cs="Arial" w:eastAsia="Arial" w:hAnsi="Arial"/>
          <w:color w:val="1E293B"/>
          <w:sz w:val="22"/>
          <w:szCs w:val="22"/>
        </w:rPr>
        <w:t xml:space="preserve">The following items have been identified during requirements elaboration and are parked for resolution before or during subsequent workflow definition. They do not block development of Workflow 7 but require closure for full implementation alignment.</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ID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Topic</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Question / Decision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Settings / Picklist Management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Who manages platform-wide picklist values (Modelling Technique, Risk Tier, Model Status, Document Types)? Recommendation: a dedicated Platform Settings sub-section within Governance, to be specced as a future workflow addition. Carry-over from OPN-W2-002 and OPN-W12-004.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Break-Glass Emergency Access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 the platform support a break-glass emergency access mechanism for critical incidents? If yes, all break-glass events must be captured in the Audit Log with mandatory post-use justification. Decision required with security and governance teams.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Authentication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What is the authentication mechanism for the Platform Admin privilege tier (required for retention policy changes and purge execution)? Options: separate login credential, elevated MFA step, time-limited privilege elevation. Security team to confirm.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Configurable Report Templates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 report templates be user-configurable (column selection, custom filters) in a future version? Recommendation: yes, as a Phase 2 enhancement. Not in scope for this BRD.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 Log Meta-Events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When the system automatically purges Audit Log entries beyond the 7-year retention window, the purge event itself must generate an audit meta-entry. Confirm the storage location and format of this meta-entry with the architecture team, given the purged entries cannot be referenced by 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Cross-Workflow Audit Event Taxonomy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Action Type taxonomy must be agreed across all workflow teams before development to ensure consistent categorisation. A shared taxonomy document is required as a pre-development 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Viewer / External Access to Governance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 Viewers (Externals) have any read access to Governance sub-sections (e.g., a model-scoped Audit Log showing only events for their assigned models)? Current BRD assumes no access. To be confirmed when Viewer workflows are specified.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Retention — Downloadable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Are the generated report files (PDF/CSV) stored on the platform and re-downloadable within the 7-year retention window, or are they generated on demand each time? Recommendation: store generated files with download links valid for 90 days; re-generate on request thereafter.</w:t>
            </w:r>
          </w:p>
        </w:tc>
      </w:tr>
    </w:tbl>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Term</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standard platform administrator role with full access to all Governance sub-sections in read-only mode and write access to purge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immutable, tamper-evident, cross-workflow record of every material platform action. Read-only to all roles. Retained for 7 years per Category C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Before State / After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Snapshots of a record's data immediately before and after a material action, stored as JSON within the Audit Log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Category A / B /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three data retention categories defined in the Foundational BRD: A = Raw Ingested Data (180 days); B = Monitoring Outputs (3 years); C = Reports &amp; Audit Logs (7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Hard Delete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permanent, irreversible deletion of a model record and all associated data from the platform, executed after the configured retention period has elapsed. Triggers a simultaneous cascade delete of all repository components and monitoring outputs for the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distinct privilege tier above standard Admin, required for retention policy configuration changes and purge execution. Authentication mechanism to be confirmed (OPN-W7-003).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Privacy Masking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server-side suppression of sensitive recipient details in the Notification Log for specified sensitive event types, applied equally to on-screen views and exports.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Purge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execution of a hard delete for a model that has reached its hard-delete eligibility date. Executed by Admin or Platform Admin via the Data Retention sub-section after mandatory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History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consolidated, read-only historical record of all platform requests (access provisioning, model access, data deletion, etc.) with full decision trail. Distinct from the live action queues in the Access Control Center (WF5).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operational log of agent executions, scheduler trigger events, ingestion jobs, and report generation events. Retained per Category B policy (3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Monitor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per-agent, per-model diagnostic view of agent run status within the Governance module. Surfaces failed and timed-out runs with failure reason detail. Read-only; no re-trigger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delivery status record of all platform email and in-platform notifications. Includes delivery outcome, failure reason, and retry count for email channel. Privacy masking applied to sensitive event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Tamper-Evident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storage property ensuring that audit log entries cannot be modified, deleted, or suppressed after they are written, enforced at the infrastructure layer (write-once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Pre-built compliance and audit report templates within the Governance module, executable and exportable by Admin. Seven templates are defined in this BRD version.</w:t>
            </w:r>
          </w:p>
        </w:tc>
      </w:tr>
    </w:tbl>
    <w:p>
      <w:pPr>
        <w:spacing w:after="0" w:before="0"/>
      </w:pPr>
      <w:r>
        <w:rPr>
          <w:sz w:val="8"/>
          <w:szCs w:val="8"/>
        </w:rPr>
        <w:t xml:space="preserve"/>
      </w:r>
    </w:p>
    <w:p>
      <w:pPr>
        <w:spacing w:after="80" w:before="320"/>
        <w:jc w:val="center"/>
      </w:pPr>
      <w:r>
        <w:rPr>
          <w:rFonts w:ascii="Arial" w:cs="Arial" w:eastAsia="Arial" w:hAnsi="Arial"/>
          <w:i/>
          <w:iCs/>
          <w:color w:val="64748B"/>
          <w:sz w:val="20"/>
          <w:szCs w:val="20"/>
        </w:rPr>
        <w:t xml:space="preserve">— End of Workflow 7 BRD —</w:t>
      </w:r>
    </w:p>
    <w:p>
      <w:pPr>
        <w:spacing w:after="0" w:before="0"/>
        <w:jc w:val="center"/>
      </w:pPr>
      <w:r>
        <w:rPr>
          <w:rFonts w:ascii="Arial" w:cs="Arial" w:eastAsia="Arial" w:hAnsi="Arial"/>
          <w:color w:val="64748B"/>
          <w:sz w:val="18"/>
          <w:szCs w:val="18"/>
        </w:rPr>
        <w:t xml:space="preserve">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360"/>
      </w:tabs>
    </w:pPr>
    <w:r>
      <w:rPr>
        <w:rFonts w:ascii="Arial" w:cs="Arial" w:eastAsia="Arial" w:hAnsi="Arial"/>
        <w:color w:val="64748B"/>
        <w:sz w:val="16"/>
        <w:szCs w:val="16"/>
      </w:rPr>
      <w:t xml:space="preserve">Confidential — Internal Use Only</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color w:val="64748B"/>
        <w:sz w:val="16"/>
        <w:szCs w:val="16"/>
      </w:rPr>
      <w:t xml:space="preserve">Model Monitoring Platform  |  BRD Workflow 7 — Admin: Governance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E293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2026-05-11T06:42:37.313Z</dcterms:created>
  <dcterms:modified xsi:type="dcterms:W3CDTF">2026-05-11T06:42:37.327Z</dcterms:modified>
</cp:coreProperties>
</file>

<file path=docProps/custom.xml><?xml version="1.0" encoding="utf-8"?>
<Properties xmlns="http://schemas.openxmlformats.org/officeDocument/2006/custom-properties" xmlns:vt="http://schemas.openxmlformats.org/officeDocument/2006/docPropsVTypes"/>
</file>