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Name - Bank Marketing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 Nos. - (15BM6JP_ _) 12,13,18,19,40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Scikit and Numpy packages are used for the python codes.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these two packages are installed.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importing all the packages necessary to run the code-sequence line by line.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Codes are commented and self-explanatory.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Details of parts in Python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8-43: Importing all the necessary packages/libraries from Scikit/Numpy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68-153: K-Means clustering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154-156: DBSCAN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191-304: Clustering based on dates based on Macroeconomic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Details of parts in R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3-24: Plots for Macroeconomic variables based on 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51-116: Plots for customer profile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130-151: Clustering to find successful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198-209: Plots of successful customer based on Macroeconomic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Lines 206-261: Plots based on other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