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71D2B" w14:textId="77777777" w:rsidR="00960658" w:rsidRDefault="00481F70">
      <w:pPr>
        <w:spacing w:after="175"/>
        <w:jc w:val="center"/>
      </w:pPr>
      <w:r>
        <w:rPr>
          <w:rFonts w:ascii="Times New Roman" w:hAnsi="Times New Roman" w:cs="Times New Roman"/>
          <w:b/>
          <w:color w:val="0E0E0E"/>
          <w:sz w:val="58"/>
        </w:rPr>
        <w:t>Code Review &amp; Improvement Report</w:t>
      </w:r>
    </w:p>
    <w:p w14:paraId="6D271D2C" w14:textId="77777777" w:rsidR="00960658" w:rsidRDefault="00481F70">
      <w:pPr>
        <w:spacing w:after="255"/>
        <w:jc w:val="center"/>
      </w:pPr>
      <w:r>
        <w:rPr>
          <w:rFonts w:ascii="Times New Roman" w:hAnsi="Times New Roman" w:cs="Times New Roman"/>
          <w:b/>
          <w:color w:val="0E0E0E"/>
          <w:sz w:val="32"/>
        </w:rPr>
        <w:t>Retail Intelligence Capstone Project</w:t>
      </w:r>
    </w:p>
    <w:p w14:paraId="6D271D2D" w14:textId="77777777" w:rsidR="00960658" w:rsidRDefault="00481F70">
      <w:pPr>
        <w:spacing w:after="255"/>
        <w:jc w:val="center"/>
      </w:pPr>
      <w:r>
        <w:rPr>
          <w:rFonts w:ascii="Times New Roman" w:hAnsi="Times New Roman" w:cs="Times New Roman"/>
          <w:color w:val="0E0E0E"/>
          <w:sz w:val="32"/>
        </w:rPr>
        <w:t xml:space="preserve">BITS Pilani Final Project | Updated for </w:t>
      </w:r>
      <w:r>
        <w:rPr>
          <w:rFonts w:ascii="Menlo" w:hAnsi="Menlo" w:cs="Menlo"/>
          <w:color w:val="0E0E0E"/>
          <w:sz w:val="26"/>
        </w:rPr>
        <w:t>bits_pilani_capstone_project</w:t>
      </w:r>
      <w:r>
        <w:rPr>
          <w:rFonts w:ascii="Times New Roman" w:hAnsi="Times New Roman" w:cs="Times New Roman"/>
          <w:color w:val="0E0E0E"/>
          <w:sz w:val="32"/>
        </w:rPr>
        <w:t xml:space="preserve"> | April 2026</w:t>
      </w:r>
    </w:p>
    <w:p w14:paraId="6D271D2E" w14:textId="77777777" w:rsidR="00960658" w:rsidRDefault="00481F70">
      <w:pPr>
        <w:spacing w:after="255"/>
        <w:jc w:val="center"/>
      </w:pPr>
      <w:r>
        <w:rPr>
          <w:rFonts w:ascii="Times New Roman" w:hAnsi="Times New Roman" w:cs="Times New Roman"/>
          <w:color w:val="343434"/>
          <w:sz w:val="32"/>
        </w:rPr>
        <w:t xml:space="preserve">Repository reviewed: </w:t>
      </w:r>
      <w:r>
        <w:rPr>
          <w:rFonts w:ascii="Menlo" w:hAnsi="Menlo" w:cs="Menlo"/>
          <w:color w:val="343434"/>
          <w:sz w:val="26"/>
        </w:rPr>
        <w:t>/Users/sajaldebnath/Library/CloudStorage/OneDrive-Personal/1. AI-ML STUDY/1. BITS Pilani Course/0. Final Project Work/bits_pilani_capstone_project</w:t>
      </w:r>
    </w:p>
    <w:p w14:paraId="6D271D2F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1. Executive Summary</w:t>
      </w:r>
    </w:p>
    <w:p w14:paraId="6D271D30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This updated review reflects the current state of the capstone repository after the transition from a single-model stocking-priority API into a broader retail intelligence platform. The codebase now includes operational prediction workflows, decision-support endpoints, a multi-section frontend dashboard, a precomputed Model Insights layer, and a Model Lab section for benchmarking additional Week 4 models.</w:t>
      </w:r>
    </w:p>
    <w:p w14:paraId="6D271D31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Compared with the earlier version of the project, the architecture is materially stronger. A central configuration layer now exists, model loading is resilient to incompatible scikit-learn artifacts, validation is tighter, the frontend scope is broader, and the automated test suite has grown from a minimal smoke check into a much more useful API-level safety net.</w:t>
      </w:r>
    </w:p>
    <w:p w14:paraId="6D271D32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Area</w:t>
      </w:r>
    </w:p>
    <w:p w14:paraId="6D271D33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Current Rating</w:t>
      </w:r>
    </w:p>
    <w:p w14:paraId="6D271D34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Summary</w:t>
      </w:r>
    </w:p>
    <w:p w14:paraId="6D271D35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Application Code</w:t>
      </w:r>
    </w:p>
    <w:p w14:paraId="6D271D3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lastRenderedPageBreak/>
        <w:t>Very Good</w:t>
      </w:r>
    </w:p>
    <w:p w14:paraId="6D271D37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Clear service separation, stronger error handling, and better runtime resilience than the earlier version.</w:t>
      </w:r>
    </w:p>
    <w:p w14:paraId="6D271D38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Architecture</w:t>
      </w:r>
    </w:p>
    <w:p w14:paraId="6D271D39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Very Good</w:t>
      </w:r>
    </w:p>
    <w:p w14:paraId="6D271D3A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Well-structured FastAPI project with dedicated config, services, scripts, artifacts, and frontend assets.</w:t>
      </w:r>
    </w:p>
    <w:p w14:paraId="6D271D3B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ML Pipeline &amp; Artifacts</w:t>
      </w:r>
    </w:p>
    <w:p w14:paraId="6D271D3C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Good</w:t>
      </w:r>
    </w:p>
    <w:p w14:paraId="6D271D3D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Operational models are explainable and practical; insights and benchmark artifacts are </w:t>
      </w:r>
      <w:proofErr w:type="gramStart"/>
      <w:r>
        <w:rPr>
          <w:rFonts w:ascii="Times New Roman" w:hAnsi="Times New Roman" w:cs="Times New Roman"/>
          <w:color w:val="0E0E0E"/>
          <w:sz w:val="32"/>
        </w:rPr>
        <w:t>demo-friendly</w:t>
      </w:r>
      <w:proofErr w:type="gramEnd"/>
      <w:r>
        <w:rPr>
          <w:rFonts w:ascii="Times New Roman" w:hAnsi="Times New Roman" w:cs="Times New Roman"/>
          <w:color w:val="0E0E0E"/>
          <w:sz w:val="32"/>
        </w:rPr>
        <w:t>.</w:t>
      </w:r>
    </w:p>
    <w:p w14:paraId="6D271D3E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Testing</w:t>
      </w:r>
    </w:p>
    <w:p w14:paraId="6D271D3F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Good</w:t>
      </w:r>
    </w:p>
    <w:p w14:paraId="6D271D40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API smoke and recovery coverage is much stronger, though the UI still lacks automated end-to-end checks.</w:t>
      </w:r>
    </w:p>
    <w:p w14:paraId="6D271D41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Documentation</w:t>
      </w:r>
    </w:p>
    <w:p w14:paraId="6D271D42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Good</w:t>
      </w:r>
    </w:p>
    <w:p w14:paraId="6D271D43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Repository guidance is now substantially better aligned, though static structure snapshots can still drift.</w:t>
      </w:r>
    </w:p>
    <w:p w14:paraId="6D271D44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2. Current Repository Snapshot</w:t>
      </w:r>
    </w:p>
    <w:p w14:paraId="6D271D45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The current repository supports two operational model families and two presentation-oriented AI/ML sections.</w:t>
      </w:r>
    </w:p>
    <w:p w14:paraId="6D271D46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lastRenderedPageBreak/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</w:r>
      <w:r>
        <w:rPr>
          <w:rFonts w:ascii="Times New Roman" w:hAnsi="Times New Roman" w:cs="Times New Roman"/>
          <w:b/>
          <w:color w:val="0E0E0E"/>
          <w:sz w:val="32"/>
        </w:rPr>
        <w:t>Operational models:</w:t>
      </w:r>
      <w:r>
        <w:rPr>
          <w:rFonts w:ascii="Times New Roman" w:hAnsi="Times New Roman" w:cs="Times New Roman"/>
          <w:color w:val="0E0E0E"/>
          <w:sz w:val="32"/>
        </w:rPr>
        <w:t xml:space="preserve"> Hybrid Logistic Regression for stocking priority and a log-transformed Ridge regressor for daily sales prediction.</w:t>
      </w:r>
    </w:p>
    <w:p w14:paraId="6D271D47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</w:r>
      <w:r>
        <w:rPr>
          <w:rFonts w:ascii="Times New Roman" w:hAnsi="Times New Roman" w:cs="Times New Roman"/>
          <w:b/>
          <w:color w:val="0E0E0E"/>
          <w:sz w:val="32"/>
        </w:rPr>
        <w:t>Decision-support endpoints:</w:t>
      </w:r>
      <w:r>
        <w:rPr>
          <w:rFonts w:ascii="Times New Roman" w:hAnsi="Times New Roman" w:cs="Times New Roman"/>
          <w:color w:val="0E0E0E"/>
          <w:sz w:val="32"/>
        </w:rPr>
        <w:t xml:space="preserve"> historical query, recommendation engine, and scenario simulator.</w:t>
      </w:r>
    </w:p>
    <w:p w14:paraId="6D271D48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</w:r>
      <w:r>
        <w:rPr>
          <w:rFonts w:ascii="Times New Roman" w:hAnsi="Times New Roman" w:cs="Times New Roman"/>
          <w:b/>
          <w:color w:val="0E0E0E"/>
          <w:sz w:val="32"/>
        </w:rPr>
        <w:t>Explainer modules:</w:t>
      </w:r>
      <w:r>
        <w:rPr>
          <w:rFonts w:ascii="Times New Roman" w:hAnsi="Times New Roman" w:cs="Times New Roman"/>
          <w:color w:val="0E0E0E"/>
          <w:sz w:val="32"/>
        </w:rPr>
        <w:t xml:space="preserve"> Model Insights for dataset, features, performance, and business findings.</w:t>
      </w:r>
    </w:p>
    <w:p w14:paraId="6D271D49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</w:r>
      <w:r>
        <w:rPr>
          <w:rFonts w:ascii="Times New Roman" w:hAnsi="Times New Roman" w:cs="Times New Roman"/>
          <w:b/>
          <w:color w:val="0E0E0E"/>
          <w:sz w:val="32"/>
        </w:rPr>
        <w:t>Benchmark showcase:</w:t>
      </w:r>
      <w:r>
        <w:rPr>
          <w:rFonts w:ascii="Times New Roman" w:hAnsi="Times New Roman" w:cs="Times New Roman"/>
          <w:color w:val="0E0E0E"/>
          <w:sz w:val="32"/>
        </w:rPr>
        <w:t xml:space="preserve"> Model Lab for text-only, numeric-only, and hybrid logistic baselines, plus benchmark summaries for the custom deep learning and Hugging Face models.</w:t>
      </w:r>
    </w:p>
    <w:p w14:paraId="6D271D4A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</w:r>
      <w:r>
        <w:rPr>
          <w:rFonts w:ascii="Times New Roman" w:hAnsi="Times New Roman" w:cs="Times New Roman"/>
          <w:b/>
          <w:color w:val="0E0E0E"/>
          <w:sz w:val="32"/>
        </w:rPr>
        <w:t>Frontend scope:</w:t>
      </w:r>
      <w:r>
        <w:rPr>
          <w:rFonts w:ascii="Times New Roman" w:hAnsi="Times New Roman" w:cs="Times New Roman"/>
          <w:color w:val="0E0E0E"/>
          <w:sz w:val="32"/>
        </w:rPr>
        <w:t xml:space="preserve"> seven coordinator-friendly dashboard tabs under </w:t>
      </w:r>
      <w:r>
        <w:rPr>
          <w:rFonts w:ascii="Menlo" w:hAnsi="Menlo" w:cs="Menlo"/>
          <w:color w:val="0E0E0E"/>
          <w:sz w:val="26"/>
        </w:rPr>
        <w:t>/ui</w:t>
      </w:r>
      <w:r>
        <w:rPr>
          <w:rFonts w:ascii="Times New Roman" w:hAnsi="Times New Roman" w:cs="Times New Roman"/>
          <w:color w:val="0E0E0E"/>
          <w:sz w:val="32"/>
        </w:rPr>
        <w:t>.</w:t>
      </w:r>
    </w:p>
    <w:p w14:paraId="6D271D4B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 xml:space="preserve">A particularly practical addition is the runtime recovery path for incompatible serialized scikit-learn artifacts. If a </w:t>
      </w:r>
      <w:proofErr w:type="gramStart"/>
      <w:r>
        <w:rPr>
          <w:rFonts w:ascii="Times New Roman" w:hAnsi="Times New Roman" w:cs="Times New Roman"/>
          <w:color w:val="0E0E0E"/>
          <w:sz w:val="32"/>
        </w:rPr>
        <w:t xml:space="preserve">saved </w:t>
      </w:r>
      <w:r>
        <w:rPr>
          <w:rFonts w:ascii="Menlo" w:hAnsi="Menlo" w:cs="Menlo"/>
          <w:color w:val="0E0E0E"/>
          <w:sz w:val="26"/>
        </w:rPr>
        <w:t>.joblib</w:t>
      </w:r>
      <w:proofErr w:type="gramEnd"/>
      <w:r>
        <w:rPr>
          <w:rFonts w:ascii="Times New Roman" w:hAnsi="Times New Roman" w:cs="Times New Roman"/>
          <w:color w:val="0E0E0E"/>
          <w:sz w:val="32"/>
        </w:rPr>
        <w:t xml:space="preserve"> file cannot be loaded because of environment mismatch, the app can rebuild compatible models from the local dataset instead of failing outright. This is a strong pragmatic improvement for demo stability.</w:t>
      </w:r>
    </w:p>
    <w:p w14:paraId="6D271D4C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3. Improvements Already Implemented</w:t>
      </w:r>
    </w:p>
    <w:p w14:paraId="6D271D4D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Many of the weaknesses that appeared in the earlier review have now been addressed directly in the current codebase.</w:t>
      </w:r>
    </w:p>
    <w:p w14:paraId="6D271D4E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Improvement</w:t>
      </w:r>
    </w:p>
    <w:p w14:paraId="6D271D4F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Current Evidence in Repository</w:t>
      </w:r>
    </w:p>
    <w:p w14:paraId="6D271D50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Impact</w:t>
      </w:r>
    </w:p>
    <w:p w14:paraId="6D271D51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Config layer added</w:t>
      </w:r>
    </w:p>
    <w:p w14:paraId="6D271D52" w14:textId="77777777" w:rsidR="00960658" w:rsidRDefault="00481F70">
      <w:r>
        <w:rPr>
          <w:rFonts w:ascii="Menlo" w:hAnsi="Menlo" w:cs="Menlo"/>
          <w:color w:val="0E0E0E"/>
          <w:sz w:val="26"/>
        </w:rPr>
        <w:t>app/config.py</w:t>
      </w:r>
    </w:p>
    <w:p w14:paraId="6D271D53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lastRenderedPageBreak/>
        <w:t>Centralizes model paths, data paths, thresholds, and artifact directories.</w:t>
      </w:r>
    </w:p>
    <w:p w14:paraId="6D271D54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API error handling expanded</w:t>
      </w:r>
    </w:p>
    <w:p w14:paraId="6D271D55" w14:textId="77777777" w:rsidR="00960658" w:rsidRDefault="00481F70">
      <w:r>
        <w:rPr>
          <w:rFonts w:ascii="Menlo" w:hAnsi="Menlo" w:cs="Menlo"/>
          <w:color w:val="0E0E0E"/>
          <w:sz w:val="26"/>
        </w:rPr>
        <w:t>app/main.py</w:t>
      </w:r>
    </w:p>
    <w:p w14:paraId="6D271D5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Endpoints now wrap service failures and return controlled HTTP errors instead of raw crashes.</w:t>
      </w:r>
    </w:p>
    <w:p w14:paraId="6D271D57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Input validation tightened</w:t>
      </w:r>
    </w:p>
    <w:p w14:paraId="6D271D58" w14:textId="77777777" w:rsidR="00960658" w:rsidRDefault="00481F70">
      <w:r>
        <w:rPr>
          <w:rFonts w:ascii="Menlo" w:hAnsi="Menlo" w:cs="Menlo"/>
          <w:color w:val="0E0E0E"/>
          <w:sz w:val="26"/>
        </w:rPr>
        <w:t>app/schemas.py</w:t>
      </w:r>
    </w:p>
    <w:p w14:paraId="6D271D59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Numeric fields now use sensible bounds such as </w:t>
      </w:r>
      <w:r>
        <w:rPr>
          <w:rFonts w:ascii="Menlo" w:hAnsi="Menlo" w:cs="Menlo"/>
          <w:color w:val="0E0E0E"/>
          <w:sz w:val="26"/>
        </w:rPr>
        <w:t>ge=0</w:t>
      </w:r>
      <w:r>
        <w:rPr>
          <w:rFonts w:ascii="Times New Roman" w:hAnsi="Times New Roman" w:cs="Times New Roman"/>
          <w:color w:val="0E0E0E"/>
          <w:sz w:val="32"/>
        </w:rPr>
        <w:t xml:space="preserve"> and </w:t>
      </w:r>
      <w:r>
        <w:rPr>
          <w:rFonts w:ascii="Menlo" w:hAnsi="Menlo" w:cs="Menlo"/>
          <w:color w:val="0E0E0E"/>
          <w:sz w:val="26"/>
        </w:rPr>
        <w:t>le=100</w:t>
      </w:r>
      <w:r>
        <w:rPr>
          <w:rFonts w:ascii="Times New Roman" w:hAnsi="Times New Roman" w:cs="Times New Roman"/>
          <w:color w:val="0E0E0E"/>
          <w:sz w:val="32"/>
        </w:rPr>
        <w:t xml:space="preserve"> where appropriate.</w:t>
      </w:r>
    </w:p>
    <w:p w14:paraId="6D271D5A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Artifact compatibility fallback added</w:t>
      </w:r>
    </w:p>
    <w:p w14:paraId="6D271D5B" w14:textId="77777777" w:rsidR="00960658" w:rsidRDefault="00481F70">
      <w:r>
        <w:rPr>
          <w:rFonts w:ascii="Menlo" w:hAnsi="Menlo" w:cs="Menlo"/>
          <w:color w:val="0E0E0E"/>
          <w:sz w:val="26"/>
        </w:rPr>
        <w:t>app/predictor_priority.py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app/predictor_sales.py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app/model_runtime.py</w:t>
      </w:r>
    </w:p>
    <w:p w14:paraId="6D271D5C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Improves reliability when model artifacts are missing or incompatible with the current sklearn version.</w:t>
      </w:r>
    </w:p>
    <w:p w14:paraId="6D271D5D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Training scripts matured</w:t>
      </w:r>
    </w:p>
    <w:p w14:paraId="6D271D5E" w14:textId="77777777" w:rsidR="00960658" w:rsidRDefault="00481F70">
      <w:r>
        <w:rPr>
          <w:rFonts w:ascii="Menlo" w:hAnsi="Menlo" w:cs="Menlo"/>
          <w:color w:val="0E0E0E"/>
          <w:sz w:val="26"/>
        </w:rPr>
        <w:t>scripts/train_priority_model.py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scripts/train_sales_model.py</w:t>
      </w:r>
    </w:p>
    <w:p w14:paraId="6D271D5F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Scripts now include held-out evaluation before refitting on the full dataset for deployment artifacts.</w:t>
      </w:r>
    </w:p>
    <w:p w14:paraId="6D271D60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Insights and benchmarking layers added</w:t>
      </w:r>
    </w:p>
    <w:p w14:paraId="6D271D61" w14:textId="77777777" w:rsidR="00960658" w:rsidRDefault="00481F70">
      <w:r>
        <w:rPr>
          <w:rFonts w:ascii="Menlo" w:hAnsi="Menlo" w:cs="Menlo"/>
          <w:color w:val="0E0E0E"/>
          <w:sz w:val="26"/>
        </w:rPr>
        <w:t>app/insights_service.py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app/model_lab_service.py</w:t>
      </w:r>
      <w:r>
        <w:rPr>
          <w:rFonts w:ascii="Times New Roman" w:hAnsi="Times New Roman" w:cs="Times New Roman"/>
          <w:color w:val="0E0E0E"/>
          <w:sz w:val="32"/>
        </w:rPr>
        <w:t xml:space="preserve">, artifact generators in </w:t>
      </w:r>
      <w:r>
        <w:rPr>
          <w:rFonts w:ascii="Menlo" w:hAnsi="Menlo" w:cs="Menlo"/>
          <w:color w:val="0E0E0E"/>
          <w:sz w:val="26"/>
        </w:rPr>
        <w:t>scripts/</w:t>
      </w:r>
    </w:p>
    <w:p w14:paraId="6D271D62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Supports stable academic demos without expensive live retraining.</w:t>
      </w:r>
    </w:p>
    <w:p w14:paraId="6D271D63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Smoke test coverage expanded</w:t>
      </w:r>
    </w:p>
    <w:p w14:paraId="6D271D64" w14:textId="77777777" w:rsidR="00960658" w:rsidRDefault="00481F70">
      <w:r>
        <w:rPr>
          <w:rFonts w:ascii="Menlo" w:hAnsi="Menlo" w:cs="Menlo"/>
          <w:color w:val="0E0E0E"/>
          <w:sz w:val="26"/>
        </w:rPr>
        <w:lastRenderedPageBreak/>
        <w:t>tests/test_api_smoke.py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pytest.ini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requirements-dev.txt</w:t>
      </w:r>
    </w:p>
    <w:p w14:paraId="6D271D65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Current coverage now spans health, metadata, insights, model lab, prediction, recommendation, simulation, and recovery cases.</w:t>
      </w:r>
    </w:p>
    <w:p w14:paraId="6D271D6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Repository hygiene improved</w:t>
      </w:r>
    </w:p>
    <w:p w14:paraId="6D271D67" w14:textId="77777777" w:rsidR="00960658" w:rsidRDefault="00481F70">
      <w:proofErr w:type="gramStart"/>
      <w:r>
        <w:rPr>
          <w:rFonts w:ascii="Menlo" w:hAnsi="Menlo" w:cs="Menlo"/>
          <w:color w:val="0E0E0E"/>
          <w:sz w:val="26"/>
        </w:rPr>
        <w:t>.gitignore</w:t>
      </w:r>
      <w:proofErr w:type="gramEnd"/>
      <w:r>
        <w:rPr>
          <w:rFonts w:ascii="Times New Roman" w:hAnsi="Times New Roman" w:cs="Times New Roman"/>
          <w:color w:val="0E0E0E"/>
          <w:sz w:val="32"/>
        </w:rPr>
        <w:t xml:space="preserve">, updated </w:t>
      </w:r>
      <w:r>
        <w:rPr>
          <w:rFonts w:ascii="Menlo" w:hAnsi="Menlo" w:cs="Menlo"/>
          <w:color w:val="0E0E0E"/>
          <w:sz w:val="26"/>
        </w:rPr>
        <w:t>README.md</w:t>
      </w:r>
      <w:r>
        <w:rPr>
          <w:rFonts w:ascii="Times New Roman" w:hAnsi="Times New Roman" w:cs="Times New Roman"/>
          <w:color w:val="0E0E0E"/>
          <w:sz w:val="32"/>
        </w:rPr>
        <w:t>, docs and sample requests</w:t>
      </w:r>
    </w:p>
    <w:p w14:paraId="6D271D68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Improves onboarding, submission readiness, and demo repeatability.</w:t>
      </w:r>
    </w:p>
    <w:p w14:paraId="6D271D69" w14:textId="77777777" w:rsidR="00960658" w:rsidRDefault="00960658"/>
    <w:p w14:paraId="6D271D6A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4. Current Strengths</w:t>
      </w:r>
    </w:p>
    <w:p w14:paraId="6D271D6B" w14:textId="77777777" w:rsidR="00960658" w:rsidRDefault="00481F70">
      <w:pPr>
        <w:spacing w:after="103"/>
      </w:pPr>
      <w:r>
        <w:rPr>
          <w:rFonts w:ascii="Times New Roman" w:hAnsi="Times New Roman" w:cs="Times New Roman"/>
          <w:b/>
          <w:color w:val="0E0E0E"/>
          <w:sz w:val="34"/>
        </w:rPr>
        <w:t>4.1 Application and API Design</w:t>
      </w:r>
    </w:p>
    <w:p w14:paraId="6D271D6C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 xml:space="preserve">The route layer in </w:t>
      </w:r>
      <w:r>
        <w:rPr>
          <w:rFonts w:ascii="Menlo" w:hAnsi="Menlo" w:cs="Menlo"/>
          <w:color w:val="0E0E0E"/>
          <w:sz w:val="26"/>
        </w:rPr>
        <w:t>app/main.py</w:t>
      </w:r>
      <w:r>
        <w:rPr>
          <w:rFonts w:ascii="Times New Roman" w:hAnsi="Times New Roman" w:cs="Times New Roman"/>
          <w:color w:val="0E0E0E"/>
          <w:sz w:val="32"/>
        </w:rPr>
        <w:t xml:space="preserve"> is cleanly organized, and the API surface now reflects the project’s full business scope rather than a single predictor.</w:t>
      </w:r>
    </w:p>
    <w:p w14:paraId="6D271D6D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application makes good use of typed Pydantic request and response models, which improves documentation and response consistency.</w:t>
      </w:r>
    </w:p>
    <w:p w14:paraId="6D271D6E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operational prediction endpoints and the explainer endpoints are separated sensibly, keeping the business workflows distinct from the AI/ML showcase features.</w:t>
      </w:r>
    </w:p>
    <w:p w14:paraId="6D271D6F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 xml:space="preserve">Health and metadata endpoints such as </w:t>
      </w:r>
      <w:r>
        <w:rPr>
          <w:rFonts w:ascii="Menlo" w:hAnsi="Menlo" w:cs="Menlo"/>
          <w:color w:val="0E0E0E"/>
          <w:sz w:val="26"/>
        </w:rPr>
        <w:t>/health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/health/models</w:t>
      </w:r>
      <w:r>
        <w:rPr>
          <w:rFonts w:ascii="Times New Roman" w:hAnsi="Times New Roman" w:cs="Times New Roman"/>
          <w:color w:val="0E0E0E"/>
          <w:sz w:val="32"/>
        </w:rPr>
        <w:t xml:space="preserve">, and </w:t>
      </w:r>
      <w:r>
        <w:rPr>
          <w:rFonts w:ascii="Menlo" w:hAnsi="Menlo" w:cs="Menlo"/>
          <w:color w:val="0E0E0E"/>
          <w:sz w:val="26"/>
        </w:rPr>
        <w:t>/model-info</w:t>
      </w:r>
      <w:r>
        <w:rPr>
          <w:rFonts w:ascii="Times New Roman" w:hAnsi="Times New Roman" w:cs="Times New Roman"/>
          <w:color w:val="0E0E0E"/>
          <w:sz w:val="32"/>
        </w:rPr>
        <w:t xml:space="preserve"> improve demo readiness and operational visibility.</w:t>
      </w:r>
    </w:p>
    <w:p w14:paraId="6D271D70" w14:textId="77777777" w:rsidR="00960658" w:rsidRDefault="00481F70">
      <w:pPr>
        <w:spacing w:after="103"/>
      </w:pPr>
      <w:r>
        <w:rPr>
          <w:rFonts w:ascii="Times New Roman" w:hAnsi="Times New Roman" w:cs="Times New Roman"/>
          <w:b/>
          <w:color w:val="0E0E0E"/>
          <w:sz w:val="34"/>
        </w:rPr>
        <w:t>4.2 Machine Learning and Artifact Strategy</w:t>
      </w:r>
    </w:p>
    <w:p w14:paraId="6D271D71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deployed hybrid logistic model remains a strong choice for a capstone setting because it balances interpretability, acceptable performance, and deployment simplicity.</w:t>
      </w:r>
    </w:p>
    <w:p w14:paraId="6D271D72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lastRenderedPageBreak/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sales model adds useful operational breadth by moving the project beyond pure classification.</w:t>
      </w:r>
    </w:p>
    <w:p w14:paraId="6D271D73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Model Insights is well-designed for academic communication because it converts model details into precomputed, easy-to-render summaries.</w:t>
      </w:r>
    </w:p>
    <w:p w14:paraId="6D271D74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Model Lab adds research depth without destabilizing the main application.</w:t>
      </w:r>
    </w:p>
    <w:p w14:paraId="6D271D75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explicit benchmark-only treatment of custom deep learning and Hugging Face models is honest and better than pretending unsupported live inference exists.</w:t>
      </w:r>
    </w:p>
    <w:p w14:paraId="6D271D76" w14:textId="77777777" w:rsidR="00960658" w:rsidRDefault="00481F70">
      <w:pPr>
        <w:spacing w:after="103"/>
      </w:pPr>
      <w:r>
        <w:rPr>
          <w:rFonts w:ascii="Times New Roman" w:hAnsi="Times New Roman" w:cs="Times New Roman"/>
          <w:b/>
          <w:color w:val="0E0E0E"/>
          <w:sz w:val="34"/>
        </w:rPr>
        <w:t>4.3 Frontend and Demo Experience</w:t>
      </w:r>
    </w:p>
    <w:p w14:paraId="6D271D77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frontend now supports multiple business workflows and better matches the expectations of a project demonstration to a non-technical coordinator.</w:t>
      </w:r>
    </w:p>
    <w:p w14:paraId="6D271D78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Sample buttons, summary cards, ranking tables, caution flags, and compare views are all appropriate choices for this audience.</w:t>
      </w:r>
    </w:p>
    <w:p w14:paraId="6D271D79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decision to rely on precomputed artifacts for insights and model comparison is a strong demo-focused tradeoff.</w:t>
      </w:r>
    </w:p>
    <w:p w14:paraId="6D271D7A" w14:textId="77777777" w:rsidR="00960658" w:rsidRDefault="00481F70">
      <w:pPr>
        <w:spacing w:after="103"/>
      </w:pPr>
      <w:r>
        <w:rPr>
          <w:rFonts w:ascii="Times New Roman" w:hAnsi="Times New Roman" w:cs="Times New Roman"/>
          <w:b/>
          <w:color w:val="0E0E0E"/>
          <w:sz w:val="34"/>
        </w:rPr>
        <w:t>4.4 Testing and Reliability</w:t>
      </w:r>
    </w:p>
    <w:p w14:paraId="6D271D7B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repository now includes a focused smoke suite with coverage for the core API features and the failure-recovery paths around incompatible sklearn artifacts.</w:t>
      </w:r>
    </w:p>
    <w:p w14:paraId="6D271D7C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 xml:space="preserve">The presence of </w:t>
      </w:r>
      <w:r>
        <w:rPr>
          <w:rFonts w:ascii="Menlo" w:hAnsi="Menlo" w:cs="Menlo"/>
          <w:color w:val="0E0E0E"/>
          <w:sz w:val="26"/>
        </w:rPr>
        <w:t>pytest.ini</w:t>
      </w:r>
      <w:r>
        <w:rPr>
          <w:rFonts w:ascii="Times New Roman" w:hAnsi="Times New Roman" w:cs="Times New Roman"/>
          <w:color w:val="0E0E0E"/>
          <w:sz w:val="32"/>
        </w:rPr>
        <w:t xml:space="preserve"> and </w:t>
      </w:r>
      <w:r>
        <w:rPr>
          <w:rFonts w:ascii="Menlo" w:hAnsi="Menlo" w:cs="Menlo"/>
          <w:color w:val="0E0E0E"/>
          <w:sz w:val="26"/>
        </w:rPr>
        <w:t>requirements-dev.txt</w:t>
      </w:r>
      <w:r>
        <w:rPr>
          <w:rFonts w:ascii="Times New Roman" w:hAnsi="Times New Roman" w:cs="Times New Roman"/>
          <w:color w:val="0E0E0E"/>
          <w:sz w:val="32"/>
        </w:rPr>
        <w:t xml:space="preserve"> makes the test workflow much easier to reproduce.</w:t>
      </w:r>
    </w:p>
    <w:p w14:paraId="6D271D7D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lastRenderedPageBreak/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Recovery tests for broken model loading are especially valuable because they exercise a real failure mode the project has already encountered.</w:t>
      </w:r>
    </w:p>
    <w:p w14:paraId="6D271D7E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5. Remaining Risks and Recommendations</w:t>
      </w:r>
    </w:p>
    <w:p w14:paraId="6D271D7F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The project is now in a much stronger state than the earlier review suggested. The remaining gaps are mostly about deployment polish, observability, and long-term maintainability rather than missing core functionality.</w:t>
      </w:r>
    </w:p>
    <w:p w14:paraId="6D271D80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Severity</w:t>
      </w:r>
    </w:p>
    <w:p w14:paraId="6D271D81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Area</w:t>
      </w:r>
    </w:p>
    <w:p w14:paraId="6D271D82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Finding</w:t>
      </w:r>
    </w:p>
    <w:p w14:paraId="6D271D83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Recommendation</w:t>
      </w:r>
    </w:p>
    <w:p w14:paraId="6D271D84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Medium</w:t>
      </w:r>
    </w:p>
    <w:p w14:paraId="6D271D85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Model warm-up and startup latency</w:t>
      </w:r>
    </w:p>
    <w:p w14:paraId="6D271D8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If serialized sklearn artifacts are missing or incompatible, the first request can trigger a runtime refit. This is useful for resilience, but it can slow the first live call and may be awkward in a multi-worker deployment.</w:t>
      </w:r>
    </w:p>
    <w:p w14:paraId="6D271D87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Add a startup preflight or explicit warm-up command that validates or rebuilds the operational models before demo traffic reaches the API.</w:t>
      </w:r>
    </w:p>
    <w:p w14:paraId="6D271D88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Medium</w:t>
      </w:r>
    </w:p>
    <w:p w14:paraId="6D271D89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Frontend automation coverage</w:t>
      </w:r>
    </w:p>
    <w:p w14:paraId="6D271D8A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The API is smoke-tested, but the JavaScript-heavy dashboard itself is not covered by automated UI checks.</w:t>
      </w:r>
    </w:p>
    <w:p w14:paraId="6D271D8B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lastRenderedPageBreak/>
        <w:t xml:space="preserve">Add one lightweight browser smoke script that opens </w:t>
      </w:r>
      <w:r>
        <w:rPr>
          <w:rFonts w:ascii="Menlo" w:hAnsi="Menlo" w:cs="Menlo"/>
          <w:color w:val="0E0E0E"/>
          <w:sz w:val="26"/>
        </w:rPr>
        <w:t>/ui</w:t>
      </w:r>
      <w:r>
        <w:rPr>
          <w:rFonts w:ascii="Times New Roman" w:hAnsi="Times New Roman" w:cs="Times New Roman"/>
          <w:color w:val="0E0E0E"/>
          <w:sz w:val="32"/>
        </w:rPr>
        <w:t>, switches tabs, and verifies one successful sample run for the main workflows.</w:t>
      </w:r>
    </w:p>
    <w:p w14:paraId="6D271D8C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Medium</w:t>
      </w:r>
    </w:p>
    <w:p w14:paraId="6D271D8D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Model Lab operational scope</w:t>
      </w:r>
    </w:p>
    <w:p w14:paraId="6D271D8E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The custom deep learning and Hugging Face models are benchmark-only in the current app unless serving artifacts are attached separately.</w:t>
      </w:r>
    </w:p>
    <w:p w14:paraId="6D271D8F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Keep this benchmark-only status explicit in the UI and </w:t>
      </w:r>
      <w:proofErr w:type="gramStart"/>
      <w:r>
        <w:rPr>
          <w:rFonts w:ascii="Times New Roman" w:hAnsi="Times New Roman" w:cs="Times New Roman"/>
          <w:color w:val="0E0E0E"/>
          <w:sz w:val="32"/>
        </w:rPr>
        <w:t>documentation, or</w:t>
      </w:r>
      <w:proofErr w:type="gramEnd"/>
      <w:r>
        <w:rPr>
          <w:rFonts w:ascii="Times New Roman" w:hAnsi="Times New Roman" w:cs="Times New Roman"/>
          <w:color w:val="0E0E0E"/>
          <w:sz w:val="32"/>
        </w:rPr>
        <w:t xml:space="preserve"> add versioned runtime artifacts only if live inference becomes a real requirement.</w:t>
      </w:r>
    </w:p>
    <w:p w14:paraId="6D271D90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Low</w:t>
      </w:r>
    </w:p>
    <w:p w14:paraId="6D271D91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Artifact cache invalidation</w:t>
      </w:r>
    </w:p>
    <w:p w14:paraId="6D271D92" w14:textId="77777777" w:rsidR="00960658" w:rsidRDefault="00481F70">
      <w:r>
        <w:rPr>
          <w:rFonts w:ascii="Menlo" w:hAnsi="Menlo" w:cs="Menlo"/>
          <w:color w:val="0E0E0E"/>
          <w:sz w:val="26"/>
        </w:rPr>
        <w:t>app/insights_service.py</w:t>
      </w:r>
      <w:r>
        <w:rPr>
          <w:rFonts w:ascii="Times New Roman" w:hAnsi="Times New Roman" w:cs="Times New Roman"/>
          <w:color w:val="0E0E0E"/>
          <w:sz w:val="32"/>
        </w:rPr>
        <w:t xml:space="preserve"> and </w:t>
      </w:r>
      <w:r>
        <w:rPr>
          <w:rFonts w:ascii="Menlo" w:hAnsi="Menlo" w:cs="Menlo"/>
          <w:color w:val="0E0E0E"/>
          <w:sz w:val="26"/>
        </w:rPr>
        <w:t>app/model_lab_service.py</w:t>
      </w:r>
      <w:r>
        <w:rPr>
          <w:rFonts w:ascii="Times New Roman" w:hAnsi="Times New Roman" w:cs="Times New Roman"/>
          <w:color w:val="0E0E0E"/>
          <w:sz w:val="32"/>
        </w:rPr>
        <w:t xml:space="preserve"> use cached reads, so regenerated JSON artifacts may not appear until the server restarts.</w:t>
      </w:r>
    </w:p>
    <w:p w14:paraId="6D271D93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Add a small reload hook, file timestamp check, or a documented “restart after regeneration” note in the operational instructions.</w:t>
      </w:r>
    </w:p>
    <w:p w14:paraId="6D271D94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Low</w:t>
      </w:r>
    </w:p>
    <w:p w14:paraId="6D271D95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Environment reproducibility</w:t>
      </w:r>
    </w:p>
    <w:p w14:paraId="6D271D9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The repository now uses version ranges in requirements, which is practical for installation but not a full reproducibility guarantee for submission or demo machines.</w:t>
      </w:r>
    </w:p>
    <w:p w14:paraId="6D271D97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Add a frozen lockfile, a pip-tools output, or an exported environment snapshot for final submission and evaluation systems.</w:t>
      </w:r>
    </w:p>
    <w:p w14:paraId="6D271D98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Low</w:t>
      </w:r>
    </w:p>
    <w:p w14:paraId="6D271D99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Documentation drift</w:t>
      </w:r>
    </w:p>
    <w:p w14:paraId="6D271D9A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lastRenderedPageBreak/>
        <w:t xml:space="preserve">Static tree snapshots such as </w:t>
      </w:r>
      <w:r>
        <w:rPr>
          <w:rFonts w:ascii="Menlo" w:hAnsi="Menlo" w:cs="Menlo"/>
          <w:color w:val="0E0E0E"/>
          <w:sz w:val="26"/>
        </w:rPr>
        <w:t>docs/tree.txt</w:t>
      </w:r>
      <w:r>
        <w:rPr>
          <w:rFonts w:ascii="Times New Roman" w:hAnsi="Times New Roman" w:cs="Times New Roman"/>
          <w:color w:val="0E0E0E"/>
          <w:sz w:val="32"/>
        </w:rPr>
        <w:t xml:space="preserve"> can become stale as the repository evolves.</w:t>
      </w:r>
    </w:p>
    <w:p w14:paraId="6D271D9B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Regenerate structure snapshots automatically from the repo or remove manual tree files that are hard to keep current.</w:t>
      </w:r>
    </w:p>
    <w:p w14:paraId="6D271D9C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6. Prioritized Next Steps</w:t>
      </w:r>
    </w:p>
    <w:p w14:paraId="6D271D9D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1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Add a startup model preflight so the deployed models are validated and warmed before a live demo begins.</w:t>
      </w:r>
    </w:p>
    <w:p w14:paraId="6D271D9E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2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Add one end-to-end UI smoke test that exercises the main dashboard tabs and sample flows.</w:t>
      </w:r>
    </w:p>
    <w:p w14:paraId="6D271D9F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3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Decide whether Model Lab’s deep learning and transformer entries should remain benchmark-only or be extended with explicit runtime-serving artifacts.</w:t>
      </w:r>
    </w:p>
    <w:p w14:paraId="6D271DA0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4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Create a locked environment specification for submission and cross-machine reproducibility.</w:t>
      </w:r>
    </w:p>
    <w:p w14:paraId="6D271DA1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5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Automate documentation snapshots for repository structure and endpoint inventory where possible.</w:t>
      </w:r>
    </w:p>
    <w:p w14:paraId="6D271DA2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7. What Is Working Well</w:t>
      </w:r>
    </w:p>
    <w:p w14:paraId="6D271DA3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project now demonstrates a strong evolution from a narrow prediction service into a coherent retail decision-support application.</w:t>
      </w:r>
    </w:p>
    <w:p w14:paraId="6D271DA4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deployed model choice is sensible for the academic and demo context: explainable, stable, and operationally light.</w:t>
      </w:r>
    </w:p>
    <w:p w14:paraId="6D271DA5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combination of machine learning output and rule-based caution flags improves trust and business realism.</w:t>
      </w:r>
    </w:p>
    <w:p w14:paraId="6D271DA6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insights and model-lab tabs significantly improve the project’s academic communication quality.</w:t>
      </w:r>
    </w:p>
    <w:p w14:paraId="6D271DA7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lastRenderedPageBreak/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</w:r>
      <w:r>
        <w:rPr>
          <w:rFonts w:ascii="Times New Roman" w:hAnsi="Times New Roman" w:cs="Times New Roman"/>
          <w:color w:val="0E0E0E"/>
          <w:sz w:val="32"/>
        </w:rPr>
        <w:t>The expanded smoke suite and recovery behavior show a much more mature engineering mindset than the earlier project version.</w:t>
      </w:r>
    </w:p>
    <w:p w14:paraId="6D271DA8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8. Final Review Verdict</w:t>
      </w:r>
    </w:p>
    <w:p w14:paraId="6D271DA9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 xml:space="preserve">The current repository is </w:t>
      </w:r>
      <w:r>
        <w:rPr>
          <w:rFonts w:ascii="Times New Roman" w:hAnsi="Times New Roman" w:cs="Times New Roman"/>
          <w:b/>
          <w:color w:val="0E0E0E"/>
          <w:sz w:val="32"/>
        </w:rPr>
        <w:t>demo-ready and substantially stronger than the version described in the earlier review</w:t>
      </w:r>
      <w:r>
        <w:rPr>
          <w:rFonts w:ascii="Times New Roman" w:hAnsi="Times New Roman" w:cs="Times New Roman"/>
          <w:color w:val="0E0E0E"/>
          <w:sz w:val="32"/>
        </w:rPr>
        <w:t>. Most of the original structural weaknesses have already been addressed. The remaining work is no longer about missing fundamentals; it is about polishing startup behavior, adding lightweight UI automation, and tightening reproducibility for final submission.</w:t>
      </w:r>
    </w:p>
    <w:p w14:paraId="6D271DAA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In its present state, this capstone is a credible and well-packaged academic project with a clear business story, explainable operational models, useful supporting analytics, and a presentation layer that helps non-technical reviewers understand the underlying AI/ML work.</w:t>
      </w:r>
    </w:p>
    <w:p w14:paraId="6D271DAB" w14:textId="77777777" w:rsidR="00960658" w:rsidRDefault="00481F70">
      <w:pPr>
        <w:spacing w:after="255"/>
        <w:jc w:val="center"/>
      </w:pPr>
      <w:r>
        <w:rPr>
          <w:rFonts w:ascii="Times New Roman" w:hAnsi="Times New Roman" w:cs="Times New Roman"/>
          <w:color w:val="343434"/>
          <w:sz w:val="32"/>
        </w:rPr>
        <w:t>End of Updated Review</w:t>
      </w:r>
    </w:p>
    <w:sectPr w:rsidR="0096065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658"/>
    <w:rsid w:val="00481F70"/>
    <w:rsid w:val="00960658"/>
    <w:rsid w:val="00D5707E"/>
    <w:rsid w:val="00D9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271D2B"/>
  <w15:docId w15:val="{9955F7A7-F084-E94A-8045-1CF282A83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CocoaOOXMLWriter/2685.5</generator>
</meta>
</file>

<file path=customXml/itemProps1.xml><?xml version="1.0" encoding="utf-8"?>
<ds:datastoreItem xmlns:ds="http://schemas.openxmlformats.org/officeDocument/2006/customXml" ds:itemID="{6D7CC6CA-9318-F44F-BF17-2F72606DED6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1416</Words>
  <Characters>9156</Characters>
  <Application>Microsoft Office Word</Application>
  <DocSecurity>0</DocSecurity>
  <Lines>236</Lines>
  <Paragraphs>128</Paragraphs>
  <ScaleCrop>false</ScaleCrop>
  <Company/>
  <LinksUpToDate>false</LinksUpToDate>
  <CharactersWithSpaces>10499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Sajal Debnath</cp:lastModifiedBy>
  <cp:revision>2</cp:revision>
  <dcterms:created xsi:type="dcterms:W3CDTF">2026-04-10T04:15:00Z</dcterms:created>
  <dcterms:modified xsi:type="dcterms:W3CDTF">2026-04-10T04:15:00Z</dcterms:modified>
</cp:coreProperties>
</file>