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DABUR INDIA LIMITED</w:t>
      </w:r>
    </w:p>
    <w:p>
      <w:r>
        <w:t>Corporate Overview Board &amp; Management Reports Financial Statements</w:t>
      </w:r>
    </w:p>
    <w:tbl>
      <w:tblPr>
        <w:tblW w:type="auto" w:w="0"/>
        <w:tblLook w:firstColumn="1" w:firstRow="1" w:lastColumn="0" w:lastRow="0" w:noHBand="0" w:noVBand="1" w:val="04A0"/>
      </w:tblPr>
      <w:tblGrid>
        <w:gridCol w:w="4320"/>
        <w:gridCol w:w="4320"/>
      </w:tblGrid>
      <w:tr>
        <w:tc>
          <w:tcPr>
            <w:tcW w:type="dxa" w:w="4320"/>
          </w:tcPr>
          <w:p>
            <w:r>
              <w:t>Key audit matter</w:t>
            </w:r>
          </w:p>
        </w:tc>
        <w:tc>
          <w:tcPr>
            <w:tcW w:type="dxa" w:w="4320"/>
          </w:tcPr>
          <w:p>
            <w:r>
              <w:t>How our audit addressed the key audit matter</w:t>
            </w:r>
          </w:p>
        </w:tc>
      </w:tr>
      <w:tr>
        <w:tc>
          <w:tcPr>
            <w:tcW w:type="dxa" w:w="4320"/>
          </w:tcPr>
          <w:p>
            <w:r/>
          </w:p>
        </w:tc>
        <w:tc>
          <w:tcPr>
            <w:tcW w:type="dxa" w:w="4320"/>
          </w:tcPr>
          <w:p>
            <w:r>
              <w:t>g) Engaged subject matter specialists to gain an understanding of the current status of litigations and monitored changes in the disputes, if any, through discussions with the management and by reading external advice received by the Company, where relevant, to validate management's conclusions; and</w:t>
            </w:r>
          </w:p>
        </w:tc>
      </w:tr>
      <w:tr>
        <w:tc>
          <w:tcPr>
            <w:tcW w:type="dxa" w:w="4320"/>
          </w:tcPr>
          <w:p/>
        </w:tc>
        <w:tc>
          <w:tcPr>
            <w:tcW w:type="dxa" w:w="4320"/>
          </w:tcPr>
          <w:p>
            <w:r>
              <w:t>h) Assessed the appropriateness of the Company's description of the accounting policy, disclosures related to litigations and whether these are adequately presented in the standalone financial statements.</w:t>
            </w:r>
          </w:p>
        </w:tc>
      </w:tr>
      <w:tr>
        <w:tc>
          <w:tcPr>
            <w:tcW w:type="dxa" w:w="4320"/>
          </w:tcPr>
          <w:p>
            <w:r>
              <w:t>C. Acquisition of non-current investment in a subsidiary During the year the Company has acquired controlling interest of 51% of the equity shares capital of Badshah Masala Private Limited, a domestic company headquartered in Mumbai, dealing in FMCG products of the nature of spices and blended products on 02 January</w:t>
              <w:br/>
              <w:t>2023 at consideration of ₹ 481.32 crores.</w:t>
            </w:r>
          </w:p>
        </w:tc>
        <w:tc>
          <w:tcPr>
            <w:tcW w:type="dxa" w:w="4320"/>
          </w:tcPr>
          <w:p>
            <w:r>
              <w:t>Our key procedures included, but not limited to, the</w:t>
            </w:r>
          </w:p>
        </w:tc>
      </w:tr>
      <w:tr>
        <w:tc>
          <w:tcPr>
            <w:tcW w:type="dxa" w:w="4320"/>
          </w:tcPr>
          <w:p/>
        </w:tc>
        <w:tc>
          <w:tcPr>
            <w:tcW w:type="dxa" w:w="4320"/>
          </w:tcPr>
          <w:p>
            <w:r>
              <w:t>following:</w:t>
            </w:r>
          </w:p>
        </w:tc>
      </w:tr>
      <w:tr>
        <w:tc>
          <w:tcPr>
            <w:tcW w:type="dxa" w:w="4320"/>
          </w:tcPr>
          <w:p/>
        </w:tc>
        <w:tc>
          <w:tcPr>
            <w:tcW w:type="dxa" w:w="4320"/>
          </w:tcPr>
          <w:p>
            <w:r>
              <w:t>a) Read the scheme under acquisition with its sallent</w:t>
            </w:r>
          </w:p>
        </w:tc>
      </w:tr>
      <w:tr>
        <w:tc>
          <w:tcPr>
            <w:tcW w:type="dxa" w:w="4320"/>
          </w:tcPr>
          <w:p/>
        </w:tc>
        <w:tc>
          <w:tcPr>
            <w:tcW w:type="dxa" w:w="4320"/>
          </w:tcPr>
          <w:p>
            <w:r>
              <w:t>features conducive to future incremental activity level and</w:t>
            </w:r>
          </w:p>
        </w:tc>
      </w:tr>
      <w:tr>
        <w:tc>
          <w:tcPr>
            <w:tcW w:type="dxa" w:w="4320"/>
          </w:tcPr>
          <w:p/>
        </w:tc>
        <w:tc>
          <w:tcPr>
            <w:tcW w:type="dxa" w:w="4320"/>
          </w:tcPr>
          <w:p>
            <w:r>
              <w:t>profitability of the company.</w:t>
            </w:r>
          </w:p>
        </w:tc>
      </w:tr>
      <w:tr>
        <w:tc>
          <w:tcPr>
            <w:tcW w:type="dxa" w:w="4320"/>
          </w:tcPr>
          <w:p/>
        </w:tc>
        <w:tc>
          <w:tcPr>
            <w:tcW w:type="dxa" w:w="4320"/>
          </w:tcPr>
          <w:p>
            <w:r>
              <w:t>b) Resolution of the Board of Directors in support of relevant</w:t>
              <w:br/>
              <w:t>acquisition in Board Meeting.</w:t>
            </w:r>
          </w:p>
        </w:tc>
      </w:tr>
      <w:tr>
        <w:tc>
          <w:tcPr>
            <w:tcW w:type="dxa" w:w="4320"/>
          </w:tcPr>
          <w:p/>
        </w:tc>
        <w:tc>
          <w:tcPr>
            <w:tcW w:type="dxa" w:w="4320"/>
          </w:tcPr>
          <w:p>
            <w:r>
              <w:t>c) Agreement of acquisition leaving 49% stake with erstwhile promoters and distribution of managerial portfolio in terms of acquisition agreement</w:t>
            </w:r>
          </w:p>
        </w:tc>
      </w:tr>
      <w:tr>
        <w:tc>
          <w:tcPr>
            <w:tcW w:type="dxa" w:w="4320"/>
          </w:tcPr>
          <w:p/>
        </w:tc>
        <w:tc>
          <w:tcPr>
            <w:tcW w:type="dxa" w:w="4320"/>
          </w:tcPr>
          <w:p>
            <w:r>
              <w:t>d) Recording of transaction in due adherences of acquisition agreement and accounting norms.</w:t>
            </w:r>
          </w:p>
        </w:tc>
      </w:tr>
      <w:tr>
        <w:tc>
          <w:tcPr>
            <w:tcW w:type="dxa" w:w="4320"/>
          </w:tcPr>
          <w:p>
            <w:r>
              <w:t>Information other than the Standalone Financial</w:t>
              <w:br/>
              <w:t>Statements and Auditor's Report thereon</w:t>
            </w:r>
          </w:p>
        </w:tc>
        <w:tc>
          <w:tcPr>
            <w:tcW w:type="dxa" w:w="4320"/>
          </w:tcPr>
          <w:p>
            <w:r>
              <w:t>Responsibilities of Management and Those Charged with</w:t>
              <w:br/>
              <w:t>Governance for the Standalone Financial Statements</w:t>
            </w:r>
          </w:p>
        </w:tc>
      </w:tr>
      <w:tr>
        <w:tc>
          <w:tcPr>
            <w:tcW w:type="dxa" w:w="4320"/>
          </w:tcPr>
          <w:p>
            <w:r>
              <w:t>6. The Company's Board of Directors are responsible for the other information. The other information comprises the information included in the Management Discussion and Analysis, Report on Corporate Governance, Business Responsibility and Sustainability Report and Directors' Report, but does not include the standalone financial statements and our auditor's report thereon.</w:t>
            </w:r>
          </w:p>
        </w:tc>
        <w:tc>
          <w:tcPr>
            <w:tcW w:type="dxa" w:w="4320"/>
          </w:tcPr>
          <w:p>
            <w:r>
              <w:t>7. The accompanying standalone financial statements have been approved by the Company's Board of Directors. The Company's Board of Directors are responsible for the</w:t>
            </w:r>
          </w:p>
        </w:tc>
      </w:tr>
      <w:tr>
        <w:tc>
          <w:tcPr>
            <w:tcW w:type="dxa" w:w="4320"/>
          </w:tcPr>
          <w:p/>
        </w:tc>
        <w:tc>
          <w:tcPr>
            <w:tcW w:type="dxa" w:w="4320"/>
          </w:tcPr>
          <w:p>
            <w:r>
              <w:t>matters stated in section 134(5) of the Act with respect</w:t>
            </w:r>
          </w:p>
        </w:tc>
      </w:tr>
      <w:tr>
        <w:tc>
          <w:tcPr>
            <w:tcW w:type="dxa" w:w="4320"/>
          </w:tcPr>
          <w:p/>
        </w:tc>
        <w:tc>
          <w:tcPr>
            <w:tcW w:type="dxa" w:w="4320"/>
          </w:tcPr>
          <w:p>
            <w:r>
              <w:t>to the preparation and presentation of these standalone financial statements that give a true and fair view of the financial position, financial performance including other comprehensive income, changes in equity and cash flows of the Company in accordance with the Ind AS specified</w:t>
            </w:r>
          </w:p>
        </w:tc>
      </w:tr>
      <w:tr>
        <w:tc>
          <w:tcPr>
            <w:tcW w:type="dxa" w:w="4320"/>
          </w:tcPr>
          <w:p>
            <w:r>
              <w:t>Our opinion on the standalone financial statements does not cover the other information and we do not express any form of assurance conclusion thereon.</w:t>
            </w:r>
          </w:p>
        </w:tc>
        <w:tc>
          <w:tcPr>
            <w:tcW w:type="dxa" w:w="4320"/>
          </w:tcPr>
          <w:p>
            <w:r>
              <w:t>under section 133 of the Act and other accounting</w:t>
            </w:r>
          </w:p>
        </w:tc>
      </w:tr>
      <w:tr>
        <w:tc>
          <w:tcPr>
            <w:tcW w:type="dxa" w:w="4320"/>
          </w:tcPr>
          <w:p/>
        </w:tc>
        <w:tc>
          <w:tcPr>
            <w:tcW w:type="dxa" w:w="4320"/>
          </w:tcPr>
          <w:p>
            <w:r>
              <w:t>principles generally accepted in India. This responsibility also includes maintenance of adequate accounting records in accordance with the provisions of the Act</w:t>
            </w:r>
          </w:p>
        </w:tc>
      </w:tr>
      <w:tr>
        <w:tc>
          <w:tcPr>
            <w:tcW w:type="dxa" w:w="4320"/>
          </w:tcPr>
          <w:p>
            <w:r>
              <w:t>In connection with our audit of the standalone financial</w:t>
              <w:br/>
              <w:t>statements, our responsibility is to read the other information and, in doing so, consider whether the other information is materially inconsistent with the standalone financial statements or our knowledge obtained in the audit or otherwise appears to be materially misstated. If, based on the work we have performed, we conclude that there is a material misstatement of this other information, we are required to report that fact. We have nothing to report in this regard</w:t>
            </w:r>
          </w:p>
        </w:tc>
        <w:tc>
          <w:tcPr>
            <w:tcW w:type="dxa" w:w="4320"/>
          </w:tcPr>
          <w:p>
            <w:r>
              <w:t>for safeguarding of the assets of the Company and for</w:t>
            </w:r>
          </w:p>
        </w:tc>
      </w:tr>
      <w:tr>
        <w:tc>
          <w:tcPr>
            <w:tcW w:type="dxa" w:w="4320"/>
          </w:tcPr>
          <w:p/>
        </w:tc>
        <w:tc>
          <w:tcPr>
            <w:tcW w:type="dxa" w:w="4320"/>
          </w:tcPr>
          <w:p>
            <w:r>
              <w:t>preventing and detecting frauds and other irregularities; selection and application of appropriate accounting policies; making judgments and estimates that are</w:t>
            </w:r>
          </w:p>
        </w:tc>
      </w:tr>
      <w:tr>
        <w:tc>
          <w:tcPr>
            <w:tcW w:type="dxa" w:w="4320"/>
          </w:tcPr>
          <w:p/>
        </w:tc>
        <w:tc>
          <w:tcPr>
            <w:tcW w:type="dxa" w:w="4320"/>
          </w:tcPr>
          <w:p>
            <w:r>
              <w:t>reasonable and prudent; and design, implementation and maintenance of adequate internal financial controls, that were operating effectively for ensuring the accuracy and completeness of the accounting records, relevant to the preparation and presentation of the financial statements that give a true and fair view and are free from material misstatement, whether due to fraud or error.</w:t>
            </w:r>
          </w:p>
        </w:tc>
      </w:tr>
    </w:tbl>
    <w:p>
      <w:r>
        <w:t>200</w:t>
      </w:r>
    </w:p>
    <w:p>
      <w:pPr>
        <w:pStyle w:val="Footer"/>
      </w:pPr>
      <w:r>
        <w:t>INTEGRATED ANNUAL REPORT 2022-23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