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
      </w:pPr>
      <w:r>
        <w:t>DABUR INDIA LIMITED</w:t>
      </w:r>
    </w:p>
    <w:p>
      <w:pPr>
        <w:pStyle w:val="Heading1"/>
      </w:pPr>
      <w:r>
        <w:t>Corporate Overview Board &amp; Management Reports Financial Statements</w:t>
      </w:r>
    </w:p>
    <w:p>
      <w:pPr>
        <w:pStyle w:val="Heading1"/>
      </w:pPr>
      <w:r>
        <w:t>Annexure B</w:t>
      </w:r>
    </w:p>
    <w:p>
      <w:r>
        <w:t>Independent Auditor's Report on the internal financial controls with reference to the standalone financial statements under Clause (i) of Sub-section 3 of Section 143 of the Companies Act, 2013 ('the Act')</w:t>
      </w:r>
    </w:p>
    <w:p>
      <w:r>
        <w:t>. In conjunction with our audit of the standalone financial statements of Dabur India Limited ('the Company') as at and for the year ended 31 March 2023, we have audited the internal financial controls with reference to standalone financial statements of the Company as at that date.</w:t>
      </w:r>
    </w:p>
    <w:p>
      <w:pPr>
        <w:pStyle w:val="Heading2"/>
      </w:pPr>
      <w:r>
        <w:t>Responsibilities of Management and Those Charged with Governance for Internal Financial Controls</w:t>
      </w:r>
    </w:p>
    <w:p>
      <w:r>
        <w:t>2. The Company's Board of Directors is responsible for establishing and maintaining internal financial controls based on the internal financial controls with reference to standalone financial statements criteria established by the Company considering the essential components of internal control stated in the Guidance Note on Audit of Internal Financial Controls over Financial Reporting ('the Guidance Note') issued by the Institute of Chartered Accountants of India ("ICAI'). These responsibilities include the design, implementation and maintenance of adequate internal financial controls that were operating effectively for ensuring the orderly and efficient conduct of the Company's business, including adherence to the Company's policies, the safeguarding of its assets, the prevention and detection of frauds and errors, the accuracy and completeness of the accounting records, and the timely preparation of reliable financial information, as required under the Act.</w:t>
      </w:r>
    </w:p>
    <w:p>
      <w:pPr>
        <w:pStyle w:val="Heading2"/>
      </w:pPr>
      <w:r>
        <w:t>Auditor's Responsibility for the Audit of the Internal Financial Controls with Reference to Standalone Financial Statements</w:t>
      </w:r>
    </w:p>
    <w:p>
      <w:r>
        <w:t>3. Our responsibility is to express an opinion on the Company's internal financial controls with reference to standalone financial statements based on our audit. We conducted our audit in accordance with the Standards on Auditing issued by the ICAI prescribed under Section 143(10) of the Act, to the extent applicable to an audit of internal financial controls with reference to standalone financial statements, and the Guidance Note issued by the ICAI. Those Standards and the Guidance Note require that we comply with ethical requirements and plan and perform the audit to obtain reasonable assurance about whether adequate intemal financial controls with reference to financial</w:t>
      </w:r>
    </w:p>
    <w:p>
      <w:r>
        <w:t>statements were established and maintained and if such controls operated effectively in all material respects.</w:t>
      </w:r>
    </w:p>
    <w:p>
      <w:r>
        <w:t>4. Our audit involves performing procedures to obtain audit evidence about the adequacy of the internal financial controls with reference to standalone financial statements and their operating effectiveness. Our audit of internal financial controls with reference to standalone financial statements includes obtaining an understanding of such internal financial controls, assessing the risk that a material weakness exists, and testing and evaluating the design and operating effectiveness of internal control based on the assessed risk. The procedures selected depend on the auditor's judgement, including the assessment of the risks of material misstatement of the standalone financial statements, whether due to fraud or error.</w:t>
      </w:r>
    </w:p>
    <w:p>
      <w:r>
        <w:t>5. We believe that the audit evidence we have obtained is sufficient and appropriate to provide a basis for our audit opinion on the Company's internal financial controls with reference to standalone financial statements.</w:t>
      </w:r>
    </w:p>
    <w:p>
      <w:pPr>
        <w:pStyle w:val="Heading2"/>
      </w:pPr>
      <w:r>
        <w:t>Meaning of Internal Financial Controls with Reference to Standalone Financial Statements</w:t>
      </w:r>
    </w:p>
    <w:p>
      <w:r>
        <w:t>6. A company's intemal financial controls with reference to financial statements is a process designed to provide reasonable assurance regarding the reliability of financial reporting and the preparation of financial statements for external purposes in accordance with generally accepted accounting principles. A company's internal financial controls with reference to financial statements include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authorisations of management and directors of the company; and (3) provide reasonable assurance regarding prevention</w:t>
      </w:r>
    </w:p>
    <w:p>
      <w:pPr>
        <w:pStyle w:val="Footer"/>
      </w:pPr>
      <w:r>
        <w:t>INTEGRATED ANNUAL REPORT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