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Notes To The Financial Statements (Contd.</w:t>
      </w:r>
    </w:p>
    <w:p>
      <w:r>
        <w:t>8 Income Tax demand letter dated 1 Sth September २००८ for the financial year २०६०-६१ (२०O३-०४). Out of total demand of NRs. 22,536,944 (र 14,085,590)</w:t>
      </w:r>
    </w:p>
    <w:p>
      <w:r>
        <w:t>the basis of the demand for NRs. १९, १ ३९,६५३ (२ ११ ,९६२ २८३) is on theoretical production. The Companys writ petition, challenging the demand, ha</w:t>
      </w:r>
    </w:p>
    <w:p>
      <w:r>
        <w:t>been admitted by the Supreme Court of Nepal on 8th December २००८ and it has issued Show Cause Notices to the respondents.</w:t>
      </w:r>
    </w:p>
    <w:p>
      <w:r>
        <w:t>9 Income Tax demand letter dated 1 ६th October २००9 for the financial year २०६१ -६२ (२OO४-O५). Out of a total demand of NRs. २२,626,609 (र 14,141,631)</w:t>
      </w:r>
    </w:p>
    <w:p>
      <w:r>
        <w:t>the basis of the demand for NRs. २१ ,५६५ ४०9 (र 1 ३४७८,३८१ ) is on theoretical production. The Company filed an administrative review petition befor</w:t>
      </w:r>
    </w:p>
    <w:p>
      <w:r>
        <w:t>the Director General, Inland Revenue Department on १8th December २००9. The Director General without dealing with the issues raised by the Company</w:t>
      </w:r>
    </w:p>
    <w:p>
      <w:r>
        <w:t>summarily dismissed the petition by an order dated Znd March २०१०. The Company thereafter filed an appeal before the Revenue Tribunal, on 1७th June</w:t>
      </w:r>
    </w:p>
    <w:p>
      <w:r>
        <w:t>२०१0. The Revenue Tribunal, vide its order dated 9th July २०१2 (received by the Company on Znd November २०१ २), directed Director General, Inlanc</w:t>
      </w:r>
    </w:p>
    <w:p>
      <w:r>
        <w:t>Revenue Department to reassess the case. The Director General appealed to the Supreme Court of Nepal for admission of the case against the decisior</w:t>
      </w:r>
    </w:p>
    <w:p>
      <w:r>
        <w:t>of the Revenue Tribunal. The Supreme Court admitted the case on ११th March २०१ 6 The matter has been heard on १२th February २०१8 and order</w:t>
      </w:r>
    </w:p>
    <w:p>
      <w:r>
        <w:t>reserved</w:t>
      </w:r>
    </w:p>
    <w:p>
      <w:r>
        <w:t>The Management considers that all the demands and show cause notice listed above have no legal or factual basis. Accordingly the Management is</w:t>
      </w:r>
    </w:p>
    <w:p>
      <w:r>
        <w:t>the view that there is no liability that is likely to arise, particularly in the light of the decisions in favour of the Company by the Supreme Court of Nepa</w:t>
      </w:r>
    </w:p>
    <w:p>
      <w:r>
        <w:t>and the Inland Revenue Department.</w:t>
      </w:r>
    </w:p>
    <w:p>
      <w:r>
        <w:t>b) Other demands raised on account ofः</w:t>
      </w:r>
    </w:p>
    <w:p>
      <w:r>
        <w:t>1 Income Taxes for various assessment years amounting to NRs. 275,972,010 (र 172,482,506) [2073/74 NRs. 305,122,168 190,701,355)] (net</w:t>
      </w:r>
    </w:p>
    <w:p>
      <w:r>
        <w:t>provision made for the above assessment years) including interest on claims, where applicable, estimated to be NRs. 54,789,780 (र 34,243,613) [2073/7</w:t>
      </w:r>
    </w:p>
    <w:p>
      <w:r>
        <w:t>NRs. १५८ ४६६,६०७ (र ९९,0४1 ,6२9)] against which the Company has filed appeals with the appropriate authorities Courts.</w:t>
      </w:r>
    </w:p>
    <w:p>
      <w:r>
        <w:t>२ Value Added Tax matters under dispute, pertaining to various financial years amounting to NRs. 32,752,830 (र 20,470,519) [2073/74 NRs. 28,772,109</w:t>
      </w:r>
    </w:p>
    <w:p>
      <w:r>
        <w:t>(र १७,98२,568)] including interest on claims where applicable, estimated to be NRs. 6,895,973 (र 4,309,983) [2073-74 NRs. 5,551,856 (* 3,469,910)]</w:t>
      </w:r>
    </w:p>
    <w:p>
      <w:r>
        <w:t>which are under appeal  reassessment</w:t>
      </w:r>
    </w:p>
    <w:p>
      <w:r>
        <w:t>(viii) The Company s significant leasing arrangements are in respect of operating leases for building premises (residential, office, godowns, etc. ). These leasing arrange</w:t>
      </w:r>
    </w:p>
    <w:p>
      <w:r>
        <w:t>ments which are not non cancellable range between 1 year and 3 years generally or longer and are usually renewable by mutual consent on mutually agreeable</w:t>
      </w:r>
    </w:p>
    <w:p>
      <w:r>
        <w:t>terms. The aggregate lease rentals payable are charged as Rent under Note २५ - Manufacturing, Selling and Administrative Expenses, etc</w:t>
      </w:r>
    </w:p>
    <w:p>
      <w:r>
        <w:t>(ix Some of the employee(s) of the Company seconded from the Holding Company (ITC Limited), have been granted stock options under the ITC Employees Stocl</w:t>
      </w:r>
    </w:p>
    <w:p>
      <w:r>
        <w:t>Option Scheme (ITC ESOS). These options vest over a period of three years from the date of grant and are exercisable within a period of five years from the date</w:t>
      </w:r>
    </w:p>
    <w:p>
      <w:r>
        <w:t>vesting. Each option entitles the holder thereof to apply for and be allotted ten Ordinary Shares of ITC of Indian Rupee 1 each inter alia upon payment of exercis</w:t>
      </w:r>
    </w:p>
    <w:p>
      <w:r>
        <w:t>price.</w:t>
      </w:r>
    </w:p>
    <w:p>
      <w:r>
        <w:t>These options have been granted at 'market price within the meaning of Securities and Exchange Board of India (Share Based Employee Benefit) Regulations</w:t>
      </w:r>
    </w:p>
    <w:p>
      <w:r>
        <w:t>२०१४. The fair value of the options granted is determined by ITC, using  the Black Scholes Option Pricing Model, for all the options covered under the ITC ESOS a</w:t>
      </w:r>
    </w:p>
    <w:p>
      <w:r>
        <w:t>whole</w:t>
      </w:r>
    </w:p>
    <w:p>
      <w:r>
        <w:t>The Company has recognized the cost of options granted, as stated above, under the ITC Employee Stock Option Scheme (ITC ESOS) (equity settled) in</w:t>
      </w:r>
    </w:p>
    <w:p>
      <w:r>
        <w:t>accordance with NFRS 2 Share Based Payment and the Companys share of the cost of fair value of such options has been accounted for based on the advice</w:t>
      </w:r>
    </w:p>
    <w:p>
      <w:r>
        <w:t>on-charge by ITC. Accordingly an amount of NRs. 57,193,032 (र 35,745,645) [2073/74 NRs. 51,838,452 (र 32,399,033)] (Refer Note २४) which represents tha</w:t>
      </w:r>
    </w:p>
    <w:p>
      <w:r>
        <w:t>on-charge from ITC has been recognized as employee benefits expense with a corresponding payable, when such reimbursement is sought by ITC.</w:t>
      </w:r>
    </w:p>
    <w:p>
      <w:r>
        <w:t>The details of such options granted by ITC and status of the outstanding options is as underः</w:t>
      </w:r>
    </w:p>
    <w:p>
      <w:r>
        <w:t>Particulars 2074/75 (2017/18) 2073/74 (2016/17)</w:t>
      </w:r>
    </w:p>
    <w:p>
      <w:r>
        <w:t>No. of Options No. of Options</w:t>
      </w:r>
    </w:p>
    <w:p>
      <w:r>
        <w:t>Outstanding at the beginning of the year 373,733 220,040</w:t>
      </w:r>
    </w:p>
    <w:p>
      <w:r>
        <w:t>Addः Granted during the year 63,490 48,450</w:t>
      </w:r>
    </w:p>
    <w:p>
      <w:r>
        <w:t>Addः Corporate Action: Bonus by ITC 128,429</w:t>
      </w:r>
    </w:p>
    <w:p>
      <w:r>
        <w:t>Add (Less): Movement due to transfer of employees within group (33,290) 36,820</w:t>
      </w:r>
    </w:p>
    <w:p>
      <w:r>
        <w:t>Lessः Exercised during the year 44,830 60,006</w:t>
      </w:r>
    </w:p>
    <w:p>
      <w:r>
        <w:t>Outstanding at the end of the year 359,103 373.733</w:t>
      </w:r>
    </w:p>
    <w:p>
      <w:r>
        <w:t>Options exercisable at the end of the year 242,345 247,303</w:t>
      </w:r>
    </w:p>
    <w:p>
      <w:r>
        <w:t>Figures have been rounded off to the nearest Nepalese Rupee.</w:t>
      </w:r>
    </w:p>
    <w:p>
      <w:r>
        <w:t>Financial Instruments and Related Disclosures</w:t>
      </w:r>
    </w:p>
    <w:p>
      <w:r>
        <w:t>1 Capital Management</w:t>
      </w:r>
    </w:p>
    <w:p>
      <w:r>
        <w:t>The primary objective of the companys capital management is to maximize the shareholder value. The Company aims at maintaining a strong capital base anc</w:t>
      </w:r>
    </w:p>
    <w:p>
      <w:r>
        <w:t>augments its internal generations with a judicious use of borrowing facilities to fund spikes in working capital that arise from time to time as well as requirement</w:t>
      </w:r>
    </w:p>
    <w:p>
      <w:r>
        <w:t>to finance business growth. The Company monitors the return on capital employed based own asset turnover and profitability ratio</w:t>
      </w:r>
    </w:p>
    <w:p>
      <w:r>
        <w:t>The Company is not subject to any capital adequacy norms under regulations presently in force.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Particulars</w:t>
            </w:r>
          </w:p>
        </w:tc>
        <w:tc>
          <w:tcPr>
            <w:tcW w:type="dxa" w:w="2880"/>
          </w:tcPr>
          <w:p>
            <w:r>
              <w:t>2074/75 (2017/18)</w:t>
            </w:r>
          </w:p>
        </w:tc>
        <w:tc>
          <w:tcPr>
            <w:tcW w:type="dxa" w:w="2880"/>
          </w:tcPr>
          <w:p>
            <w:r>
              <w:t>2073/74 (2016/17)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No. of Options</w:t>
            </w:r>
          </w:p>
        </w:tc>
        <w:tc>
          <w:tcPr>
            <w:tcW w:type="dxa" w:w="2880"/>
          </w:tcPr>
          <w:p>
            <w:r>
              <w:t>No. of Options</w:t>
            </w:r>
          </w:p>
        </w:tc>
      </w:tr>
      <w:tr>
        <w:tc>
          <w:tcPr>
            <w:tcW w:type="dxa" w:w="2880"/>
          </w:tcPr>
          <w:p>
            <w:r>
              <w:t>Outstanding at the beginning of the year</w:t>
            </w:r>
          </w:p>
        </w:tc>
        <w:tc>
          <w:tcPr>
            <w:tcW w:type="dxa" w:w="2880"/>
          </w:tcPr>
          <w:p>
            <w:r>
              <w:t>373,733</w:t>
            </w:r>
          </w:p>
        </w:tc>
        <w:tc>
          <w:tcPr>
            <w:tcW w:type="dxa" w:w="2880"/>
          </w:tcPr>
          <w:p>
            <w:r>
              <w:t>220,040</w:t>
            </w:r>
          </w:p>
        </w:tc>
      </w:tr>
      <w:tr>
        <w:tc>
          <w:tcPr>
            <w:tcW w:type="dxa" w:w="2880"/>
          </w:tcPr>
          <w:p>
            <w:r>
              <w:t>Add: Granted during the year</w:t>
            </w:r>
          </w:p>
        </w:tc>
        <w:tc>
          <w:tcPr>
            <w:tcW w:type="dxa" w:w="2880"/>
          </w:tcPr>
          <w:p>
            <w:r>
              <w:t>63,490</w:t>
            </w:r>
          </w:p>
        </w:tc>
        <w:tc>
          <w:tcPr>
            <w:tcW w:type="dxa" w:w="2880"/>
          </w:tcPr>
          <w:p>
            <w:r>
              <w:t>48,450</w:t>
            </w:r>
          </w:p>
        </w:tc>
      </w:tr>
      <w:tr>
        <w:tc>
          <w:tcPr>
            <w:tcW w:type="dxa" w:w="2880"/>
          </w:tcPr>
          <w:p>
            <w:r>
              <w:t>Add: Corporate Action: Bonus by ITC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128,429</w:t>
            </w:r>
          </w:p>
        </w:tc>
      </w:tr>
      <w:tr>
        <w:tc>
          <w:tcPr>
            <w:tcW w:type="dxa" w:w="2880"/>
          </w:tcPr>
          <w:p>
            <w:r>
              <w:t>Add/(Less): Movement due to transfer of employees within group</w:t>
            </w:r>
          </w:p>
        </w:tc>
        <w:tc>
          <w:tcPr>
            <w:tcW w:type="dxa" w:w="2880"/>
          </w:tcPr>
          <w:p>
            <w:r>
              <w:t>(33,290)</w:t>
            </w:r>
          </w:p>
        </w:tc>
        <w:tc>
          <w:tcPr>
            <w:tcW w:type="dxa" w:w="2880"/>
          </w:tcPr>
          <w:p>
            <w:r>
              <w:t>36,820</w:t>
            </w:r>
          </w:p>
        </w:tc>
      </w:tr>
      <w:tr>
        <w:tc>
          <w:tcPr>
            <w:tcW w:type="dxa" w:w="2880"/>
          </w:tcPr>
          <w:p>
            <w:r>
              <w:t>Less: Exercised during the year</w:t>
            </w:r>
          </w:p>
        </w:tc>
        <w:tc>
          <w:tcPr>
            <w:tcW w:type="dxa" w:w="2880"/>
          </w:tcPr>
          <w:p>
            <w:r>
              <w:t>44,830</w:t>
            </w:r>
          </w:p>
        </w:tc>
        <w:tc>
          <w:tcPr>
            <w:tcW w:type="dxa" w:w="2880"/>
          </w:tcPr>
          <w:p>
            <w:r>
              <w:t>60,006</w:t>
            </w:r>
          </w:p>
        </w:tc>
      </w:tr>
      <w:tr>
        <w:tc>
          <w:tcPr>
            <w:tcW w:type="dxa" w:w="2880"/>
          </w:tcPr>
          <w:p>
            <w:r>
              <w:t>Outstanding at the end of the year</w:t>
            </w:r>
          </w:p>
        </w:tc>
        <w:tc>
          <w:tcPr>
            <w:tcW w:type="dxa" w:w="2880"/>
          </w:tcPr>
          <w:p>
            <w:r>
              <w:t>359,103</w:t>
            </w:r>
          </w:p>
        </w:tc>
        <w:tc>
          <w:tcPr>
            <w:tcW w:type="dxa" w:w="2880"/>
          </w:tcPr>
          <w:p>
            <w:r>
              <w:t>373,733</w:t>
            </w:r>
          </w:p>
        </w:tc>
      </w:tr>
      <w:tr>
        <w:tc>
          <w:tcPr>
            <w:tcW w:type="dxa" w:w="2880"/>
          </w:tcPr>
          <w:p>
            <w:r>
              <w:t>Options exercisable at the end of the year</w:t>
            </w:r>
          </w:p>
        </w:tc>
        <w:tc>
          <w:tcPr>
            <w:tcW w:type="dxa" w:w="2880"/>
          </w:tcPr>
          <w:p>
            <w:r>
              <w:t>242,345</w:t>
            </w:r>
          </w:p>
        </w:tc>
        <w:tc>
          <w:tcPr>
            <w:tcW w:type="dxa" w:w="2880"/>
          </w:tcPr>
          <w:p>
            <w:r>
              <w:t>247,303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