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Corporate Overview Board &amp; Management Reports Financial Statements</w:t>
      </w:r>
    </w:p>
    <w:p>
      <w:r>
        <w:t>Dabur</w:t>
      </w:r>
    </w:p>
    <w:p>
      <w:r>
        <w:t>8. In preparing the financial statements, the Board of</w:t>
      </w:r>
    </w:p>
    <w:p>
      <w:r>
        <w:t>Directors are responsible for assessing the Company's</w:t>
      </w:r>
    </w:p>
    <w:p>
      <w:r>
        <w:t>ability to continue as a going concem, disclosing, as</w:t>
      </w:r>
    </w:p>
    <w:p>
      <w:r>
        <w:t>applicable, matters related to going concern and using</w:t>
      </w:r>
    </w:p>
    <w:p>
      <w:r>
        <w:t>the going concern basis of accounting unless the Board of</w:t>
      </w:r>
    </w:p>
    <w:p>
      <w:r>
        <w:t>Directors either intend to liquidate the Company or to cease</w:t>
      </w:r>
    </w:p>
    <w:p>
      <w:r>
        <w:t>operations, or has no realistic alternative but to do so.</w:t>
      </w:r>
    </w:p>
    <w:p>
      <w:r>
        <w:t>9. Those Board of Directors are also responsible for</w:t>
      </w:r>
    </w:p>
    <w:p>
      <w:r>
        <w:t>overseeing the Company's financial reporting process.</w:t>
      </w:r>
    </w:p>
    <w:p>
      <w:r>
        <w:t>Auditor's Responsibilities for the Audit of the Standalone</w:t>
      </w:r>
    </w:p>
    <w:p>
      <w:r>
        <w:t>Financial Statements</w:t>
      </w:r>
    </w:p>
    <w:p>
      <w:r>
        <w:t>10. Our objectives are to obtain reasonable assurance</w:t>
      </w:r>
    </w:p>
    <w:p>
      <w:r>
        <w:t>about whether the standalone financial statements as</w:t>
      </w:r>
    </w:p>
    <w:p>
      <w:r>
        <w:t>a whole are free from material misstatement, whether</w:t>
      </w:r>
    </w:p>
    <w:p>
      <w:r>
        <w:t>due to fraud or error, and to issue an auditor's report</w:t>
      </w:r>
    </w:p>
    <w:p>
      <w:r>
        <w:t>that includes our opinion. Reasonable assurance is</w:t>
      </w:r>
    </w:p>
    <w:p>
      <w:r>
        <w:t>a high level of assurance, but is not a guarantee that</w:t>
      </w:r>
    </w:p>
    <w:p>
      <w:r>
        <w:t>an audit conducted in accordance with Standards on</w:t>
      </w:r>
    </w:p>
    <w:p>
      <w:r>
        <w:t>Auditing will always detect a material misstatement</w:t>
      </w:r>
    </w:p>
    <w:p>
      <w:r>
        <w:t>when it exists. Misstatements can arise from fraud or</w:t>
      </w:r>
    </w:p>
    <w:p>
      <w:r>
        <w:t>error and are considered material if, individually or in</w:t>
      </w:r>
    </w:p>
    <w:p>
      <w:r>
        <w:t>the aggregate, they could reasonably be expected to</w:t>
      </w:r>
    </w:p>
    <w:p>
      <w:r>
        <w:t>influence the economic decisions of users taken on the</w:t>
      </w:r>
    </w:p>
    <w:p>
      <w:r>
        <w:t>basis of these standalone financial statements.</w:t>
      </w:r>
    </w:p>
    <w:p>
      <w:r>
        <w:t>11. As part of an audit in accordance with Standards on</w:t>
      </w:r>
    </w:p>
    <w:p>
      <w:r>
        <w:t>Auditing, specified under section 143(10) of the Act</w:t>
      </w:r>
    </w:p>
    <w:p>
      <w:r>
        <w:t>we exercise professional judgment and maintain</w:t>
      </w:r>
    </w:p>
    <w:p>
      <w:r>
        <w:t>professional skepticism throughout the audit. We also:</w:t>
      </w:r>
    </w:p>
    <w:p>
      <w:r>
        <w:t>. Identify and assess the risks of material misstatement</w:t>
      </w:r>
    </w:p>
    <w:p>
      <w:r>
        <w:t>of the financial statements, whether due to fraud</w:t>
      </w:r>
    </w:p>
    <w:p>
      <w:r>
        <w:t>or error, design and perform audit procedures</w:t>
      </w:r>
    </w:p>
    <w:p>
      <w:r>
        <w:t>responsive to those risks, and obtain audit evidence</w:t>
      </w:r>
    </w:p>
    <w:p>
      <w:r>
        <w:t>that is sufficient and appropriate to provide a basis</w:t>
      </w:r>
    </w:p>
    <w:p>
      <w:r>
        <w:t>for our opinion. The risk of not detecting a material</w:t>
      </w:r>
    </w:p>
    <w:p>
      <w:r>
        <w:t>misstatement resulting from fraud is higher than for one</w:t>
      </w:r>
    </w:p>
    <w:p>
      <w:r>
        <w:t>resulting from error, as fraud may involve collusion,</w:t>
      </w:r>
    </w:p>
    <w:p>
      <w:r>
        <w:t>forgery, intentional omissions, misrepresentations, or</w:t>
      </w:r>
    </w:p>
    <w:p>
      <w:r>
        <w:t>the override of internal control;</w:t>
      </w:r>
    </w:p>
    <w:p>
      <w:r>
        <w:t>. Obtain an understanding of internal control relevant</w:t>
      </w:r>
    </w:p>
    <w:p>
      <w:r>
        <w:t>to the audit in order to design audit procedures</w:t>
      </w:r>
    </w:p>
    <w:p>
      <w:r>
        <w:t>that are appropriate in the circumstances. Under</w:t>
      </w:r>
    </w:p>
    <w:p>
      <w:r>
        <w:t>section 143(3)(i) of the Act we are also responsible</w:t>
      </w:r>
    </w:p>
    <w:p>
      <w:r>
        <w:t>for expressing our opinion on whether the Company</w:t>
      </w:r>
    </w:p>
    <w:p>
      <w:r>
        <w:t>has adequate internal financial controls system with</w:t>
      </w:r>
    </w:p>
    <w:p>
      <w:r>
        <w:t>reference to financial statements in place and the</w:t>
      </w:r>
    </w:p>
    <w:p>
      <w:r>
        <w:t>operating effectiveness of such controls;</w:t>
      </w:r>
    </w:p>
    <w:p>
      <w:r>
        <w:t>. Evaluate the appropriateness of accounting policies</w:t>
      </w:r>
    </w:p>
    <w:p>
      <w:r>
        <w:t>used and the reasonableness of accounting estimates</w:t>
      </w:r>
    </w:p>
    <w:p>
      <w:r>
        <w:t>and related disclosures made by management;</w:t>
      </w:r>
    </w:p>
    <w:p>
      <w:r>
        <w:t>. Conclude on the appropriateness of Board of</w:t>
      </w:r>
    </w:p>
    <w:p>
      <w:r>
        <w:t>Directors' use of the going concem basis of accounting</w:t>
      </w:r>
    </w:p>
    <w:p>
      <w:r>
        <w:t>and, based on the audit evidence obtained, whether</w:t>
      </w:r>
    </w:p>
    <w:p>
      <w:r>
        <w:t>a material uncertainty exists related to events or</w:t>
      </w:r>
    </w:p>
    <w:p>
      <w:r>
        <w:t>conditions that may cast significant doubt on the</w:t>
      </w:r>
    </w:p>
    <w:p>
      <w:r>
        <w:t>Company's ability to continue as a going concem.</w:t>
      </w:r>
    </w:p>
    <w:p>
      <w:r>
        <w:t>If we conclude that a material uncertainty exists, we</w:t>
      </w:r>
    </w:p>
    <w:p>
      <w:r>
        <w:t>are required to draw attention in our auditor's report</w:t>
      </w:r>
    </w:p>
    <w:p>
      <w:r>
        <w:t>to the related disclosures in the financial statements</w:t>
      </w:r>
    </w:p>
    <w:p>
      <w:r>
        <w:t>or, if such disclosures are inadequate, to modify our</w:t>
      </w:r>
    </w:p>
    <w:p>
      <w:r>
        <w:t>opinion. Our conclusions are based on the audit</w:t>
      </w:r>
    </w:p>
    <w:p>
      <w:r>
        <w:t>evidence obtained up to the date of our auditor's</w:t>
      </w:r>
    </w:p>
    <w:p>
      <w:r>
        <w:t>report. However, future events or conditions may</w:t>
      </w:r>
    </w:p>
    <w:p>
      <w:r>
        <w:t>cause the Company to cease to continue as a going</w:t>
      </w:r>
    </w:p>
    <w:p>
      <w:r>
        <w:t>concern; and</w:t>
      </w:r>
    </w:p>
    <w:p>
      <w:r>
        <w:t>. Evaluate the overall presentation, structure and</w:t>
      </w:r>
    </w:p>
    <w:p>
      <w:r>
        <w:t>content of the financial statements, including the</w:t>
      </w:r>
    </w:p>
    <w:p>
      <w:r>
        <w:t>disclosures, and whether the financial statements</w:t>
      </w:r>
    </w:p>
    <w:p>
      <w:r>
        <w:t>represent the underlying transactions and events in</w:t>
      </w:r>
    </w:p>
    <w:p>
      <w:r>
        <w:t>a manner that achieves fair presentation.</w:t>
      </w:r>
    </w:p>
    <w:p>
      <w:r>
        <w:t>12. Materiality is the magnitude of misstatements in the</w:t>
      </w:r>
    </w:p>
    <w:p>
      <w:r>
        <w:t>standalone financial statements that, individually or</w:t>
      </w:r>
    </w:p>
    <w:p>
      <w:r>
        <w:t>in aggregate, makes it probable that the economic</w:t>
      </w:r>
    </w:p>
    <w:p>
      <w:r>
        <w:t>decisions of a reasonably knowledgeable user of the</w:t>
      </w:r>
    </w:p>
    <w:p>
      <w:r>
        <w:t>standalone financial statements may be influenced.</w:t>
      </w:r>
    </w:p>
    <w:p>
      <w:r>
        <w:t>We consider quantitative materiality and qualitative</w:t>
      </w:r>
    </w:p>
    <w:p>
      <w:r>
        <w:t>factors in (i) planning the scope of our audit work</w:t>
      </w:r>
    </w:p>
    <w:p>
      <w:r>
        <w:t>and in evaluating the results of our work; and (ii) to</w:t>
      </w:r>
    </w:p>
    <w:p>
      <w:r>
        <w:t>evaluate the effect of any identified misstatements in</w:t>
      </w:r>
    </w:p>
    <w:p>
      <w:r>
        <w:t>the standalone financial statements.</w:t>
      </w:r>
    </w:p>
    <w:p>
      <w:r>
        <w:t>13. We communicate with those charged with governance</w:t>
      </w:r>
    </w:p>
    <w:p>
      <w:r>
        <w:t>regarding, among other matters, the planned scope</w:t>
      </w:r>
    </w:p>
    <w:p>
      <w:r>
        <w:t>and timing of the audit and significant audit findings,</w:t>
      </w:r>
    </w:p>
    <w:p>
      <w:r>
        <w:t>including any significant deficiencies in internal control</w:t>
      </w:r>
    </w:p>
    <w:p>
      <w:r>
        <w:t>that we identify during our audit.</w:t>
      </w:r>
    </w:p>
    <w:p>
      <w:r>
        <w:t>14. We also provide those charged with govemance</w:t>
      </w:r>
    </w:p>
    <w:p>
      <w:r>
        <w:t>with a statement that we have complied with relevant</w:t>
      </w:r>
    </w:p>
    <w:p>
      <w:r>
        <w:t>ethical requirements regarding independence, and</w:t>
      </w:r>
    </w:p>
    <w:p>
      <w:r>
        <w:t>to communicate with them all relationships and other</w:t>
      </w:r>
    </w:p>
    <w:p>
      <w:r>
        <w:t>matters that may reasonably be thought to bear on</w:t>
      </w:r>
    </w:p>
    <w:p>
      <w:r>
        <w:t>our independence, and where applicable, related</w:t>
      </w:r>
    </w:p>
    <w:p>
      <w:r>
        <w:t>safeguards.</w:t>
      </w:r>
    </w:p>
    <w:p>
      <w:r>
        <w:t>15. From the matters communicated with those charged</w:t>
      </w:r>
    </w:p>
    <w:p>
      <w:r>
        <w:t>with governance, we determine those matters that</w:t>
      </w:r>
    </w:p>
    <w:p>
      <w:r>
        <w:t>were of most significance in the audit of the standalone</w:t>
      </w:r>
    </w:p>
    <w:p>
      <w:r>
        <w:t>financial statements of the current period and are</w:t>
      </w:r>
    </w:p>
    <w:p>
      <w:r>
        <w:t>therefore the key audit matters. We describe these</w:t>
      </w:r>
    </w:p>
    <w:p>
      <w:r>
        <w:t>matters in our auditor's report unless law or regulation</w:t>
      </w:r>
    </w:p>
    <w:p>
      <w:r>
        <w:t>precludes public disclosure about the matter or when,</w:t>
      </w:r>
    </w:p>
    <w:p>
      <w:r>
        <w:t>INTEGRATED ANNUAL REPORT 2022-23</w:t>
      </w:r>
    </w:p>
    <w:p>
      <w:r>
        <w:t>261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