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er"/>
      </w:pPr>
      <w:r>
        <w:t>DABUR INDIA LIMITED</w:t>
      </w:r>
    </w:p>
    <w:p>
      <w:pPr>
        <w:pStyle w:val="Header"/>
      </w:pPr>
      <w:r>
        <w:t>Corporate Overview Board &amp; Management Reports Financial Statements</w:t>
      </w:r>
    </w:p>
    <w:p>
      <w:pPr>
        <w:pStyle w:val="Heading1"/>
      </w:pPr>
      <w:r>
        <w:t>Summary of significant accounting policies and other explanatory information for the year ended 31 March 2023</w:t>
      </w:r>
    </w:p>
    <w:p>
      <w:pPr>
        <w:pStyle w:val="Heading2"/>
      </w:pPr>
      <w:r>
        <w:t>1. COMPANY INFORMATION</w:t>
      </w:r>
    </w:p>
    <w:p>
      <w:r>
        <w:t>Dabur India Limited (the 'Company') is a domestic public limited Company with registered office situated at 8/3, Asaf All Road, New Delhi - 110002 and is listed on the Bombay Stock Exchange Limited (BSE) and National Stock Exchange of India (NSE). The Company is one of the leading fast moving consumer goods (FMCG) players dealing in consumer care and food products. It has manufacturing facilities across the length and breadth of the country and research and development center in Sahibabad, U.P and selling arrangements primarily in India through independent distributors. However, most of the institutional sales are handled directly by the Company.</w:t>
      </w:r>
    </w:p>
    <w:p>
      <w:pPr>
        <w:pStyle w:val="Heading2"/>
      </w:pPr>
      <w:r>
        <w:t>2. GENERAL INFORMATION AND STATEMENT OF COMPLIANCE WITH IND AS</w:t>
      </w:r>
    </w:p>
    <w:p>
      <w:r>
        <w:t>These standalone financial statements ('financial statements') of the Company have been prepared in accordance with the accounting principles generally accepted in India, including the Indian Accounting Standards ('Ind AS') specified under Section 133 of the Companies Act, 2013 ('the Act') and other relevant provisions of the Act. The Company has uniformly applied the accounting policies during the periods presented.</w:t>
      </w:r>
    </w:p>
    <w:p>
      <w:r>
        <w:t>The financial statements are presented in Indian Rupees ('%') which is also the functional currency of the Company.</w:t>
      </w:r>
    </w:p>
    <w:p>
      <w:r>
        <w:t>The financial statements for the year ended 31 March 2023 were authorized and approved for issue by the Board of Directors on 04 May 2023. The revision to the financial statements is permitted by the Board of Directors after obtaining necessary approvals or at the instance of regulatory authorities as per provisions of the Act.</w:t>
      </w:r>
    </w:p>
    <w:p>
      <w:pPr>
        <w:pStyle w:val="Heading2"/>
      </w:pPr>
      <w:r>
        <w:t>3. BASIS OF PREPARATION</w:t>
      </w:r>
    </w:p>
    <w:p>
      <w:r>
        <w:t>The financial statements have been prepared on going concem basis in accordance with accounting principles generally accepted in India. Further, the financial statements have been prepared on historical cost basis except for certain financial assets and financial liabilities and share based payments which are measured at fair values as explained in relevant accounting policies.</w:t>
      </w:r>
    </w:p>
    <w:p>
      <w:r>
        <w:t>Amount in the financial statements are presented in ₹ crores, unless otherwise stated. Certain amounts that are required to be disclosed and do not appear due to rounding-off are expressed as 0.00.</w:t>
      </w:r>
    </w:p>
    <w:p>
      <w:pPr>
        <w:pStyle w:val="Heading2"/>
      </w:pPr>
      <w:r>
        <w:t>4. RECENT ACCOUNTING PRONOUNCEMENTS ISSUED BUT NOT MADE EFFECTIVE</w:t>
      </w:r>
    </w:p>
    <w:p>
      <w:r>
        <w:t>Ministry of Corporate Affairs ("MCA") notifies new standard or amendments to the existing standards under Companies (Indian Accounting Standards) Rules as issued from time to time. On March 31, 2023, MCA amended the Companies (Indian Accounting Standards) Rules, 2015 by issuing the Companies (Indian Accounting Standards) Amendment Rules, 2023, applicable from April 1, 2023, as below:</w:t>
      </w:r>
    </w:p>
    <w:p>
      <w:pPr>
        <w:pStyle w:val="Heading2"/>
      </w:pPr>
      <w:r>
        <w:t>Ind AS 1 - Presentation of Financial Statements</w:t>
      </w:r>
    </w:p>
    <w:p>
      <w:r>
        <w:t>The amendments require companies to disclose their material accounting policies rather than their significant accounting policies. Accounting policy information, together with other information, is material when it can reasonably be expected to influence decisions of primary users of general purpose financial statements. The Company does not expect this amendment to have any significant impact in its financial statements.</w:t>
      </w:r>
    </w:p>
    <w:p>
      <w:pPr>
        <w:pStyle w:val="Heading2"/>
      </w:pPr>
      <w:r>
        <w:t>Ind AS 12 - Income Taxes</w:t>
      </w:r>
    </w:p>
    <w:p>
      <w:r>
        <w:t>The amendments clarify how companies account for deferred tax on transactions such as leases and decommissioning obligations. The amendments narrowed the scope of the recognition exemption in paragraphs 15 and 24 of Ind AS 12 (recognition exemption) so that it no longer applies to transactions that, on initial recognition, give rise to equal taxable and deductible temporary differences. The Company is evaluating the impact, if any, in its financial statements.</w:t>
      </w:r>
    </w:p>
    <w:p>
      <w:pPr>
        <w:pStyle w:val="Heading2"/>
      </w:pPr>
      <w:r>
        <w:t>Ind AS 8 - Accounting Policies, Changes In Accounting Estimates and Errors</w:t>
      </w:r>
    </w:p>
    <w:p>
      <w:r>
        <w:t>The amendments will help entities to distinguish between accounting policies and accounting estimates. The definition of a change in accounting estimates has been replaced with a definition of accounting estimates. Under the new definition, accounting estimates are</w:t>
      </w:r>
    </w:p>
    <w:p>
      <w:pPr>
        <w:pStyle w:val="Footer"/>
      </w:pPr>
      <w:r>
        <w:t>INTEGRATED ANNUAL REPORT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