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Corporate Overview Board &amp; Management Reports Financial Statements</w:t>
      </w:r>
    </w:p>
    <w:p>
      <w:r>
        <w:t>Foreign currency monetary items outstanding at the balance sheet date are converted to functional currency using the closing rate. Non-monetary items denominated in a foreign currency which are carried at historical cost are reported using the exchange rate at the date of the transactions.</w:t>
      </w:r>
    </w:p>
    <w:p>
      <w:r>
        <w:t>Exchange differences arising on monetary items on settlement, or restatement as at reporting date, at rates different from those at which they were initially recorded, are recognized in the Standalone Statement of Profit and Loss in the year in which they arise.</w:t>
      </w:r>
    </w:p>
    <w:p>
      <w:pPr>
        <w:pStyle w:val="Heading2"/>
      </w:pPr>
      <w:r>
        <w:t>r. Share based payments - Employee Stock Option Scheme ('ESOP'):</w:t>
      </w:r>
    </w:p>
    <w:p>
      <w:r>
        <w:t>The fair value of options granted under Employee Stock Option Plan is recognized as an employee benefits expense with a corresponding increase in equity. The total amount to be expensed is determined by reference to the fair value of the options. The total expense is recognized over the vesting period, which is the period over which all of the specified vesting conditions are to be satisfied. At the end of each period, the entity revises its estimates of the number of options that are expected to vest based on the non- market vesting and service conditions. It recognizes the impact of the revision to original estimates, if any, in profit or loss, with a corresponding adjustment to equity. Upon exercise of share options, the proceeds received are allocated to share capital up to the par value of the shares issued with any excess being recorded as share premium.</w:t>
      </w:r>
    </w:p>
    <w:p>
      <w:pPr>
        <w:pStyle w:val="Heading2"/>
      </w:pPr>
      <w:r>
        <w:t>s. Operating segments:</w:t>
      </w:r>
    </w:p>
    <w:p>
      <w:r>
        <w:t>Operating segments are reported in a manner consistent with the intemal reporting provided to the Chief Operating Decision Maker ('CODM') of the Company. The CODM is responsible for allocating resources and assessing performance of the operating segments of the Company.</w:t>
      </w:r>
    </w:p>
    <w:p>
      <w:pPr>
        <w:pStyle w:val="Heading2"/>
      </w:pPr>
      <w:r>
        <w:t>t. Earnings per share:</w:t>
      </w:r>
    </w:p>
    <w:p>
      <w:r>
        <w:t>Basic earnings per share are calculated by dividing the net profit for the period attributable to equity shareholders by the weighted average number of equity shares outstanding during the period.</w:t>
      </w:r>
    </w:p>
    <w:p>
      <w:r>
        <w:t>For the purpose of calculating diluted earnings per share, the net profit for the period attributed to equity shareholders and the weighted average number of shares outstanding during the period is adjusted for the effects of all potentially dilutive equity shares.</w:t>
      </w:r>
    </w:p>
    <w:p>
      <w:r>
        <w:t>Dabur</w:t>
      </w:r>
    </w:p>
    <w:p>
      <w:r>
        <w:t>u. Research and development: Expenditure on research is recognized as an expense when it is incurred. Expenditure on development which does not meet the criteria for recognition as an intangible asset is recognized as an expense when it is incurred.</w:t>
      </w:r>
    </w:p>
    <w:p>
      <w:r>
        <w:t>Items of property, plant and equipment and acquired intangible assets utilized for research and development are capitalized and depreciated / amortized in accordance with the policies stated for Property, Plant and Equipment and Intangible Assets.</w:t>
      </w:r>
    </w:p>
    <w:p>
      <w:pPr>
        <w:pStyle w:val="Heading2"/>
      </w:pPr>
      <w:r>
        <w:t>v. Borrowing cost:</w:t>
      </w:r>
    </w:p>
    <w:p>
      <w:r>
        <w:t>Borrowing cost consists of interest and other costs incurred in connection with the borrowing of funds and also include exchange differences to the extent regarded as an adjustment to the same. Borrowing costs directly attributable to the acquisition and/ or construction of a qualifying asset are capitalized during the period of time that is necessary to complete and prepare the asset for its intended use or sale. A qualifying asset is one that necessarily takes substantial period of time to get ready for its intended use. All other borrowing costs are charged to the Standalone Statement of Profit and Loss as incurred.</w:t>
      </w:r>
    </w:p>
    <w:p>
      <w:pPr>
        <w:pStyle w:val="Heading2"/>
      </w:pPr>
      <w:r>
        <w:t>w. Cash and cash equivalents:</w:t>
      </w:r>
    </w:p>
    <w:p>
      <w:r>
        <w:t>For the purpose of the Standalone Statement of Cash Flows, cash and cash equivalents consist of cash and cheques in hand, bank balances, demand deposits with banks where the original maturity is three months or less and other short-term highly liquid investments net of outstanding bank overdrafts and cash credit facilities as they are considered an integral part of the Company's cash management.</w:t>
      </w:r>
    </w:p>
    <w:p>
      <w:r>
        <w:t>x. Significant management judgement in applying accounting policies and estimation uncertainty:</w:t>
      </w:r>
    </w:p>
    <w:p>
      <w:r>
        <w:t>The preparation of the Company's financial statements requires the management to make judgements, estimates and assumptions that affect the reported amounts of revenues, expenses, assets and liabilities, and the accompanying disclosures, and the disclosure of contingent liabilities:</w:t>
      </w:r>
    </w:p>
    <w:p>
      <w:r>
        <w:t>. Evaluation of indicators for impairment of assets The evaluation of applicability of indicators of impairment of assets requires, the management to make an assessment of several external and intemal factors which could result in deterioration of recoverable amount of the assets.</w:t>
      </w:r>
    </w:p>
    <w:p>
      <w:pPr>
        <w:pStyle w:val="Footer"/>
      </w:pPr>
      <w:r>
        <w:t>INTEGRATED ANNUAL REPORT 2022-23</w:t>
      </w:r>
    </w:p>
    <w:p>
      <w:pPr>
        <w:pStyle w:val="Footer"/>
      </w:pPr>
      <w:r>
        <w:t>285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