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Corporate Overview Board &amp; Management Reports Financial Statements</w:t>
      </w:r>
    </w:p>
    <w:p>
      <w:r>
        <w:t>recorded in writing or otherwise, that the Company shall, whether directly or indirectly, lend or invest in other persons or entities identified in any manner whatsoever by or on behalf of the Funding Party ('Ultimate Beneficiaries') or provide any guarantee, security or the like on behalf of the Ultimate Beneficiaries; and</w:t>
      </w:r>
    </w:p>
    <w:p>
      <w:r>
        <w:t>iv. (c) Based on such audit procedures performed as considered reasonable and appropriate in the circumstances, nothing has come to our notice that has caused us to believe that the management representations under sub-clauses (a) and (b) above contain any material misstatement.</w:t>
      </w:r>
    </w:p>
    <w:p>
      <w:r>
        <w:t>v. The final dividend paid by the Company during the year ended 31 March 2023 in respect of such dividend declared for the previous year is in accordance with section 123 of the Act, as applicable. Further, the interim dividend declared and paid by the Company during the year ended 31 March 2023 and until the date of this audit report is in compliance with section 123 of the Act. Further, as stated in note 45 to the accompanying standalone</w:t>
      </w:r>
    </w:p>
    <w:p>
      <w:r>
        <w:t>Dabur</w:t>
      </w:r>
    </w:p>
    <w:p>
      <w:r>
        <w:t>financial statements, the Board of Directors of the Company have proposed final dividend for the year ended 31 March 2023 which is subject to the approval of the members at the ensuing Annual General Meeting. The dividend declared is in accordance with section 123 of the Act, as applicable</w:t>
      </w:r>
    </w:p>
    <w:p>
      <w:r>
        <w:t>vi. Since requirement of maintenance of accounting software which has a feature of audit trail under Rule 3 of the Companies (Accounts) Rules, 2014 has been deferred from financial year commencing from 01 April 2022 to financial year commencing from 01 April 2023, reporting under Rule 11(g) of Companies (Audit and Auditors) Rules, 2014 is not applicable for the financial year ended 31 March 2023.</w:t>
      </w:r>
    </w:p>
    <w:p>
      <w:r>
        <w:t>For G Basu &amp; Co Chartered Accountants Firm's Registration No: 301174E Subroto Lahiri Partner Membership No .: 051717 UDIN: 23051717BGYYFE5957</w:t>
      </w:r>
    </w:p>
    <w:p>
      <w:r>
        <w:t>Place : New Delhi Date : 04 May 2023</w:t>
      </w:r>
    </w:p>
    <w:p>
      <w:pPr>
        <w:pStyle w:val="Footer"/>
      </w:pPr>
      <w:r>
        <w:t>INTEGRATED ANNUAL REPORT 2022-23</w:t>
      </w:r>
    </w:p>
    <w:p>
      <w:r>
        <w:t>263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