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FDA2C6" w14:textId="77777777" w:rsidR="004E4B58" w:rsidRPr="004E4B58" w:rsidRDefault="004E4B58" w:rsidP="004E4B58">
      <w:pPr>
        <w:rPr>
          <w:b/>
          <w:bCs/>
        </w:rPr>
      </w:pPr>
      <w:r w:rsidRPr="004E4B58">
        <w:rPr>
          <w:b/>
          <w:bCs/>
        </w:rPr>
        <w:t>Global Spend Analysis page</w:t>
      </w:r>
    </w:p>
    <w:p w14:paraId="225A73B4" w14:textId="77777777" w:rsidR="004E4B58" w:rsidRPr="004E4B58" w:rsidRDefault="004E4B58" w:rsidP="004E4B58">
      <w:pPr>
        <w:rPr>
          <w:b/>
          <w:bCs/>
        </w:rPr>
      </w:pPr>
      <w:r w:rsidRPr="004E4B58">
        <w:rPr>
          <w:b/>
          <w:bCs/>
        </w:rPr>
        <w:t>Layout and zones</w:t>
      </w:r>
    </w:p>
    <w:p w14:paraId="031577D7" w14:textId="77777777" w:rsidR="004E4B58" w:rsidRPr="004E4B58" w:rsidRDefault="004E4B58" w:rsidP="004E4B58">
      <w:pPr>
        <w:numPr>
          <w:ilvl w:val="0"/>
          <w:numId w:val="1"/>
        </w:numPr>
      </w:pPr>
      <w:r w:rsidRPr="004E4B58">
        <w:t>Top header and filters</w:t>
      </w:r>
    </w:p>
    <w:p w14:paraId="69A33677" w14:textId="77777777" w:rsidR="004E4B58" w:rsidRPr="004E4B58" w:rsidRDefault="004E4B58" w:rsidP="004E4B58">
      <w:pPr>
        <w:numPr>
          <w:ilvl w:val="1"/>
          <w:numId w:val="1"/>
        </w:numPr>
      </w:pPr>
      <w:r w:rsidRPr="004E4B58">
        <w:t>Title: “Global Spend Analysis”.</w:t>
      </w:r>
    </w:p>
    <w:p w14:paraId="356D5863" w14:textId="77777777" w:rsidR="004E4B58" w:rsidRPr="004E4B58" w:rsidRDefault="004E4B58" w:rsidP="004E4B58">
      <w:pPr>
        <w:numPr>
          <w:ilvl w:val="1"/>
          <w:numId w:val="1"/>
        </w:numPr>
      </w:pPr>
      <w:r w:rsidRPr="004E4B58">
        <w:t>Subtitle: “From 01</w:t>
      </w:r>
      <w:r w:rsidRPr="004E4B58">
        <w:noBreakHyphen/>
        <w:t>Jan</w:t>
      </w:r>
      <w:r w:rsidRPr="004E4B58">
        <w:noBreakHyphen/>
        <w:t>2000 to 23</w:t>
      </w:r>
      <w:r w:rsidRPr="004E4B58">
        <w:noBreakHyphen/>
        <w:t>Jan</w:t>
      </w:r>
      <w:r w:rsidRPr="004E4B58">
        <w:noBreakHyphen/>
        <w:t>2026 – quotation</w:t>
      </w:r>
      <w:r w:rsidRPr="004E4B58">
        <w:noBreakHyphen/>
        <w:t>linked POs”.</w:t>
      </w:r>
    </w:p>
    <w:p w14:paraId="3EE4A0B0" w14:textId="77777777" w:rsidR="004E4B58" w:rsidRPr="004E4B58" w:rsidRDefault="004E4B58" w:rsidP="004E4B58">
      <w:pPr>
        <w:numPr>
          <w:ilvl w:val="1"/>
          <w:numId w:val="1"/>
        </w:numPr>
      </w:pPr>
      <w:r w:rsidRPr="004E4B58">
        <w:t>Last refresh date and logo on the right.</w:t>
      </w:r>
    </w:p>
    <w:p w14:paraId="63F547CB" w14:textId="77777777" w:rsidR="004E4B58" w:rsidRPr="004E4B58" w:rsidRDefault="004E4B58" w:rsidP="004E4B58">
      <w:pPr>
        <w:numPr>
          <w:ilvl w:val="1"/>
          <w:numId w:val="1"/>
        </w:numPr>
      </w:pPr>
      <w:r w:rsidRPr="004E4B58">
        <w:t>Two tiers of slicers:</w:t>
      </w:r>
    </w:p>
    <w:p w14:paraId="53D01801" w14:textId="77777777" w:rsidR="004E4B58" w:rsidRPr="004E4B58" w:rsidRDefault="004E4B58" w:rsidP="004E4B58">
      <w:pPr>
        <w:numPr>
          <w:ilvl w:val="2"/>
          <w:numId w:val="1"/>
        </w:numPr>
      </w:pPr>
      <w:r w:rsidRPr="004E4B58">
        <w:t>Tier 1 (top row): Entity Name, Supplier Name, Project Name (multi</w:t>
      </w:r>
      <w:r w:rsidRPr="004E4B58">
        <w:noBreakHyphen/>
        <w:t>select), Year, PO Placement Date (between), PO Number.</w:t>
      </w:r>
    </w:p>
    <w:p w14:paraId="7135AF5C" w14:textId="77777777" w:rsidR="004E4B58" w:rsidRPr="004E4B58" w:rsidRDefault="004E4B58" w:rsidP="004E4B58">
      <w:pPr>
        <w:numPr>
          <w:ilvl w:val="2"/>
          <w:numId w:val="1"/>
        </w:numPr>
      </w:pPr>
      <w:r w:rsidRPr="004E4B58">
        <w:t>Tier 2 (below): Material Type, Discipline, Quotation Type (IQ vs RFQ), New PO vs Change Order, Currency (with USD conversion info).</w:t>
      </w:r>
    </w:p>
    <w:p w14:paraId="339543D3" w14:textId="77777777" w:rsidR="004E4B58" w:rsidRPr="004E4B58" w:rsidRDefault="004E4B58" w:rsidP="004E4B58">
      <w:pPr>
        <w:numPr>
          <w:ilvl w:val="0"/>
          <w:numId w:val="1"/>
        </w:numPr>
      </w:pPr>
      <w:r w:rsidRPr="004E4B58">
        <w:t>Upper KPI band (full width)</w:t>
      </w:r>
    </w:p>
    <w:p w14:paraId="0057C29C" w14:textId="77777777" w:rsidR="004E4B58" w:rsidRPr="004E4B58" w:rsidRDefault="004E4B58" w:rsidP="004E4B58">
      <w:r w:rsidRPr="004E4B58">
        <w:t>Four to six large KPI tiles, each clickable and color</w:t>
      </w:r>
      <w:r w:rsidRPr="004E4B58">
        <w:noBreakHyphen/>
        <w:t>coded:</w:t>
      </w:r>
    </w:p>
    <w:p w14:paraId="41D17CB1" w14:textId="77777777" w:rsidR="004E4B58" w:rsidRPr="004E4B58" w:rsidRDefault="004E4B58" w:rsidP="004E4B58">
      <w:pPr>
        <w:numPr>
          <w:ilvl w:val="1"/>
          <w:numId w:val="1"/>
        </w:numPr>
      </w:pPr>
      <w:r w:rsidRPr="004E4B58">
        <w:t>Total Spend (USD) – overall and filtered.</w:t>
      </w:r>
    </w:p>
    <w:p w14:paraId="1CA9579D" w14:textId="77777777" w:rsidR="004E4B58" w:rsidRPr="004E4B58" w:rsidRDefault="004E4B58" w:rsidP="004E4B58">
      <w:pPr>
        <w:numPr>
          <w:ilvl w:val="1"/>
          <w:numId w:val="1"/>
        </w:numPr>
      </w:pPr>
      <w:r w:rsidRPr="004E4B58">
        <w:t>No. of Base POs (ending with 1).</w:t>
      </w:r>
    </w:p>
    <w:p w14:paraId="2792E493" w14:textId="77777777" w:rsidR="004E4B58" w:rsidRPr="004E4B58" w:rsidRDefault="004E4B58" w:rsidP="004E4B58">
      <w:pPr>
        <w:numPr>
          <w:ilvl w:val="1"/>
          <w:numId w:val="1"/>
        </w:numPr>
      </w:pPr>
      <w:r w:rsidRPr="004E4B58">
        <w:t>No. of Change Orders (PO numbers ending with 2).</w:t>
      </w:r>
    </w:p>
    <w:p w14:paraId="49579A44" w14:textId="77777777" w:rsidR="004E4B58" w:rsidRPr="004E4B58" w:rsidRDefault="004E4B58" w:rsidP="004E4B58">
      <w:pPr>
        <w:numPr>
          <w:ilvl w:val="1"/>
          <w:numId w:val="1"/>
        </w:numPr>
      </w:pPr>
      <w:r w:rsidRPr="004E4B58">
        <w:t>No. of Suppliers used.</w:t>
      </w:r>
    </w:p>
    <w:p w14:paraId="40C60BC1" w14:textId="77777777" w:rsidR="004E4B58" w:rsidRPr="004E4B58" w:rsidRDefault="004E4B58" w:rsidP="004E4B58">
      <w:pPr>
        <w:numPr>
          <w:ilvl w:val="1"/>
          <w:numId w:val="1"/>
        </w:numPr>
      </w:pPr>
      <w:r w:rsidRPr="004E4B58">
        <w:t>No. of Projects.</w:t>
      </w:r>
    </w:p>
    <w:p w14:paraId="08BDB7EB" w14:textId="77777777" w:rsidR="004E4B58" w:rsidRPr="004E4B58" w:rsidRDefault="004E4B58" w:rsidP="004E4B58">
      <w:pPr>
        <w:numPr>
          <w:ilvl w:val="0"/>
          <w:numId w:val="1"/>
        </w:numPr>
      </w:pPr>
      <w:r w:rsidRPr="004E4B58">
        <w:t>Middle row – Trend and allocation</w:t>
      </w:r>
    </w:p>
    <w:p w14:paraId="71456CD0" w14:textId="77777777" w:rsidR="004E4B58" w:rsidRPr="004E4B58" w:rsidRDefault="004E4B58" w:rsidP="004E4B58">
      <w:pPr>
        <w:numPr>
          <w:ilvl w:val="1"/>
          <w:numId w:val="1"/>
        </w:numPr>
      </w:pPr>
      <w:r w:rsidRPr="004E4B58">
        <w:t>Left (about 60% width): Annual Spend trend (last 6+ years)</w:t>
      </w:r>
    </w:p>
    <w:p w14:paraId="0F6C5B7B" w14:textId="77777777" w:rsidR="004E4B58" w:rsidRPr="004E4B58" w:rsidRDefault="004E4B58" w:rsidP="004E4B58">
      <w:pPr>
        <w:numPr>
          <w:ilvl w:val="2"/>
          <w:numId w:val="1"/>
        </w:numPr>
      </w:pPr>
      <w:r w:rsidRPr="004E4B58">
        <w:t>Clustered column or column + running total line chart.</w:t>
      </w:r>
    </w:p>
    <w:p w14:paraId="4AFE3129" w14:textId="77777777" w:rsidR="004E4B58" w:rsidRPr="004E4B58" w:rsidRDefault="004E4B58" w:rsidP="004E4B58">
      <w:pPr>
        <w:numPr>
          <w:ilvl w:val="2"/>
          <w:numId w:val="1"/>
        </w:numPr>
      </w:pPr>
      <w:r w:rsidRPr="004E4B58">
        <w:t>X</w:t>
      </w:r>
      <w:r w:rsidRPr="004E4B58">
        <w:noBreakHyphen/>
        <w:t>axis: Year (2000–2026).</w:t>
      </w:r>
    </w:p>
    <w:p w14:paraId="14B0C392" w14:textId="77777777" w:rsidR="004E4B58" w:rsidRPr="004E4B58" w:rsidRDefault="004E4B58" w:rsidP="004E4B58">
      <w:pPr>
        <w:numPr>
          <w:ilvl w:val="2"/>
          <w:numId w:val="1"/>
        </w:numPr>
      </w:pPr>
      <w:r w:rsidRPr="004E4B58">
        <w:t>Y</w:t>
      </w:r>
      <w:r w:rsidRPr="004E4B58">
        <w:noBreakHyphen/>
        <w:t>axis: Spend in USD.</w:t>
      </w:r>
    </w:p>
    <w:p w14:paraId="5C4B6B10" w14:textId="77777777" w:rsidR="004E4B58" w:rsidRPr="004E4B58" w:rsidRDefault="004E4B58" w:rsidP="004E4B58">
      <w:pPr>
        <w:numPr>
          <w:ilvl w:val="2"/>
          <w:numId w:val="1"/>
        </w:numPr>
      </w:pPr>
      <w:r w:rsidRPr="004E4B58">
        <w:t>Legend: Base POs vs Change Orders (two colors).</w:t>
      </w:r>
    </w:p>
    <w:p w14:paraId="54573966" w14:textId="77777777" w:rsidR="004E4B58" w:rsidRPr="004E4B58" w:rsidRDefault="004E4B58" w:rsidP="004E4B58">
      <w:pPr>
        <w:numPr>
          <w:ilvl w:val="2"/>
          <w:numId w:val="1"/>
        </w:numPr>
      </w:pPr>
      <w:r w:rsidRPr="004E4B58">
        <w:t>Tooltip: Total POs count, distinct suppliers, distinct projects per year.</w:t>
      </w:r>
    </w:p>
    <w:p w14:paraId="3141F02C" w14:textId="77777777" w:rsidR="004E4B58" w:rsidRPr="004E4B58" w:rsidRDefault="004E4B58" w:rsidP="004E4B58">
      <w:pPr>
        <w:numPr>
          <w:ilvl w:val="1"/>
          <w:numId w:val="1"/>
        </w:numPr>
      </w:pPr>
      <w:r w:rsidRPr="004E4B58">
        <w:t>Right (about 40% width): Pie or donut chart</w:t>
      </w:r>
    </w:p>
    <w:p w14:paraId="49A793F6" w14:textId="77777777" w:rsidR="004E4B58" w:rsidRPr="004E4B58" w:rsidRDefault="004E4B58" w:rsidP="004E4B58">
      <w:pPr>
        <w:numPr>
          <w:ilvl w:val="2"/>
          <w:numId w:val="1"/>
        </w:numPr>
      </w:pPr>
      <w:r w:rsidRPr="004E4B58">
        <w:t>Default: Spend by Project Name.</w:t>
      </w:r>
    </w:p>
    <w:p w14:paraId="3CE42540" w14:textId="77777777" w:rsidR="004E4B58" w:rsidRPr="004E4B58" w:rsidRDefault="004E4B58" w:rsidP="004E4B58">
      <w:pPr>
        <w:numPr>
          <w:ilvl w:val="2"/>
          <w:numId w:val="1"/>
        </w:numPr>
      </w:pPr>
      <w:r w:rsidRPr="004E4B58">
        <w:lastRenderedPageBreak/>
        <w:t>Alternative toggle to switch to Spend by Entity or by Supplier Country (if later available).</w:t>
      </w:r>
    </w:p>
    <w:p w14:paraId="1775DCC6" w14:textId="77777777" w:rsidR="004E4B58" w:rsidRPr="004E4B58" w:rsidRDefault="004E4B58" w:rsidP="004E4B58">
      <w:pPr>
        <w:numPr>
          <w:ilvl w:val="0"/>
          <w:numId w:val="1"/>
        </w:numPr>
      </w:pPr>
      <w:r w:rsidRPr="004E4B58">
        <w:t>Lower row – PO table and supplier rankings</w:t>
      </w:r>
    </w:p>
    <w:p w14:paraId="1FA34736" w14:textId="77777777" w:rsidR="004E4B58" w:rsidRPr="004E4B58" w:rsidRDefault="004E4B58" w:rsidP="004E4B58">
      <w:pPr>
        <w:numPr>
          <w:ilvl w:val="1"/>
          <w:numId w:val="1"/>
        </w:numPr>
      </w:pPr>
      <w:r w:rsidRPr="004E4B58">
        <w:t>Left (about 65% width): PO Details table</w:t>
      </w:r>
    </w:p>
    <w:p w14:paraId="55EFADB2" w14:textId="77777777" w:rsidR="004E4B58" w:rsidRPr="004E4B58" w:rsidRDefault="004E4B58" w:rsidP="004E4B58">
      <w:pPr>
        <w:numPr>
          <w:ilvl w:val="2"/>
          <w:numId w:val="1"/>
        </w:numPr>
      </w:pPr>
      <w:r w:rsidRPr="004E4B58">
        <w:t>Columns: PO No, Project Name, Supplier Name, Entity, PO Placement Date, PO Type (Base vs Change), Material Type, Discipline, PO Value (USD), Currency, Status (derived from quotation status if needed).</w:t>
      </w:r>
    </w:p>
    <w:p w14:paraId="66E75FA7" w14:textId="77777777" w:rsidR="004E4B58" w:rsidRPr="004E4B58" w:rsidRDefault="004E4B58" w:rsidP="004E4B58">
      <w:pPr>
        <w:numPr>
          <w:ilvl w:val="2"/>
          <w:numId w:val="1"/>
        </w:numPr>
      </w:pPr>
      <w:r w:rsidRPr="004E4B58">
        <w:t>Conditional formatting: highlight large POs, or flag high change</w:t>
      </w:r>
      <w:r w:rsidRPr="004E4B58">
        <w:noBreakHyphen/>
        <w:t>order ratios.</w:t>
      </w:r>
    </w:p>
    <w:p w14:paraId="554D6947" w14:textId="77777777" w:rsidR="004E4B58" w:rsidRPr="004E4B58" w:rsidRDefault="004E4B58" w:rsidP="004E4B58">
      <w:pPr>
        <w:numPr>
          <w:ilvl w:val="1"/>
          <w:numId w:val="1"/>
        </w:numPr>
      </w:pPr>
      <w:r w:rsidRPr="004E4B58">
        <w:t>Right (about 35% width): Top/Bottom suppliers panel</w:t>
      </w:r>
    </w:p>
    <w:p w14:paraId="15CC99F1" w14:textId="77777777" w:rsidR="004E4B58" w:rsidRPr="004E4B58" w:rsidRDefault="004E4B58" w:rsidP="004E4B58">
      <w:pPr>
        <w:numPr>
          <w:ilvl w:val="2"/>
          <w:numId w:val="1"/>
        </w:numPr>
      </w:pPr>
      <w:r w:rsidRPr="004E4B58">
        <w:t>Top section: bar chart “Top 10 Suppliers by Spend (USD)” since 01</w:t>
      </w:r>
      <w:r w:rsidRPr="004E4B58">
        <w:noBreakHyphen/>
        <w:t>Jan</w:t>
      </w:r>
      <w:r w:rsidRPr="004E4B58">
        <w:noBreakHyphen/>
        <w:t>2000, filtered by current slicers.</w:t>
      </w:r>
    </w:p>
    <w:p w14:paraId="653A8186" w14:textId="77777777" w:rsidR="004E4B58" w:rsidRPr="004E4B58" w:rsidRDefault="004E4B58" w:rsidP="004E4B58">
      <w:pPr>
        <w:numPr>
          <w:ilvl w:val="2"/>
          <w:numId w:val="1"/>
        </w:numPr>
      </w:pPr>
      <w:r w:rsidRPr="004E4B58">
        <w:t>Bottom section: bar chart “Bottom 10 Active Suppliers by Spend” (excluding zero</w:t>
      </w:r>
      <w:r w:rsidRPr="004E4B58">
        <w:noBreakHyphen/>
        <w:t>spend).</w:t>
      </w:r>
    </w:p>
    <w:p w14:paraId="1087DCC1" w14:textId="77777777" w:rsidR="004E4B58" w:rsidRPr="004E4B58" w:rsidRDefault="004E4B58" w:rsidP="004E4B58">
      <w:pPr>
        <w:numPr>
          <w:ilvl w:val="2"/>
          <w:numId w:val="1"/>
        </w:numPr>
      </w:pPr>
      <w:r w:rsidRPr="004E4B58">
        <w:t>Bars are clickable to filter the entire page, including the annual trend and PO table.</w:t>
      </w:r>
    </w:p>
    <w:p w14:paraId="472CA13E" w14:textId="77777777" w:rsidR="004E4B58" w:rsidRPr="004E4B58" w:rsidRDefault="004E4B58" w:rsidP="004E4B58">
      <w:pPr>
        <w:rPr>
          <w:b/>
          <w:bCs/>
        </w:rPr>
      </w:pPr>
      <w:r w:rsidRPr="004E4B58">
        <w:rPr>
          <w:b/>
          <w:bCs/>
        </w:rPr>
        <w:t>Experience narrative (for someone without the visual)</w:t>
      </w:r>
    </w:p>
    <w:p w14:paraId="1632AC28" w14:textId="77777777" w:rsidR="004E4B58" w:rsidRPr="004E4B58" w:rsidRDefault="004E4B58" w:rsidP="004E4B58">
      <w:r w:rsidRPr="004E4B58">
        <w:t>When the executive opens the Global Spend Analysis page, the first impression is a wide, dashboard</w:t>
      </w:r>
      <w:r w:rsidRPr="004E4B58">
        <w:noBreakHyphen/>
        <w:t>style canvas dominated by a band of filters and big KPIs. Across the top, they see drop</w:t>
      </w:r>
      <w:r w:rsidRPr="004E4B58">
        <w:noBreakHyphen/>
        <w:t>downs to select Entity, Supplier, PO, Year, Project, and date ranges. Just below, another set of filters allows narrowing by material type, discipline, and whether the orders are new POs or change orders.</w:t>
      </w:r>
    </w:p>
    <w:p w14:paraId="31032BD6" w14:textId="77777777" w:rsidR="004E4B58" w:rsidRPr="004E4B58" w:rsidRDefault="004E4B58" w:rsidP="004E4B58">
      <w:r w:rsidRPr="004E4B58">
        <w:t>Immediately below these filters, four to six bold tiles show the key numbers: total spend in USD, how many base POs have been placed, how many change orders were issued, how many suppliers have been used, and how many projects are represented. These tiles change instantly as the executive refines the filters, providing a quick read of the purchasing footprint.</w:t>
      </w:r>
    </w:p>
    <w:p w14:paraId="61B57826" w14:textId="77777777" w:rsidR="004E4B58" w:rsidRPr="004E4B58" w:rsidRDefault="004E4B58" w:rsidP="004E4B58">
      <w:r w:rsidRPr="004E4B58">
        <w:t>The middle of the page is dominated by a large bar chart that runs left to right across the past 20+ years, from 2000 to 2026. Each bar represents one year’s spend, with the base order portion and the change</w:t>
      </w:r>
      <w:r w:rsidRPr="004E4B58">
        <w:noBreakHyphen/>
        <w:t>order portion in different colors. A thin running</w:t>
      </w:r>
      <w:r w:rsidRPr="004E4B58">
        <w:noBreakHyphen/>
        <w:t xml:space="preserve">total line overlays the bars, showing how cumulative spend grows over time. To the right of this chart, a donut chart displays what fraction of the selected spend is tied to each project; the </w:t>
      </w:r>
      <w:r w:rsidRPr="004E4B58">
        <w:lastRenderedPageBreak/>
        <w:t>biggest projects stand out as large segments, letting management spot concentration risk or strategic focus.</w:t>
      </w:r>
    </w:p>
    <w:p w14:paraId="09CF279E" w14:textId="77777777" w:rsidR="004E4B58" w:rsidRPr="004E4B58" w:rsidRDefault="004E4B58" w:rsidP="004E4B58">
      <w:r w:rsidRPr="004E4B58">
        <w:t>Below these visuals, a detailed PO table stretches across most of the page. Each row shows a single PO, with its number, project, supplier, entity, date, whether it is a base order or a change order, the related material type, discipline, and value. Executives can sort this table by value to see the largest commitments or by date to focus on recent activity. Selecting a row highlights the associated year in the trend chart and shows the supplier’s share in the donut.</w:t>
      </w:r>
    </w:p>
    <w:p w14:paraId="6B2F9BC2" w14:textId="77777777" w:rsidR="004E4B58" w:rsidRPr="004E4B58" w:rsidRDefault="004E4B58" w:rsidP="004E4B58">
      <w:r w:rsidRPr="004E4B58">
        <w:t>On the right side, a vertical ranking panel shows two bar charts stacked on top of one another. The top chart lists the ten suppliers with the highest spend since 2000, making it obvious where the company’s buying power is concentrated. The bottom chart lists the ten smallest active suppliers by spend, revealing tail spend and potential opportunities for supplier rationalization. Clicking any bar filters the whole page, so an executive can, for example, select the top supplier and see how spend has evolved by year, which projects it supports, and what proportion of that spend is change orders.</w:t>
      </w:r>
    </w:p>
    <w:p w14:paraId="65108D1C" w14:textId="77777777" w:rsidR="003B37A4" w:rsidRDefault="003B37A4"/>
    <w:sectPr w:rsidR="003B37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67574E"/>
    <w:multiLevelType w:val="multilevel"/>
    <w:tmpl w:val="2E8639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516963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3F45"/>
    <w:rsid w:val="00013F45"/>
    <w:rsid w:val="000C5592"/>
    <w:rsid w:val="003B37A4"/>
    <w:rsid w:val="004016F3"/>
    <w:rsid w:val="004C43DA"/>
    <w:rsid w:val="004E4B58"/>
    <w:rsid w:val="00586F0C"/>
    <w:rsid w:val="00DB3C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B65CB3"/>
  <w15:chartTrackingRefBased/>
  <w15:docId w15:val="{4A82C32B-A614-48D8-84BE-F70AF3A2F4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3F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3F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3F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3F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3F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3F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3F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3F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3F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3F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3F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3F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3F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3F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3F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3F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3F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3F45"/>
    <w:rPr>
      <w:rFonts w:eastAsiaTheme="majorEastAsia" w:cstheme="majorBidi"/>
      <w:color w:val="272727" w:themeColor="text1" w:themeTint="D8"/>
    </w:rPr>
  </w:style>
  <w:style w:type="paragraph" w:styleId="Title">
    <w:name w:val="Title"/>
    <w:basedOn w:val="Normal"/>
    <w:next w:val="Normal"/>
    <w:link w:val="TitleChar"/>
    <w:uiPriority w:val="10"/>
    <w:qFormat/>
    <w:rsid w:val="00013F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3F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3F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3F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3F45"/>
    <w:pPr>
      <w:spacing w:before="160"/>
      <w:jc w:val="center"/>
    </w:pPr>
    <w:rPr>
      <w:i/>
      <w:iCs/>
      <w:color w:val="404040" w:themeColor="text1" w:themeTint="BF"/>
    </w:rPr>
  </w:style>
  <w:style w:type="character" w:customStyle="1" w:styleId="QuoteChar">
    <w:name w:val="Quote Char"/>
    <w:basedOn w:val="DefaultParagraphFont"/>
    <w:link w:val="Quote"/>
    <w:uiPriority w:val="29"/>
    <w:rsid w:val="00013F45"/>
    <w:rPr>
      <w:i/>
      <w:iCs/>
      <w:color w:val="404040" w:themeColor="text1" w:themeTint="BF"/>
    </w:rPr>
  </w:style>
  <w:style w:type="paragraph" w:styleId="ListParagraph">
    <w:name w:val="List Paragraph"/>
    <w:basedOn w:val="Normal"/>
    <w:uiPriority w:val="34"/>
    <w:qFormat/>
    <w:rsid w:val="00013F45"/>
    <w:pPr>
      <w:ind w:left="720"/>
      <w:contextualSpacing/>
    </w:pPr>
  </w:style>
  <w:style w:type="character" w:styleId="IntenseEmphasis">
    <w:name w:val="Intense Emphasis"/>
    <w:basedOn w:val="DefaultParagraphFont"/>
    <w:uiPriority w:val="21"/>
    <w:qFormat/>
    <w:rsid w:val="00013F45"/>
    <w:rPr>
      <w:i/>
      <w:iCs/>
      <w:color w:val="0F4761" w:themeColor="accent1" w:themeShade="BF"/>
    </w:rPr>
  </w:style>
  <w:style w:type="paragraph" w:styleId="IntenseQuote">
    <w:name w:val="Intense Quote"/>
    <w:basedOn w:val="Normal"/>
    <w:next w:val="Normal"/>
    <w:link w:val="IntenseQuoteChar"/>
    <w:uiPriority w:val="30"/>
    <w:qFormat/>
    <w:rsid w:val="00013F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3F45"/>
    <w:rPr>
      <w:i/>
      <w:iCs/>
      <w:color w:val="0F4761" w:themeColor="accent1" w:themeShade="BF"/>
    </w:rPr>
  </w:style>
  <w:style w:type="character" w:styleId="IntenseReference">
    <w:name w:val="Intense Reference"/>
    <w:basedOn w:val="DefaultParagraphFont"/>
    <w:uiPriority w:val="32"/>
    <w:qFormat/>
    <w:rsid w:val="00013F4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650</Words>
  <Characters>3711</Characters>
  <Application>Microsoft Office Word</Application>
  <DocSecurity>0</DocSecurity>
  <Lines>30</Lines>
  <Paragraphs>8</Paragraphs>
  <ScaleCrop>false</ScaleCrop>
  <Company/>
  <LinksUpToDate>false</LinksUpToDate>
  <CharactersWithSpaces>4353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Rita Jamal</dc:creator>
  <cp:keywords/>
  <dc:description/>
  <cp:lastModifiedBy>Rita Jamal</cp:lastModifiedBy>
  <cp:revision>3</cp:revision>
  <dcterms:created xsi:type="dcterms:W3CDTF">2026-01-23T04:31:00Z</dcterms:created>
  <dcterms:modified xsi:type="dcterms:W3CDTF">2026-01-23T04:33:00Z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2026-01-23T04:32:23Z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416328e6-260f-438f-bf3c-9c4f15b6a1ca</vt:lpwstr>
  </property>
  <property fmtid="{D5CDD505-2E9C-101B-9397-08002B2CF9AE}" pid="7" name="MSIP_Label_defa4170-0d19-0005-0004-bc88714345d2_ActionId">
    <vt:lpwstr>1649bc08-2da0-41e3-957a-c6d84313f4e0</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