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PropIQ — Weaknesses, Risks &amp; Improvement Areas</w:t>
      </w:r>
    </w:p>
    <w:p>
      <w:pPr>
        <w:jc w:val="center"/>
      </w:pPr>
      <w:r>
        <w:rPr>
          <w:i/>
        </w:rPr>
        <w:t>Honest assessment of the current ERP/CRM implementation</w:t>
      </w:r>
    </w:p>
    <w:p>
      <w:r>
        <w:t>Purpose: This document consolidates the weaknesses identified during the review of the current PropIQ data model, backend structure, and public product experience. It focuses on risks and improvement areas that should be addressed before positioning the product as a production-grade ERP for Pakistani property businesses.</w:t>
      </w:r>
    </w:p>
    <w:p>
      <w:pPr>
        <w:pStyle w:val="Heading1"/>
      </w:pPr>
      <w:r>
        <w:t>1. Executive Summary</w:t>
      </w:r>
    </w:p>
    <w:p>
      <w:r>
        <w:t>The solution has a strong foundation and unusually broad property-domain coverage. The biggest weakness is not lack of modules; it is the gap between breadth and production depth. Several critical workflows, accounting invariants, security guarantees, operational UX patterns and commercial details need further hardening.</w:t>
      </w:r>
    </w:p>
    <w:p>
      <w:r>
        <w:t>The immediate priority should be to connect and validate the core lifecycle: Lead → Property → Quotation → Hold → Booking → Installments → Recovery → Receipt → Ledger → Customer Statement → Reporting/WhatsApp.</w:t>
      </w:r>
    </w:p>
    <w:p>
      <w:pPr>
        <w:pStyle w:val="Heading1"/>
      </w:pPr>
      <w:r>
        <w:t>2. Weakness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Area</w:t>
            </w:r>
          </w:p>
        </w:tc>
        <w:tc>
          <w:tcPr>
            <w:tcW w:type="dxa" w:w="2556"/>
          </w:tcPr>
          <w:p>
            <w:r>
              <w:t>Risk</w:t>
            </w:r>
          </w:p>
        </w:tc>
        <w:tc>
          <w:tcPr>
            <w:tcW w:type="dxa" w:w="2556"/>
          </w:tcPr>
          <w:p>
            <w:r>
              <w:t>Impact</w:t>
            </w:r>
          </w:p>
        </w:tc>
        <w:tc>
          <w:tcPr>
            <w:tcW w:type="dxa" w:w="2556"/>
          </w:tcPr>
          <w:p>
            <w:r>
              <w:t>Priority</w:t>
            </w:r>
          </w:p>
        </w:tc>
      </w:tr>
      <w:tr>
        <w:tc>
          <w:tcPr>
            <w:tcW w:type="dxa" w:w="2556"/>
          </w:tcPr>
          <w:p>
            <w:r>
              <w:t>Accounting integrity</w:t>
            </w:r>
          </w:p>
        </w:tc>
        <w:tc>
          <w:tcPr>
            <w:tcW w:type="dxa" w:w="2556"/>
          </w:tcPr>
          <w:p>
            <w:r>
              <w:t>High</w:t>
            </w:r>
          </w:p>
        </w:tc>
        <w:tc>
          <w:tcPr>
            <w:tcW w:type="dxa" w:w="2556"/>
          </w:tcPr>
          <w:p>
            <w:r>
              <w:t>Financial errors directly damage trust.</w:t>
            </w:r>
          </w:p>
        </w:tc>
        <w:tc>
          <w:tcPr>
            <w:tcW w:type="dxa" w:w="2556"/>
          </w:tcPr>
          <w:p>
            <w:r>
              <w:t>Critical</w:t>
            </w:r>
          </w:p>
        </w:tc>
      </w:tr>
      <w:tr>
        <w:tc>
          <w:tcPr>
            <w:tcW w:type="dxa" w:w="2556"/>
          </w:tcPr>
          <w:p>
            <w:r>
              <w:t>Multi-tenancy / isolation</w:t>
            </w:r>
          </w:p>
        </w:tc>
        <w:tc>
          <w:tcPr>
            <w:tcW w:type="dxa" w:w="2556"/>
          </w:tcPr>
          <w:p>
            <w:r>
              <w:t>High</w:t>
            </w:r>
          </w:p>
        </w:tc>
        <w:tc>
          <w:tcPr>
            <w:tcW w:type="dxa" w:w="2556"/>
          </w:tcPr>
          <w:p>
            <w:r>
              <w:t>Cross-company exposure could be severe.</w:t>
            </w:r>
          </w:p>
        </w:tc>
        <w:tc>
          <w:tcPr>
            <w:tcW w:type="dxa" w:w="2556"/>
          </w:tcPr>
          <w:p>
            <w:r>
              <w:t>Critical</w:t>
            </w:r>
          </w:p>
        </w:tc>
      </w:tr>
      <w:tr>
        <w:tc>
          <w:tcPr>
            <w:tcW w:type="dxa" w:w="2556"/>
          </w:tcPr>
          <w:p>
            <w:r>
              <w:t>Inventory concurrency</w:t>
            </w:r>
          </w:p>
        </w:tc>
        <w:tc>
          <w:tcPr>
            <w:tcW w:type="dxa" w:w="2556"/>
          </w:tcPr>
          <w:p>
            <w:r>
              <w:t>High</w:t>
            </w:r>
          </w:p>
        </w:tc>
        <w:tc>
          <w:tcPr>
            <w:tcW w:type="dxa" w:w="2556"/>
          </w:tcPr>
          <w:p>
            <w:r>
              <w:t>Potential duplicate holds/bookings.</w:t>
            </w:r>
          </w:p>
        </w:tc>
        <w:tc>
          <w:tcPr>
            <w:tcW w:type="dxa" w:w="2556"/>
          </w:tcPr>
          <w:p>
            <w:r>
              <w:t>Critical</w:t>
            </w:r>
          </w:p>
        </w:tc>
      </w:tr>
      <w:tr>
        <w:tc>
          <w:tcPr>
            <w:tcW w:type="dxa" w:w="2556"/>
          </w:tcPr>
          <w:p>
            <w:r>
              <w:t>Workflow completeness</w:t>
            </w:r>
          </w:p>
        </w:tc>
        <w:tc>
          <w:tcPr>
            <w:tcW w:type="dxa" w:w="2556"/>
          </w:tcPr>
          <w:p>
            <w:r>
              <w:t>High</w:t>
            </w:r>
          </w:p>
        </w:tc>
        <w:tc>
          <w:tcPr>
            <w:tcW w:type="dxa" w:w="2556"/>
          </w:tcPr>
          <w:p>
            <w:r>
              <w:t>Broad model but incomplete end-to-end proof.</w:t>
            </w:r>
          </w:p>
        </w:tc>
        <w:tc>
          <w:tcPr>
            <w:tcW w:type="dxa" w:w="2556"/>
          </w:tcPr>
          <w:p>
            <w:r>
              <w:t>Critical</w:t>
            </w:r>
          </w:p>
        </w:tc>
      </w:tr>
      <w:tr>
        <w:tc>
          <w:tcPr>
            <w:tcW w:type="dxa" w:w="2556"/>
          </w:tcPr>
          <w:p>
            <w:r>
              <w:t>Recovery / CRM</w:t>
            </w:r>
          </w:p>
        </w:tc>
        <w:tc>
          <w:tcPr>
            <w:tcW w:type="dxa" w:w="2556"/>
          </w:tcPr>
          <w:p>
            <w:r>
              <w:t>Medium–High</w:t>
            </w:r>
          </w:p>
        </w:tc>
        <w:tc>
          <w:tcPr>
            <w:tcW w:type="dxa" w:w="2556"/>
          </w:tcPr>
          <w:p>
            <w:r>
              <w:t>Core value depends on sales and collections.</w:t>
            </w:r>
          </w:p>
        </w:tc>
        <w:tc>
          <w:tcPr>
            <w:tcW w:type="dxa" w:w="2556"/>
          </w:tcPr>
          <w:p>
            <w:r>
              <w:t>High</w:t>
            </w:r>
          </w:p>
        </w:tc>
      </w:tr>
      <w:tr>
        <w:tc>
          <w:tcPr>
            <w:tcW w:type="dxa" w:w="2556"/>
          </w:tcPr>
          <w:p>
            <w:r>
              <w:t>Customer experience</w:t>
            </w:r>
          </w:p>
        </w:tc>
        <w:tc>
          <w:tcPr>
            <w:tcW w:type="dxa" w:w="2556"/>
          </w:tcPr>
          <w:p>
            <w:r>
              <w:t>Medium–High</w:t>
            </w:r>
          </w:p>
        </w:tc>
        <w:tc>
          <w:tcPr>
            <w:tcW w:type="dxa" w:w="2556"/>
          </w:tcPr>
          <w:p>
            <w:r>
              <w:t>Limited self-service visibility.</w:t>
            </w:r>
          </w:p>
        </w:tc>
        <w:tc>
          <w:tcPr>
            <w:tcW w:type="dxa" w:w="2556"/>
          </w:tcPr>
          <w:p>
            <w:r>
              <w:t>High</w:t>
            </w:r>
          </w:p>
        </w:tc>
      </w:tr>
      <w:tr>
        <w:tc>
          <w:tcPr>
            <w:tcW w:type="dxa" w:w="2556"/>
          </w:tcPr>
          <w:p>
            <w:r>
              <w:t>WhatsApp operations</w:t>
            </w:r>
          </w:p>
        </w:tc>
        <w:tc>
          <w:tcPr>
            <w:tcW w:type="dxa" w:w="2556"/>
          </w:tcPr>
          <w:p>
            <w:r>
              <w:t>Medium–High</w:t>
            </w:r>
          </w:p>
        </w:tc>
        <w:tc>
          <w:tcPr>
            <w:tcW w:type="dxa" w:w="2556"/>
          </w:tcPr>
          <w:p>
            <w:r>
              <w:t>Important local workflow is underused.</w:t>
            </w:r>
          </w:p>
        </w:tc>
        <w:tc>
          <w:tcPr>
            <w:tcW w:type="dxa" w:w="2556"/>
          </w:tcPr>
          <w:p>
            <w:r>
              <w:t>High</w:t>
            </w:r>
          </w:p>
        </w:tc>
      </w:tr>
      <w:tr>
        <w:tc>
          <w:tcPr>
            <w:tcW w:type="dxa" w:w="2556"/>
          </w:tcPr>
          <w:p>
            <w:r>
              <w:t>Reporting</w:t>
            </w:r>
          </w:p>
        </w:tc>
        <w:tc>
          <w:tcPr>
            <w:tcW w:type="dxa" w:w="2556"/>
          </w:tcPr>
          <w:p>
            <w:r>
              <w:t>Medium</w:t>
            </w:r>
          </w:p>
        </w:tc>
        <w:tc>
          <w:tcPr>
            <w:tcW w:type="dxa" w:w="2556"/>
          </w:tcPr>
          <w:p>
            <w:r>
              <w:t>Needs property-specific management intelligence.</w:t>
            </w:r>
          </w:p>
        </w:tc>
        <w:tc>
          <w:tcPr>
            <w:tcW w:type="dxa" w:w="2556"/>
          </w:tcPr>
          <w:p>
            <w:r>
              <w:t>High</w:t>
            </w:r>
          </w:p>
        </w:tc>
      </w:tr>
      <w:tr>
        <w:tc>
          <w:tcPr>
            <w:tcW w:type="dxa" w:w="2556"/>
          </w:tcPr>
          <w:p>
            <w:r>
              <w:t>UX</w:t>
            </w:r>
          </w:p>
        </w:tc>
        <w:tc>
          <w:tcPr>
            <w:tcW w:type="dxa" w:w="2556"/>
          </w:tcPr>
          <w:p>
            <w:r>
              <w:t>Medium</w:t>
            </w:r>
          </w:p>
        </w:tc>
        <w:tc>
          <w:tcPr>
            <w:tcW w:type="dxa" w:w="2556"/>
          </w:tcPr>
          <w:p>
            <w:r>
              <w:t>Feels broader than it feels operational.</w:t>
            </w:r>
          </w:p>
        </w:tc>
        <w:tc>
          <w:tcPr>
            <w:tcW w:type="dxa" w:w="2556"/>
          </w:tcPr>
          <w:p>
            <w:r>
              <w:t>Medium–High</w:t>
            </w:r>
          </w:p>
        </w:tc>
      </w:tr>
      <w:tr>
        <w:tc>
          <w:tcPr>
            <w:tcW w:type="dxa" w:w="2556"/>
          </w:tcPr>
          <w:p>
            <w:r>
              <w:t>Product focus</w:t>
            </w:r>
          </w:p>
        </w:tc>
        <w:tc>
          <w:tcPr>
            <w:tcW w:type="dxa" w:w="2556"/>
          </w:tcPr>
          <w:p>
            <w:r>
              <w:t>High</w:t>
            </w:r>
          </w:p>
        </w:tc>
        <w:tc>
          <w:tcPr>
            <w:tcW w:type="dxa" w:w="2556"/>
          </w:tcPr>
          <w:p>
            <w:r>
              <w:t>Scope creates delivery/adoption risk.</w:t>
            </w:r>
          </w:p>
        </w:tc>
        <w:tc>
          <w:tcPr>
            <w:tcW w:type="dxa" w:w="2556"/>
          </w:tcPr>
          <w:p>
            <w:r>
              <w:t>Strategic</w:t>
            </w:r>
          </w:p>
        </w:tc>
      </w:tr>
      <w:tr>
        <w:tc>
          <w:tcPr>
            <w:tcW w:type="dxa" w:w="2556"/>
          </w:tcPr>
          <w:p>
            <w:r>
              <w:t>Public demo consistency</w:t>
            </w:r>
          </w:p>
        </w:tc>
        <w:tc>
          <w:tcPr>
            <w:tcW w:type="dxa" w:w="2556"/>
          </w:tcPr>
          <w:p>
            <w:r>
              <w:t>High</w:t>
            </w:r>
          </w:p>
        </w:tc>
        <w:tc>
          <w:tcPr>
            <w:tcW w:type="dxa" w:w="2556"/>
          </w:tcPr>
          <w:p>
            <w:r>
              <w:t>Empty/placeholder areas reduce credibility.</w:t>
            </w:r>
          </w:p>
        </w:tc>
        <w:tc>
          <w:tcPr>
            <w:tcW w:type="dxa" w:w="2556"/>
          </w:tcPr>
          <w:p>
            <w:r>
              <w:t>High</w:t>
            </w:r>
          </w:p>
        </w:tc>
      </w:tr>
    </w:tbl>
    <w:p>
      <w:pPr>
        <w:pStyle w:val="Heading1"/>
      </w:pPr>
      <w:r>
        <w:t>3. Data Model &amp; Architecture Weaknesses</w:t>
      </w:r>
    </w:p>
    <w:p>
      <w:pPr>
        <w:pStyle w:val="Heading2"/>
      </w:pPr>
      <w:r>
        <w:t>Accounting invariants are not visible from the schema alone</w:t>
      </w:r>
    </w:p>
    <w:p>
      <w:r>
        <w:t>Journal entries must balance; debit/credit rules must be strict; posted entries should be immutable; closed periods must reject postings; company/account/period consistency and duplicate-posting prevention must be enforced transactionally.</w:t>
      </w:r>
    </w:p>
    <w:p>
      <w:pPr>
        <w:pStyle w:val="Heading2"/>
      </w:pPr>
      <w:r>
        <w:t>Multi-tenant isolation needs explicit enforcement</w:t>
      </w:r>
    </w:p>
    <w:p>
      <w:r>
        <w:t>Organizations, companies, memberships and permissions provide a good foundation, but every business table, background job, export, report, webhook and integration must enforce the same tenant/company boundaries. PostgreSQL Row-Level Security is worth considering as defense in depth.</w:t>
      </w:r>
    </w:p>
    <w:p>
      <w:pPr>
        <w:pStyle w:val="Heading2"/>
      </w:pPr>
      <w:r>
        <w:t>Polymorphic relationships can weaken referential integrity</w:t>
      </w:r>
    </w:p>
    <w:p>
      <w:r>
        <w:t>Generic entity_type/entity_id links for documents, comments, tags or tasks are flexible but cannot provide normal database foreign-key guarantees. Keep them for genuinely cross-cutting features and use explicit FKs for core financial, property, booking, legal and ownership relationships.</w:t>
      </w:r>
    </w:p>
    <w:p>
      <w:pPr>
        <w:pStyle w:val="Heading2"/>
      </w:pPr>
      <w:r>
        <w:t>Derived financial fields can drift</w:t>
      </w:r>
    </w:p>
    <w:p>
      <w:r>
        <w:t>Values such as paid amount, outstanding amount and installment status should not become independent sources of truth when receipt allocations/transactions are authoritative. Cached summaries should be updated transactionally and periodically reconciled.</w:t>
      </w:r>
    </w:p>
    <w:p>
      <w:pPr>
        <w:pStyle w:val="Heading2"/>
      </w:pPr>
      <w:r>
        <w:t>Property booking needs concurrency protection</w:t>
      </w:r>
    </w:p>
    <w:p>
      <w:r>
        <w:t>Inventory should have an explicit state machine such as AVAILABLE → HOLD → BOOKED → SOLD, with database locking, hold expiry, idempotent booking creation and complete status history. The plot map and sales screens must read from the same authoritative inventory state.</w:t>
      </w:r>
    </w:p>
    <w:p>
      <w:pPr>
        <w:pStyle w:val="Heading2"/>
      </w:pPr>
      <w:r>
        <w:t>The model is very broad</w:t>
      </w:r>
    </w:p>
    <w:p>
      <w:r>
        <w:t>Accounting, property, CRM, sales, tax, invoicing, procurement, stock, construction, HR, consolidation and SaaS billing create significant validation, permission, reporting and integration complexity. Do not add large new domains until the core is production-ready.</w:t>
      </w:r>
    </w:p>
    <w:p>
      <w:pPr>
        <w:pStyle w:val="Heading1"/>
      </w:pPr>
      <w:r>
        <w:t>4. Functional &amp; Domain Weaknesses</w:t>
      </w:r>
    </w:p>
    <w:p>
      <w:pPr>
        <w:pStyle w:val="Heading2"/>
      </w:pPr>
      <w:r>
        <w:t>Dealer commission workflow needs more depth</w:t>
      </w:r>
    </w:p>
    <w:p>
      <w:r>
        <w:t>Add dealer/agent agreements, project/property-specific commission rules, eligibility triggers, payable vs earned vs paid states, cancellation clawbacks, dealer statements and reconciliation.</w:t>
      </w:r>
    </w:p>
    <w:p>
      <w:pPr>
        <w:pStyle w:val="Heading2"/>
      </w:pPr>
      <w:r>
        <w:t>Recovery / collections should be a first-class workspace</w:t>
      </w:r>
    </w:p>
    <w:p>
      <w:r>
        <w:t>Provide due-today, overdue and upcoming queues; aging; promise-to-pay; collection-officer workload; payment allocation; PDC follow-up; customer statements; and automated reminders.</w:t>
      </w:r>
    </w:p>
    <w:p>
      <w:pPr>
        <w:pStyle w:val="Heading2"/>
      </w:pPr>
      <w:r>
        <w:t>Customer portal is a major missing opportunity</w:t>
      </w:r>
    </w:p>
    <w:p>
      <w:r>
        <w:t>Customers should be able to view bookings, payment schedules, paid/outstanding/overdue amounts, receipts, documents, statements and support/contact information without repeatedly contacting staff.</w:t>
      </w:r>
    </w:p>
    <w:p>
      <w:pPr>
        <w:pStyle w:val="Heading2"/>
      </w:pPr>
      <w:r>
        <w:t>CRM should include property matching</w:t>
      </w:r>
    </w:p>
    <w:p>
      <w:r>
        <w:t>Use budget, location, project, property type, size, installment preference and investment/end-use intent to recommend suitable inventory to sales staff.</w:t>
      </w:r>
    </w:p>
    <w:p>
      <w:pPr>
        <w:pStyle w:val="Heading2"/>
      </w:pPr>
      <w:r>
        <w:t>Plot map should become a signature workflow</w:t>
      </w:r>
    </w:p>
    <w:p>
      <w:r>
        <w:t>Connect project/phase/block/plot hierarchy, real-time availability, price, payment plan, hold, booking, history, search/filtering and shareable property views to the authoritative inventory.</w:t>
      </w:r>
    </w:p>
    <w:p>
      <w:pPr>
        <w:pStyle w:val="Heading2"/>
      </w:pPr>
      <w:r>
        <w:t>Reporting needs stronger property-specific intelligence</w:t>
      </w:r>
    </w:p>
    <w:p>
      <w:r>
        <w:t>Beyond Balance Sheet, P&amp;L, Trial Balance and Ledger, provide project/block/property sales, sales by agent/dealer, conversion/cancellation, installment aging, recovery efficiency, inventory aging, expected collections, price history, commission liabilities, project profitability and PDC exposure.</w:t>
      </w:r>
    </w:p>
    <w:p>
      <w:pPr>
        <w:pStyle w:val="Heading1"/>
      </w:pPr>
      <w:r>
        <w:t>5. UX &amp; Product Experience Weaknesses</w:t>
      </w:r>
    </w:p>
    <w:p>
      <w:pPr>
        <w:pStyle w:val="Heading2"/>
      </w:pPr>
      <w:r>
        <w:t>The UX is broad but not sufficiently action-oriented</w:t>
      </w:r>
    </w:p>
    <w:p>
      <w:r>
        <w:t>A mature ERP should answer 'What needs my attention today?' Show overdue installments, new leads, bookings, PDCs due, approvals, expiring holds/quotes and commissions payable. Use role-specific dashboards.</w:t>
      </w:r>
    </w:p>
    <w:p>
      <w:pPr>
        <w:pStyle w:val="Heading2"/>
      </w:pPr>
      <w:r>
        <w:t>Public demo data and internal data are inconsistent</w:t>
      </w:r>
    </w:p>
    <w:p>
      <w:r>
        <w:t>The homepage shows sample metrics while internal pages show zeros/empty states. Use one coherent realistic demo tenant so marketing metrics and application screens tell the same story.</w:t>
      </w:r>
    </w:p>
    <w:p>
      <w:pPr>
        <w:pStyle w:val="Heading2"/>
      </w:pPr>
      <w:r>
        <w:t>Pricing and marketing counters look unfinished</w:t>
      </w:r>
    </w:p>
    <w:p>
      <w:r>
        <w:t>The visible Rs 0/month tiers and zero-value counters make the product appear incomplete. Either show real pricing, 'Contact Sales', or clearly label the environment as a demo.</w:t>
      </w:r>
    </w:p>
    <w:p>
      <w:pPr>
        <w:pStyle w:val="Heading2"/>
      </w:pPr>
      <w:r>
        <w:t>Workflow-centric screens are needed</w:t>
      </w:r>
    </w:p>
    <w:p>
      <w:r>
        <w:t>Introduce dedicated workspaces such as Recovery Center, Sales Pipeline + Property Matching, Booking Workspace, Customer 360, Property 360, Project Inventory Control and Approvals Center.</w:t>
      </w:r>
    </w:p>
    <w:p>
      <w:pPr>
        <w:pStyle w:val="Heading1"/>
      </w:pPr>
      <w:r>
        <w:t>6. Security, Reliability &amp; Production-Readiness Weaknesses</w:t>
      </w:r>
    </w:p>
    <w:p>
      <w:pPr>
        <w:pStyle w:val="Heading2"/>
      </w:pPr>
      <w:r>
        <w:t>Authorization needs systematic testing</w:t>
      </w:r>
    </w:p>
    <w:p>
      <w:r>
        <w:t>Roles and permissions exist, but production readiness requires tests for viewing, editing, posting, approving, exporting, deleting, reversing and configuration changes across every sensitive domain.</w:t>
      </w:r>
    </w:p>
    <w:p>
      <w:pPr>
        <w:pStyle w:val="Heading2"/>
      </w:pPr>
      <w:r>
        <w:t>Auditability should cover business decisions</w:t>
      </w:r>
    </w:p>
    <w:p>
      <w:r>
        <w:t>Audit who changed property status, booking amount, installment, allocation, commission, accounting entry or approval, including before/after values where appropriate.</w:t>
      </w:r>
    </w:p>
    <w:p>
      <w:pPr>
        <w:pStyle w:val="Heading2"/>
      </w:pPr>
      <w:r>
        <w:t>Background jobs and integrations need safeguards</w:t>
      </w:r>
    </w:p>
    <w:p>
      <w:r>
        <w:t>Imports, exports, notifications, webhooks, document generation and automated reminders need idempotency, retry and failure-handling rules to avoid duplicate or partial operations.</w:t>
      </w:r>
    </w:p>
    <w:p>
      <w:pPr>
        <w:pStyle w:val="Heading2"/>
      </w:pPr>
      <w:r>
        <w:t>Data lifecycle and deletion rules need definition</w:t>
      </w:r>
    </w:p>
    <w:p>
      <w:r>
        <w:t>Financial and legal records should not be casually deleted. Define archive, cancellation, reversal, soft-delete and retention rules for each major domain.</w:t>
      </w:r>
    </w:p>
    <w:p>
      <w:pPr>
        <w:pStyle w:val="Heading2"/>
      </w:pPr>
      <w:r>
        <w:t>Reconciliation and monitoring are essential</w:t>
      </w:r>
    </w:p>
    <w:p>
      <w:r>
        <w:t>Automate checks for ledger imbalance, allocation mismatches, inventory inconsistencies, failed integrations, duplicate transactions and orphaned records.</w:t>
      </w:r>
    </w:p>
    <w:p>
      <w:pPr>
        <w:pStyle w:val="Heading1"/>
      </w:pPr>
      <w:r>
        <w:t>7. Product Strategy Weaknesses</w:t>
      </w:r>
    </w:p>
    <w:p>
      <w:pPr>
        <w:pStyle w:val="Heading2"/>
      </w:pPr>
      <w:r>
        <w:t>Positioning is too broad</w:t>
      </w:r>
    </w:p>
    <w:p>
      <w:r>
        <w:t>The scope can serve agencies, developers, housing societies and construction businesses. This can make the product harder to explain and prioritize.</w:t>
      </w:r>
    </w:p>
    <w:p>
      <w:pPr>
        <w:pStyle w:val="Heading2"/>
      </w:pPr>
      <w:r>
        <w:t>ERP + CRM + Plot Map is not enough differentiation</w:t>
      </w:r>
    </w:p>
    <w:p>
      <w:r>
        <w:t>Comparable property products already advertise combinations of CRM, installments/recovery, dealer management, WhatsApp, accounting and plot maps. Differentiation should come from superior Pakistani workflows and integration, not module count.</w:t>
      </w:r>
    </w:p>
    <w:p>
      <w:pPr>
        <w:pStyle w:val="Heading2"/>
      </w:pPr>
      <w:r>
        <w:t>Consider two product editions</w:t>
      </w:r>
    </w:p>
    <w:p>
      <w:r>
        <w:t>PropIQ Agency can focus on CRM, listings, customers, deals, bookings, commissions, accounting, expenses, WhatsApp and reports. PropIQ Developer can add projects, plot inventory, payment plans, recovery, PDCs, possession, transfers, construction, procurement, budgets and GIS.</w:t>
      </w:r>
    </w:p>
    <w:p>
      <w:pPr>
        <w:pStyle w:val="Heading2"/>
      </w:pPr>
      <w:r>
        <w:t>Avoid feature-heavy shallow implementation</w:t>
      </w:r>
    </w:p>
    <w:p>
      <w:r>
        <w:t>A smaller number of extremely reliable workflows will create more commercial value than hundreds of partially implemented capabilities.</w:t>
      </w:r>
    </w:p>
    <w:p>
      <w:pPr>
        <w:pStyle w:val="Heading1"/>
      </w:pPr>
      <w:r>
        <w:t>8. Priority Improvement Roadmap</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Priority</w:t>
            </w:r>
          </w:p>
        </w:tc>
        <w:tc>
          <w:tcPr>
            <w:tcW w:type="dxa" w:w="2556"/>
          </w:tcPr>
          <w:p>
            <w:r>
              <w:t>Improvement</w:t>
            </w:r>
          </w:p>
        </w:tc>
        <w:tc>
          <w:tcPr>
            <w:tcW w:type="dxa" w:w="2556"/>
          </w:tcPr>
          <w:p>
            <w:r>
              <w:t>Why It Matters</w:t>
            </w:r>
          </w:p>
        </w:tc>
        <w:tc>
          <w:tcPr>
            <w:tcW w:type="dxa" w:w="2556"/>
          </w:tcPr>
          <w:p>
            <w:r>
              <w:t>Stage</w:t>
            </w:r>
          </w:p>
        </w:tc>
      </w:tr>
      <w:tr>
        <w:tc>
          <w:tcPr>
            <w:tcW w:type="dxa" w:w="2556"/>
          </w:tcPr>
          <w:p>
            <w:r>
              <w:t>P0</w:t>
            </w:r>
          </w:p>
        </w:tc>
        <w:tc>
          <w:tcPr>
            <w:tcW w:type="dxa" w:w="2556"/>
          </w:tcPr>
          <w:p>
            <w:r>
              <w:t>Accounting invariants + posting controls</w:t>
            </w:r>
          </w:p>
        </w:tc>
        <w:tc>
          <w:tcPr>
            <w:tcW w:type="dxa" w:w="2556"/>
          </w:tcPr>
          <w:p>
            <w:r>
              <w:t>Protects financial correctness and trust.</w:t>
            </w:r>
          </w:p>
        </w:tc>
        <w:tc>
          <w:tcPr>
            <w:tcW w:type="dxa" w:w="2556"/>
          </w:tcPr>
          <w:p>
            <w:r>
              <w:t>Immediately</w:t>
            </w:r>
          </w:p>
        </w:tc>
      </w:tr>
      <w:tr>
        <w:tc>
          <w:tcPr>
            <w:tcW w:type="dxa" w:w="2556"/>
          </w:tcPr>
          <w:p>
            <w:r>
              <w:t>P0</w:t>
            </w:r>
          </w:p>
        </w:tc>
        <w:tc>
          <w:tcPr>
            <w:tcW w:type="dxa" w:w="2556"/>
          </w:tcPr>
          <w:p>
            <w:r>
              <w:t>Tenant/company isolation + authorization testing</w:t>
            </w:r>
          </w:p>
        </w:tc>
        <w:tc>
          <w:tcPr>
            <w:tcW w:type="dxa" w:w="2556"/>
          </w:tcPr>
          <w:p>
            <w:r>
              <w:t>Prevents catastrophic data exposure.</w:t>
            </w:r>
          </w:p>
        </w:tc>
        <w:tc>
          <w:tcPr>
            <w:tcW w:type="dxa" w:w="2556"/>
          </w:tcPr>
          <w:p>
            <w:r>
              <w:t>Immediately</w:t>
            </w:r>
          </w:p>
        </w:tc>
      </w:tr>
      <w:tr>
        <w:tc>
          <w:tcPr>
            <w:tcW w:type="dxa" w:w="2556"/>
          </w:tcPr>
          <w:p>
            <w:r>
              <w:t>P0</w:t>
            </w:r>
          </w:p>
        </w:tc>
        <w:tc>
          <w:tcPr>
            <w:tcW w:type="dxa" w:w="2556"/>
          </w:tcPr>
          <w:p>
            <w:r>
              <w:t>Atomic property hold/booking state machine</w:t>
            </w:r>
          </w:p>
        </w:tc>
        <w:tc>
          <w:tcPr>
            <w:tcW w:type="dxa" w:w="2556"/>
          </w:tcPr>
          <w:p>
            <w:r>
              <w:t>Prevents double-booking and inventory corruption.</w:t>
            </w:r>
          </w:p>
        </w:tc>
        <w:tc>
          <w:tcPr>
            <w:tcW w:type="dxa" w:w="2556"/>
          </w:tcPr>
          <w:p>
            <w:r>
              <w:t>Immediately</w:t>
            </w:r>
          </w:p>
        </w:tc>
      </w:tr>
      <w:tr>
        <w:tc>
          <w:tcPr>
            <w:tcW w:type="dxa" w:w="2556"/>
          </w:tcPr>
          <w:p>
            <w:r>
              <w:t>P0</w:t>
            </w:r>
          </w:p>
        </w:tc>
        <w:tc>
          <w:tcPr>
            <w:tcW w:type="dxa" w:w="2556"/>
          </w:tcPr>
          <w:p>
            <w:r>
              <w:t>End-to-end core workflow validation</w:t>
            </w:r>
          </w:p>
        </w:tc>
        <w:tc>
          <w:tcPr>
            <w:tcW w:type="dxa" w:w="2556"/>
          </w:tcPr>
          <w:p>
            <w:r>
              <w:t>Turns the model into a working product.</w:t>
            </w:r>
          </w:p>
        </w:tc>
        <w:tc>
          <w:tcPr>
            <w:tcW w:type="dxa" w:w="2556"/>
          </w:tcPr>
          <w:p>
            <w:r>
              <w:t>Immediately</w:t>
            </w:r>
          </w:p>
        </w:tc>
      </w:tr>
      <w:tr>
        <w:tc>
          <w:tcPr>
            <w:tcW w:type="dxa" w:w="2556"/>
          </w:tcPr>
          <w:p>
            <w:r>
              <w:t>P1</w:t>
            </w:r>
          </w:p>
        </w:tc>
        <w:tc>
          <w:tcPr>
            <w:tcW w:type="dxa" w:w="2556"/>
          </w:tcPr>
          <w:p>
            <w:r>
              <w:t>Recovery Center</w:t>
            </w:r>
          </w:p>
        </w:tc>
        <w:tc>
          <w:tcPr>
            <w:tcW w:type="dxa" w:w="2556"/>
          </w:tcPr>
          <w:p>
            <w:r>
              <w:t>High-frequency operational value.</w:t>
            </w:r>
          </w:p>
        </w:tc>
        <w:tc>
          <w:tcPr>
            <w:tcW w:type="dxa" w:w="2556"/>
          </w:tcPr>
          <w:p>
            <w:r>
              <w:t>Next</w:t>
            </w:r>
          </w:p>
        </w:tc>
      </w:tr>
      <w:tr>
        <w:tc>
          <w:tcPr>
            <w:tcW w:type="dxa" w:w="2556"/>
          </w:tcPr>
          <w:p>
            <w:r>
              <w:t>P1</w:t>
            </w:r>
          </w:p>
        </w:tc>
        <w:tc>
          <w:tcPr>
            <w:tcW w:type="dxa" w:w="2556"/>
          </w:tcPr>
          <w:p>
            <w:r>
              <w:t>Customer 360 + customer portal</w:t>
            </w:r>
          </w:p>
        </w:tc>
        <w:tc>
          <w:tcPr>
            <w:tcW w:type="dxa" w:w="2556"/>
          </w:tcPr>
          <w:p>
            <w:r>
              <w:t>Improves transparency and reduces support load.</w:t>
            </w:r>
          </w:p>
        </w:tc>
        <w:tc>
          <w:tcPr>
            <w:tcW w:type="dxa" w:w="2556"/>
          </w:tcPr>
          <w:p>
            <w:r>
              <w:t>Next</w:t>
            </w:r>
          </w:p>
        </w:tc>
      </w:tr>
      <w:tr>
        <w:tc>
          <w:tcPr>
            <w:tcW w:type="dxa" w:w="2556"/>
          </w:tcPr>
          <w:p>
            <w:r>
              <w:t>P1</w:t>
            </w:r>
          </w:p>
        </w:tc>
        <w:tc>
          <w:tcPr>
            <w:tcW w:type="dxa" w:w="2556"/>
          </w:tcPr>
          <w:p>
            <w:r>
              <w:t>WhatsApp operational workflows</w:t>
            </w:r>
          </w:p>
        </w:tc>
        <w:tc>
          <w:tcPr>
            <w:tcW w:type="dxa" w:w="2556"/>
          </w:tcPr>
          <w:p>
            <w:r>
              <w:t>Fits the target market's communication behavior.</w:t>
            </w:r>
          </w:p>
        </w:tc>
        <w:tc>
          <w:tcPr>
            <w:tcW w:type="dxa" w:w="2556"/>
          </w:tcPr>
          <w:p>
            <w:r>
              <w:t>Next</w:t>
            </w:r>
          </w:p>
        </w:tc>
      </w:tr>
      <w:tr>
        <w:tc>
          <w:tcPr>
            <w:tcW w:type="dxa" w:w="2556"/>
          </w:tcPr>
          <w:p>
            <w:r>
              <w:t>P1</w:t>
            </w:r>
          </w:p>
        </w:tc>
        <w:tc>
          <w:tcPr>
            <w:tcW w:type="dxa" w:w="2556"/>
          </w:tcPr>
          <w:p>
            <w:r>
              <w:t>Property matching + sales workspace</w:t>
            </w:r>
          </w:p>
        </w:tc>
        <w:tc>
          <w:tcPr>
            <w:tcW w:type="dxa" w:w="2556"/>
          </w:tcPr>
          <w:p>
            <w:r>
              <w:t>Improves lead-to-sale conversion.</w:t>
            </w:r>
          </w:p>
        </w:tc>
        <w:tc>
          <w:tcPr>
            <w:tcW w:type="dxa" w:w="2556"/>
          </w:tcPr>
          <w:p>
            <w:r>
              <w:t>Next</w:t>
            </w:r>
          </w:p>
        </w:tc>
      </w:tr>
      <w:tr>
        <w:tc>
          <w:tcPr>
            <w:tcW w:type="dxa" w:w="2556"/>
          </w:tcPr>
          <w:p>
            <w:r>
              <w:t>P1</w:t>
            </w:r>
          </w:p>
        </w:tc>
        <w:tc>
          <w:tcPr>
            <w:tcW w:type="dxa" w:w="2556"/>
          </w:tcPr>
          <w:p>
            <w:r>
              <w:t>Property-specific reporting</w:t>
            </w:r>
          </w:p>
        </w:tc>
        <w:tc>
          <w:tcPr>
            <w:tcW w:type="dxa" w:w="2556"/>
          </w:tcPr>
          <w:p>
            <w:r>
              <w:t>Turns ERP data into decisions.</w:t>
            </w:r>
          </w:p>
        </w:tc>
        <w:tc>
          <w:tcPr>
            <w:tcW w:type="dxa" w:w="2556"/>
          </w:tcPr>
          <w:p>
            <w:r>
              <w:t>Next</w:t>
            </w:r>
          </w:p>
        </w:tc>
      </w:tr>
      <w:tr>
        <w:tc>
          <w:tcPr>
            <w:tcW w:type="dxa" w:w="2556"/>
          </w:tcPr>
          <w:p>
            <w:r>
              <w:t>P2</w:t>
            </w:r>
          </w:p>
        </w:tc>
        <w:tc>
          <w:tcPr>
            <w:tcW w:type="dxa" w:w="2556"/>
          </w:tcPr>
          <w:p>
            <w:r>
              <w:t>Signature plot-map experience</w:t>
            </w:r>
          </w:p>
        </w:tc>
        <w:tc>
          <w:tcPr>
            <w:tcW w:type="dxa" w:w="2556"/>
          </w:tcPr>
          <w:p>
            <w:r>
              <w:t>Strong product differentiator.</w:t>
            </w:r>
          </w:p>
        </w:tc>
        <w:tc>
          <w:tcPr>
            <w:tcW w:type="dxa" w:w="2556"/>
          </w:tcPr>
          <w:p>
            <w:r>
              <w:t>After hardening</w:t>
            </w:r>
          </w:p>
        </w:tc>
      </w:tr>
      <w:tr>
        <w:tc>
          <w:tcPr>
            <w:tcW w:type="dxa" w:w="2556"/>
          </w:tcPr>
          <w:p>
            <w:r>
              <w:t>P2</w:t>
            </w:r>
          </w:p>
        </w:tc>
        <w:tc>
          <w:tcPr>
            <w:tcW w:type="dxa" w:w="2556"/>
          </w:tcPr>
          <w:p>
            <w:r>
              <w:t>Dealer commission ecosystem</w:t>
            </w:r>
          </w:p>
        </w:tc>
        <w:tc>
          <w:tcPr>
            <w:tcW w:type="dxa" w:w="2556"/>
          </w:tcPr>
          <w:p>
            <w:r>
              <w:t>Important for dealer-driven sales.</w:t>
            </w:r>
          </w:p>
        </w:tc>
        <w:tc>
          <w:tcPr>
            <w:tcW w:type="dxa" w:w="2556"/>
          </w:tcPr>
          <w:p>
            <w:r>
              <w:t>After hardening</w:t>
            </w:r>
          </w:p>
        </w:tc>
      </w:tr>
      <w:tr>
        <w:tc>
          <w:tcPr>
            <w:tcW w:type="dxa" w:w="2556"/>
          </w:tcPr>
          <w:p>
            <w:r>
              <w:t>P2</w:t>
            </w:r>
          </w:p>
        </w:tc>
        <w:tc>
          <w:tcPr>
            <w:tcW w:type="dxa" w:w="2556"/>
          </w:tcPr>
          <w:p>
            <w:r>
              <w:t>Construction/procurement/HR expansion</w:t>
            </w:r>
          </w:p>
        </w:tc>
        <w:tc>
          <w:tcPr>
            <w:tcW w:type="dxa" w:w="2556"/>
          </w:tcPr>
          <w:p>
            <w:r>
              <w:t>Useful but not the first product-market proof.</w:t>
            </w:r>
          </w:p>
        </w:tc>
        <w:tc>
          <w:tcPr>
            <w:tcW w:type="dxa" w:w="2556"/>
          </w:tcPr>
          <w:p>
            <w:r>
              <w:t>Later</w:t>
            </w:r>
          </w:p>
        </w:tc>
      </w:tr>
    </w:tbl>
    <w:p>
      <w:pPr>
        <w:pStyle w:val="Heading1"/>
      </w:pPr>
      <w:r>
        <w:t>9. Core Workflows That Must Be Proven End-to-End</w:t>
      </w:r>
    </w:p>
    <w:p>
      <w:pPr>
        <w:pStyle w:val="ListNumber"/>
      </w:pPr>
      <w:r>
        <w:t>Lead → Property Match → Quotation → Hold → Booking</w:t>
      </w:r>
    </w:p>
    <w:p>
      <w:pPr>
        <w:pStyle w:val="ListNumber"/>
      </w:pPr>
      <w:r>
        <w:t>Booking → Payment Plan → Installments → Recovery → Receipt</w:t>
      </w:r>
    </w:p>
    <w:p>
      <w:pPr>
        <w:pStyle w:val="ListNumber"/>
      </w:pPr>
      <w:r>
        <w:t>Receipt → Allocation → Customer Ledger → Statement → WhatsApp</w:t>
      </w:r>
    </w:p>
    <w:p>
      <w:pPr>
        <w:pStyle w:val="ListNumber"/>
      </w:pPr>
      <w:r>
        <w:t>Property → Availability → Plot Map → Hold → Booking → Status History</w:t>
      </w:r>
    </w:p>
    <w:p>
      <w:pPr>
        <w:pStyle w:val="ListNumber"/>
      </w:pPr>
      <w:r>
        <w:t>Booking → Accounting Posting → Project/Company P&amp;L → Management Report</w:t>
      </w:r>
    </w:p>
    <w:p>
      <w:pPr>
        <w:pStyle w:val="ListNumber"/>
      </w:pPr>
      <w:r>
        <w:t>Dealer → Booking → Commission Calculation → Payable → Payment → Dealer Statement</w:t>
      </w:r>
    </w:p>
    <w:p>
      <w:pPr>
        <w:pStyle w:val="ListNumber"/>
      </w:pPr>
      <w:r>
        <w:t>Customer → Portal → Installment Schedule → Receipt → Documents → Support</w:t>
      </w:r>
    </w:p>
    <w:p>
      <w:pPr>
        <w:pStyle w:val="Heading1"/>
      </w:pPr>
      <w:r>
        <w:t>10. Final Assessment</w:t>
      </w:r>
    </w:p>
    <w:p>
      <w:r>
        <w:t>The solution should not be considered weak because it contains many modules. Its data model is one of its strongest assets. The principal weakness is the gap between breadth and production depth.</w:t>
      </w:r>
    </w:p>
    <w:p>
      <w:r>
        <w:t>The next phase should shift emphasis from adding tables/features toward enforcing business invariants, completing end-to-end workflows, hardening security, improving operational UX, and proving the product with realistic data.</w:t>
      </w:r>
    </w:p>
    <w:p>
      <w:r>
        <w:t>Recommended principle: build less breadth for the next phase, but make the property-sales-and-collections lifecycle extremely reliable. This is where PropIQ can earn trust, differentiate from generic ERPs, and create measurable value for Pakistani property businesses.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PropIQ — Weaknesses &amp; Improvement Areas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