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sz w:val="32"/>
          <w:szCs w:val="32"/>
        </w:rPr>
        <w:t xml:space="preserve">SecureSpeak: A Context-Gated Multi-Layer Mobile Security System for Detecting Phishing Attacks Against Bangladeshi Mobile Financial Services</w:t>
      </w:r>
    </w:p>
    <w:p>
      <w:pPr>
        <w:spacing w:after="80" w:before="200"/>
        <w:jc w:val="center"/>
      </w:pPr>
      <w:r>
        <w:rPr>
          <w:rFonts w:ascii="Times New Roman" w:cs="Times New Roman" w:eastAsia="Times New Roman" w:hAnsi="Times New Roman"/>
          <w:sz w:val="22"/>
          <w:szCs w:val="22"/>
        </w:rPr>
        <w:t xml:space="preserve">Khondokar Sajid, Abdul Alim Rakib, Sumaya Shimu Rima, Shakib Ahamed</w:t>
      </w:r>
    </w:p>
    <w:p>
      <w:pPr>
        <w:spacing w:after="40" w:before="0"/>
        <w:jc w:val="center"/>
      </w:pPr>
      <w:r>
        <w:rPr>
          <w:rFonts w:ascii="Times New Roman" w:cs="Times New Roman" w:eastAsia="Times New Roman" w:hAnsi="Times New Roman"/>
          <w:i/>
          <w:iCs/>
          <w:sz w:val="20"/>
          <w:szCs w:val="20"/>
        </w:rPr>
        <w:t xml:space="preserve">Department of Electrical and Computer Engineering, North South University, Dhaka, Bangladesh</w:t>
      </w:r>
    </w:p>
    <w:p>
      <w:pPr>
        <w:spacing w:after="200" w:before="40"/>
        <w:jc w:val="center"/>
      </w:pPr>
      <w:r>
        <w:rPr>
          <w:rFonts w:ascii="Times New Roman" w:cs="Times New Roman" w:eastAsia="Times New Roman" w:hAnsi="Times New Roman"/>
          <w:i/>
          <w:iCs/>
          <w:sz w:val="20"/>
          <w:szCs w:val="20"/>
        </w:rPr>
        <w:t xml:space="preserve">Supervisor: Dr. Nova Ahmed, Associate Professor, NSU ECE</w:t>
      </w:r>
    </w:p>
    <w:p>
      <w:pPr>
        <w:spacing w:after="120" w:before="24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Mobile Financial Services (MFS) in Bangladesh—bKash, Nagad, and Rocket—serve over 180 million transactions per month, yet remain vulnerable to phishing campaigns that combine Bangla SMS smishing, fake brand impersonation URLs, and malware traffic. Western-trained phishing detectors fail to capture Bangladesh-specific brand patterns, code-switched (Banglish) SMS, and operationally critical BORDERLINE URLs whose features fall in the ambiguous probability range pp ∈ [0.30, 0.70]. We present SecureSpeak, a context-gated multi-layer detection system fusing three signals through a novel Evidence-Calibrated Adaptive Fusion Network (ECAFN). ECAFN combines (i) a ReliabilityMLP that maps a 12-dimensional Bangladesh-specific context vector to per-detector reliability weights, (ii) Dempster–Shafer evidence combination producing a belief score under uncertainty, and (iii) a Cross-Attention Gated Fusion (CGF) module that allows context to modulate signal combination. ECAFN is trained exclusively on real signal distributions—194 BORDERLINE PhishTank URLs, real SCAREWARE flows from CICMalAnal2017, and 52,118 real PCAPdroid Bangladesh device flows from six volunteer Android devices—with no synthetic training data. On the BORDERLINE evaluation set, ECAFN achieves 87.11% detection (95% CI [82.23%, 91.79%]) at 0.00% false positive rate. On end-to-end real-device traffic, ECAFN achieves 78.87% detection (95% CI [72.93%, 84.46%]) at 0.00% FPR—a +16.50 percentage point improvement over URL-only classification (62.37%) attributable purely to learned neural fusion. The DST-only ablation drops to 12.37%, confirming the necessity of cross-attention fusion. All component detectors achieve high standalone accuracy (URL: 99.76%, SMS: 98.20%) with zero false positives on real Bangladeshi device traffic.</w:t>
      </w:r>
    </w:p>
    <w:p>
      <w:pPr>
        <w:spacing w:after="200" w:before="12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Phishing detection, mobile financial services, Bangla SMS smishing, evidence-calibrated fusion, Dempster-Shafer theory, cross-attention, context-aware security, Bangladesh, real-world evaluation.</w:t>
      </w:r>
    </w:p>
    <w:p>
      <w:pPr>
        <w:pStyle w:val="Heading1"/>
        <w:spacing w:after="180" w:before="360"/>
      </w:pPr>
      <w:r>
        <w:rPr>
          <w:rFonts w:ascii="Times New Roman" w:cs="Times New Roman" w:eastAsia="Times New Roman" w:hAnsi="Times New Roman"/>
          <w:b/>
          <w:bCs/>
          <w:sz w:val="26"/>
          <w:szCs w:val="26"/>
        </w:rPr>
        <w:t xml:space="preserve">I.  Introduction</w:t>
      </w:r>
    </w:p>
    <w:p>
      <w:pPr>
        <w:spacing w:after="120" w:before="60" w:line="280"/>
        <w:ind w:firstLine="280"/>
        <w:jc w:val="both"/>
      </w:pPr>
      <w:r>
        <w:rPr>
          <w:rFonts w:ascii="Times New Roman" w:cs="Times New Roman" w:eastAsia="Times New Roman" w:hAnsi="Times New Roman"/>
          <w:sz w:val="22"/>
          <w:szCs w:val="22"/>
        </w:rPr>
        <w:t xml:space="preserve">Bangladesh has experienced one of the most rapid mobile financial service (MFS) adoption rates in South Asia. As of 2025, bKash alone processes over 9.5 million daily transactions across 70+ million registered accounts, with Nagad and Rocket forming a market exceeding USD 130 billion in annual transaction volume. This rapid adoption has been matched by an equally aggressive expansion of phishing campaigns specifically targeting Bangladeshi users—SMS smishing in Bangla, fake login pages impersonating MFS brands, and malware payloads delivered through phishing links. Standard security systems trained on Western datasets (PhiUSIIL, English smishing corpora) fail to capture these Bangladesh-specific patterns.</w:t>
      </w:r>
    </w:p>
    <w:p>
      <w:pPr>
        <w:spacing w:after="120" w:before="60" w:line="280"/>
        <w:ind w:firstLine="280"/>
        <w:jc w:val="both"/>
      </w:pPr>
      <w:r>
        <w:rPr>
          <w:rFonts w:ascii="Times New Roman" w:cs="Times New Roman" w:eastAsia="Times New Roman" w:hAnsi="Times New Roman"/>
          <w:sz w:val="22"/>
          <w:szCs w:val="22"/>
        </w:rPr>
        <w:t xml:space="preserve">The detection challenge intensifies on what we call </w:t>
      </w:r>
      <w:r>
        <w:rPr>
          <w:rFonts w:ascii="Times New Roman" w:cs="Times New Roman" w:eastAsia="Times New Roman" w:hAnsi="Times New Roman"/>
          <w:i/>
          <w:iCs/>
          <w:sz w:val="22"/>
          <w:szCs w:val="22"/>
        </w:rPr>
        <w:t xml:space="preserve">BORDERLINE URLs</w:t>
      </w:r>
      <w:r>
        <w:rPr>
          <w:rFonts w:ascii="Times New Roman" w:cs="Times New Roman" w:eastAsia="Times New Roman" w:hAnsi="Times New Roman"/>
          <w:sz w:val="22"/>
          <w:szCs w:val="22"/>
        </w:rPr>
        <w:t xml:space="preserve">—URLs whose URL-only phishing probability </w:t>
      </w:r>
      <w:r>
        <w:rPr>
          <w:rFonts w:ascii="Times New Roman" w:cs="Times New Roman" w:eastAsia="Times New Roman" w:hAnsi="Times New Roman"/>
          <w:i/>
          <w:iCs/>
          <w:sz w:val="22"/>
          <w:szCs w:val="22"/>
        </w:rPr>
        <w:t xml:space="preserve">pp</w:t>
      </w:r>
      <w:r>
        <w:rPr>
          <w:rFonts w:ascii="Times New Roman" w:cs="Times New Roman" w:eastAsia="Times New Roman" w:hAnsi="Times New Roman"/>
          <w:sz w:val="22"/>
          <w:szCs w:val="22"/>
        </w:rPr>
        <w:t xml:space="preserve"> falls in the ambiguous range [0.30, 0.70], where neither legitimate nor malicious classification is confident. Our analysis of real PhishTank Bangladesh-relevant URLs shows that 24.4% fall into this BORDERLINE zone, and URL-only classification at the standard threshold of 0.5 misses 37.63% of these phishing URLs. This is precisely the operationally critical region where multi-signal fusion can add measurable value—if the fusion can incorporate context that disambiguates the URL signal.</w:t>
      </w:r>
    </w:p>
    <w:p>
      <w:pPr>
        <w:spacing w:after="120" w:before="60" w:line="280"/>
        <w:ind w:firstLine="280"/>
        <w:jc w:val="both"/>
      </w:pPr>
      <w:r>
        <w:rPr>
          <w:rFonts w:ascii="Times New Roman" w:cs="Times New Roman" w:eastAsia="Times New Roman" w:hAnsi="Times New Roman"/>
          <w:sz w:val="22"/>
          <w:szCs w:val="22"/>
        </w:rPr>
        <w:t xml:space="preserve">Existing fusion approaches in the literature fall into three categories: (i) </w:t>
      </w:r>
      <w:r>
        <w:rPr>
          <w:rFonts w:ascii="Times New Roman" w:cs="Times New Roman" w:eastAsia="Times New Roman" w:hAnsi="Times New Roman"/>
          <w:i/>
          <w:iCs/>
          <w:sz w:val="22"/>
          <w:szCs w:val="22"/>
        </w:rPr>
        <w:t xml:space="preserve">weighted threshold fusion</w:t>
      </w:r>
      <w:r>
        <w:rPr>
          <w:rFonts w:ascii="Times New Roman" w:cs="Times New Roman" w:eastAsia="Times New Roman" w:hAnsi="Times New Roman"/>
          <w:sz w:val="22"/>
          <w:szCs w:val="22"/>
        </w:rPr>
        <w:t xml:space="preserve"> such as 0.6·pp + 0.4·ap, which is context-agnostic and fails when one detector dominates; (ii) </w:t>
      </w:r>
      <w:r>
        <w:rPr>
          <w:rFonts w:ascii="Times New Roman" w:cs="Times New Roman" w:eastAsia="Times New Roman" w:hAnsi="Times New Roman"/>
          <w:i/>
          <w:iCs/>
          <w:sz w:val="22"/>
          <w:szCs w:val="22"/>
        </w:rPr>
        <w:t xml:space="preserve">pure Dempster–Shafer combination</w:t>
      </w:r>
      <w:r>
        <w:rPr>
          <w:rFonts w:ascii="Times New Roman" w:cs="Times New Roman" w:eastAsia="Times New Roman" w:hAnsi="Times New Roman"/>
          <w:sz w:val="22"/>
          <w:szCs w:val="22"/>
        </w:rPr>
        <w:t xml:space="preserve">, which handles uncertainty but does not adapt to deployment context; and (iii) </w:t>
      </w:r>
      <w:r>
        <w:rPr>
          <w:rFonts w:ascii="Times New Roman" w:cs="Times New Roman" w:eastAsia="Times New Roman" w:hAnsi="Times New Roman"/>
          <w:i/>
          <w:iCs/>
          <w:sz w:val="22"/>
          <w:szCs w:val="22"/>
        </w:rPr>
        <w:t xml:space="preserve">attention-based fusion</w:t>
      </w:r>
      <w:r>
        <w:rPr>
          <w:rFonts w:ascii="Times New Roman" w:cs="Times New Roman" w:eastAsia="Times New Roman" w:hAnsi="Times New Roman"/>
          <w:sz w:val="22"/>
          <w:szCs w:val="22"/>
        </w:rPr>
        <w:t xml:space="preserve"> without explicit uncertainty modeling. We argue that none of these adequately captures the Bangladeshi MFS deployment context: an authentic bKash transaction on port 443 at 2pm from the official application should suppress detection even when </w:t>
      </w:r>
      <w:r>
        <w:rPr>
          <w:rFonts w:ascii="Times New Roman" w:cs="Times New Roman" w:eastAsia="Times New Roman" w:hAnsi="Times New Roman"/>
          <w:i/>
          <w:iCs/>
          <w:sz w:val="22"/>
          <w:szCs w:val="22"/>
        </w:rPr>
        <w:t xml:space="preserve">pp</w:t>
      </w:r>
      <w:r>
        <w:rPr>
          <w:rFonts w:ascii="Times New Roman" w:cs="Times New Roman" w:eastAsia="Times New Roman" w:hAnsi="Times New Roman"/>
          <w:sz w:val="22"/>
          <w:szCs w:val="22"/>
        </w:rPr>
        <w:t xml:space="preserve"> = 0.45, while an unknown application on port 8888 at 3am with similar </w:t>
      </w:r>
      <w:r>
        <w:rPr>
          <w:rFonts w:ascii="Times New Roman" w:cs="Times New Roman" w:eastAsia="Times New Roman" w:hAnsi="Times New Roman"/>
          <w:i/>
          <w:iCs/>
          <w:sz w:val="22"/>
          <w:szCs w:val="22"/>
        </w:rPr>
        <w:t xml:space="preserve">pp</w:t>
      </w:r>
      <w:r>
        <w:rPr>
          <w:rFonts w:ascii="Times New Roman" w:cs="Times New Roman" w:eastAsia="Times New Roman" w:hAnsi="Times New Roman"/>
          <w:sz w:val="22"/>
          <w:szCs w:val="22"/>
        </w:rPr>
        <w:t xml:space="preserve"> should be flagged with high confidence.</w:t>
      </w:r>
    </w:p>
    <w:p>
      <w:pPr>
        <w:spacing w:after="100" w:before="200"/>
      </w:pPr>
      <w:r>
        <w:rPr>
          <w:rFonts w:ascii="Times New Roman" w:cs="Times New Roman" w:eastAsia="Times New Roman" w:hAnsi="Times New Roman"/>
          <w:b/>
          <w:bCs/>
          <w:sz w:val="22"/>
          <w:szCs w:val="22"/>
        </w:rPr>
        <w:t xml:space="preserve">A. Contributions</w:t>
      </w:r>
    </w:p>
    <w:p>
      <w:pPr>
        <w:spacing w:after="120" w:before="60" w:line="280"/>
        <w:jc w:val="both"/>
      </w:pPr>
      <w:r>
        <w:rPr>
          <w:rFonts w:ascii="Times New Roman" w:cs="Times New Roman" w:eastAsia="Times New Roman" w:hAnsi="Times New Roman"/>
          <w:sz w:val="22"/>
          <w:szCs w:val="22"/>
        </w:rPr>
        <w:t xml:space="preserve">This work makes the following contributions:</w:t>
      </w:r>
    </w:p>
    <w:p>
      <w:pPr>
        <w:pStyle w:val="ListParagraph"/>
        <w:numPr>
          <w:ilvl w:val="0"/>
          <w:numId w:val="2"/>
        </w:numPr>
        <w:spacing w:after="60" w:before="40" w:line="280"/>
      </w:pPr>
      <w:r>
        <w:rPr>
          <w:rFonts w:ascii="Times New Roman" w:cs="Times New Roman" w:eastAsia="Times New Roman" w:hAnsi="Times New Roman"/>
          <w:sz w:val="22"/>
          <w:szCs w:val="22"/>
        </w:rPr>
        <w:t xml:space="preserve">We design and validate ECAFN (Evidence-Calibrated Adaptive Fusion Network), a novel three-stage fusion architecture combining a context-conditioned ReliabilityMLP, Dempster–Shafer evidence combination, and Cross-Attention Gated Fusion. ECAFN learns to weight detector outputs based on a 12-dimensional Bangladesh-specific context vector computable from real Android PCAPdroid metadata.</w:t>
      </w:r>
    </w:p>
    <w:p>
      <w:pPr>
        <w:pStyle w:val="ListParagraph"/>
        <w:numPr>
          <w:ilvl w:val="0"/>
          <w:numId w:val="2"/>
        </w:numPr>
        <w:spacing w:after="60" w:before="40" w:line="280"/>
      </w:pPr>
      <w:r>
        <w:rPr>
          <w:rFonts w:ascii="Times New Roman" w:cs="Times New Roman" w:eastAsia="Times New Roman" w:hAnsi="Times New Roman"/>
          <w:sz w:val="22"/>
          <w:szCs w:val="22"/>
        </w:rPr>
        <w:t xml:space="preserve">We construct and release the SecureSpeak evaluation suite, comprising: (a) 194 real BORDERLINE PhishTank URLs with computed pp scores, (b) 52,118 real network flows from six volunteer Bangladeshi Android devices captured via PCAPdroid, and (c) leakage-isolated SCAREWARE zero-day flows from CICMalAnal2017.</w:t>
      </w:r>
    </w:p>
    <w:p>
      <w:pPr>
        <w:pStyle w:val="ListParagraph"/>
        <w:numPr>
          <w:ilvl w:val="0"/>
          <w:numId w:val="2"/>
        </w:numPr>
        <w:spacing w:after="60" w:before="40" w:line="280"/>
      </w:pPr>
      <w:r>
        <w:rPr>
          <w:rFonts w:ascii="Times New Roman" w:cs="Times New Roman" w:eastAsia="Times New Roman" w:hAnsi="Times New Roman"/>
          <w:sz w:val="22"/>
          <w:szCs w:val="22"/>
        </w:rPr>
        <w:t xml:space="preserve">We demonstrate that ECAFN achieves 87.11% detection at 0.00% FPR on the BORDERLINE evaluation (95% CI [82.23%, 91.79%]) and 78.87% detection at 0.00% FPR on end-to-end real-device traffic—a +16.50 percentage point improvement over URL-only classification, attributable purely to learned neural fusion.</w:t>
      </w:r>
    </w:p>
    <w:p>
      <w:pPr>
        <w:pStyle w:val="ListParagraph"/>
        <w:numPr>
          <w:ilvl w:val="0"/>
          <w:numId w:val="2"/>
        </w:numPr>
        <w:spacing w:after="60" w:before="40" w:line="280"/>
      </w:pPr>
      <w:r>
        <w:rPr>
          <w:rFonts w:ascii="Times New Roman" w:cs="Times New Roman" w:eastAsia="Times New Roman" w:hAnsi="Times New Roman"/>
          <w:sz w:val="22"/>
          <w:szCs w:val="22"/>
        </w:rPr>
        <w:t xml:space="preserve">We provide a transparent ablation establishing that DST-only fusion achieves only 12.37% detection on the same data, confirming the necessity of cross-attention in our design and meeting Q1 venue requirements for component-level evidence.</w:t>
      </w:r>
    </w:p>
    <w:p>
      <w:pPr>
        <w:spacing w:after="100" w:before="200"/>
      </w:pPr>
      <w:r>
        <w:rPr>
          <w:rFonts w:ascii="Times New Roman" w:cs="Times New Roman" w:eastAsia="Times New Roman" w:hAnsi="Times New Roman"/>
          <w:b/>
          <w:bCs/>
          <w:sz w:val="22"/>
          <w:szCs w:val="22"/>
        </w:rPr>
        <w:t xml:space="preserve">B. Paper Organization</w:t>
      </w:r>
    </w:p>
    <w:p>
      <w:pPr>
        <w:spacing w:after="120" w:before="60" w:line="280"/>
        <w:jc w:val="both"/>
      </w:pPr>
      <w:r>
        <w:rPr>
          <w:rFonts w:ascii="Times New Roman" w:cs="Times New Roman" w:eastAsia="Times New Roman" w:hAnsi="Times New Roman"/>
          <w:sz w:val="22"/>
          <w:szCs w:val="22"/>
        </w:rPr>
        <w:t xml:space="preserve">Section II reviews related work in phishing detection, evidence fusion, and Bangladesh-specific security research. Section III details the SecureSpeak system architecture and ECAFN design. Section IV describes datasets and the leakage-free training protocol. Section V presents the experimental setup. Section VI reports component-level and fusion-level results with statistical analysis. Section VII discusses interpretability via SHAP. Section VIII addresses limitations and future work. Section IX concludes.</w:t>
      </w:r>
    </w:p>
    <w:p>
      <w:pPr>
        <w:pStyle w:val="Heading1"/>
        <w:spacing w:after="180" w:before="360"/>
      </w:pPr>
      <w:r>
        <w:rPr>
          <w:rFonts w:ascii="Times New Roman" w:cs="Times New Roman" w:eastAsia="Times New Roman" w:hAnsi="Times New Roman"/>
          <w:b/>
          <w:bCs/>
          <w:sz w:val="26"/>
          <w:szCs w:val="26"/>
        </w:rPr>
        <w:t xml:space="preserve">II.  Related Work</w:t>
      </w:r>
    </w:p>
    <w:p>
      <w:pPr>
        <w:spacing w:after="100" w:before="200"/>
      </w:pPr>
      <w:r>
        <w:rPr>
          <w:rFonts w:ascii="Times New Roman" w:cs="Times New Roman" w:eastAsia="Times New Roman" w:hAnsi="Times New Roman"/>
          <w:b/>
          <w:bCs/>
          <w:sz w:val="22"/>
          <w:szCs w:val="22"/>
        </w:rPr>
        <w:t xml:space="preserve">A. Phishing URL Detection</w:t>
      </w:r>
    </w:p>
    <w:p>
      <w:pPr>
        <w:spacing w:after="120" w:before="60" w:line="280"/>
        <w:ind w:firstLine="280"/>
        <w:jc w:val="both"/>
      </w:pPr>
      <w:r>
        <w:rPr>
          <w:rFonts w:ascii="Times New Roman" w:cs="Times New Roman" w:eastAsia="Times New Roman" w:hAnsi="Times New Roman"/>
          <w:sz w:val="22"/>
          <w:szCs w:val="22"/>
        </w:rPr>
        <w:t xml:space="preserve">Traditional URL phishing detection relies on hand-engineered lexical features (length, special characters, TLD risk) combined with classical machine learning. Sahingoz et al. (2019) achieved 97.98% accuracy on English-language PhishTank using Random Forest with 91 features. More recent work (Bahnsen et al., 2017; Le et al., 2018) employs LSTM and Transformer architectures directly on URL character sequences. URLTran (Maneriker et al., 2021) achieves 92-95% on diverse phishing corpora using BERT-style pretraining. None of these systems are trained on or evaluated against Bangladeshi MFS-specific phishing patterns.</w:t>
      </w:r>
    </w:p>
    <w:p>
      <w:pPr>
        <w:spacing w:after="100" w:before="200"/>
      </w:pPr>
      <w:r>
        <w:rPr>
          <w:rFonts w:ascii="Times New Roman" w:cs="Times New Roman" w:eastAsia="Times New Roman" w:hAnsi="Times New Roman"/>
          <w:b/>
          <w:bCs/>
          <w:sz w:val="22"/>
          <w:szCs w:val="22"/>
        </w:rPr>
        <w:t xml:space="preserve">B. SMS Smishing Detection</w:t>
      </w:r>
    </w:p>
    <w:p>
      <w:pPr>
        <w:spacing w:after="120" w:before="60" w:line="280"/>
        <w:ind w:firstLine="280"/>
        <w:jc w:val="both"/>
      </w:pPr>
      <w:r>
        <w:rPr>
          <w:rFonts w:ascii="Times New Roman" w:cs="Times New Roman" w:eastAsia="Times New Roman" w:hAnsi="Times New Roman"/>
          <w:sz w:val="22"/>
          <w:szCs w:val="22"/>
        </w:rPr>
        <w:t xml:space="preserve">English-language smishing detection has been studied extensively (Almeida et al., 2011; Hidalgo et al., 2012). For low-resource languages, BanglaBERT (Bhattacharjee et al., 2022) provides strong representations achieving 99.46% on BangalaBarta. However, BanglaBERT's 890 MB model size and 47× slower inference make it impractical for on-device deployment. SmishX (Sonowal &amp; Kuppusamy, 2024) uses multilingual transformer features but lacks Bangladesh-specific evaluation. We deliberately select MiniLM-L12-v2 (117 MB, calibrated probability outputs) over BanglaBERT to enable on-device fusion.</w:t>
      </w:r>
    </w:p>
    <w:p>
      <w:pPr>
        <w:spacing w:after="100" w:before="200"/>
      </w:pPr>
      <w:r>
        <w:rPr>
          <w:rFonts w:ascii="Times New Roman" w:cs="Times New Roman" w:eastAsia="Times New Roman" w:hAnsi="Times New Roman"/>
          <w:b/>
          <w:bCs/>
          <w:sz w:val="22"/>
          <w:szCs w:val="22"/>
        </w:rPr>
        <w:t xml:space="preserve">C. Multi-Signal Fusion</w:t>
      </w:r>
    </w:p>
    <w:p>
      <w:pPr>
        <w:spacing w:after="120" w:before="60" w:line="280"/>
        <w:ind w:firstLine="280"/>
        <w:jc w:val="both"/>
      </w:pPr>
      <w:r>
        <w:rPr>
          <w:rFonts w:ascii="Times New Roman" w:cs="Times New Roman" w:eastAsia="Times New Roman" w:hAnsi="Times New Roman"/>
          <w:sz w:val="22"/>
          <w:szCs w:val="22"/>
        </w:rPr>
        <w:t xml:space="preserve">Information fusion for security has roots in Dempster–Shafer theory (Shafer, 1976; Yager, 1987). Recent neural fusion approaches include Cross-Modal Attention (Vaswani et al., 2017; Tsai et al., 2019) for vision–language tasks and Multimodal Bilinear Fusion (Fukui et al., 2016). Within cybersecurity, Multi-Modal Phishing Detection (Liu et al., 2023) fuses URL features with HTML DOM features—but assumes static signal reliability. Our ECAFN architecture is, to our knowledge, the first to use a learned </w:t>
      </w:r>
      <w:r>
        <w:rPr>
          <w:rFonts w:ascii="Times New Roman" w:cs="Times New Roman" w:eastAsia="Times New Roman" w:hAnsi="Times New Roman"/>
          <w:i/>
          <w:iCs/>
          <w:sz w:val="22"/>
          <w:szCs w:val="22"/>
        </w:rPr>
        <w:t xml:space="preserve">context vector</w:t>
      </w:r>
      <w:r>
        <w:rPr>
          <w:rFonts w:ascii="Times New Roman" w:cs="Times New Roman" w:eastAsia="Times New Roman" w:hAnsi="Times New Roman"/>
          <w:sz w:val="22"/>
          <w:szCs w:val="22"/>
        </w:rPr>
        <w:t xml:space="preserve"> to dynamically calibrate per-detector reliability before evidence combination, with cross-attention serving as a conflict resolution mechanism between disagreeing detectors.</w:t>
      </w:r>
    </w:p>
    <w:p>
      <w:pPr>
        <w:spacing w:after="100" w:before="200"/>
      </w:pPr>
      <w:r>
        <w:rPr>
          <w:rFonts w:ascii="Times New Roman" w:cs="Times New Roman" w:eastAsia="Times New Roman" w:hAnsi="Times New Roman"/>
          <w:b/>
          <w:bCs/>
          <w:sz w:val="22"/>
          <w:szCs w:val="22"/>
        </w:rPr>
        <w:t xml:space="preserve">D. Bangladesh-Specific Security Research</w:t>
      </w:r>
    </w:p>
    <w:p>
      <w:pPr>
        <w:spacing w:after="120" w:before="60" w:line="280"/>
        <w:ind w:firstLine="280"/>
        <w:jc w:val="both"/>
      </w:pPr>
      <w:r>
        <w:rPr>
          <w:rFonts w:ascii="Times New Roman" w:cs="Times New Roman" w:eastAsia="Times New Roman" w:hAnsi="Times New Roman"/>
          <w:sz w:val="22"/>
          <w:szCs w:val="22"/>
        </w:rPr>
        <w:t xml:space="preserve">Existing research on Bangladesh MFS security is limited. Hasan et al. (2023) study bKash user perceptions of fraud but do not propose detection systems. Rahman et al. (2024) analyze Nagad transaction patterns but focus on fraud rather than phishing. To our knowledge, SecureSpeak is the first work to (a) jointly target URL, SMS, and network signals for Bangladesh MFS, (b) train and evaluate on real PCAPdroid captures from Bangladeshi devices, and (c) incorporate verified Bangladeshi app whitelisting into the fusion context.</w:t>
      </w:r>
    </w:p>
    <w:p>
      <w:pPr>
        <w:pStyle w:val="Heading1"/>
        <w:spacing w:after="180" w:before="360"/>
      </w:pPr>
      <w:r>
        <w:rPr>
          <w:rFonts w:ascii="Times New Roman" w:cs="Times New Roman" w:eastAsia="Times New Roman" w:hAnsi="Times New Roman"/>
          <w:b/>
          <w:bCs/>
          <w:sz w:val="26"/>
          <w:szCs w:val="26"/>
        </w:rPr>
        <w:t xml:space="preserve">III.  System Architecture</w:t>
      </w:r>
    </w:p>
    <w:p>
      <w:pPr>
        <w:spacing w:after="120" w:before="60" w:line="280"/>
        <w:ind w:firstLine="280"/>
        <w:jc w:val="both"/>
      </w:pPr>
      <w:r>
        <w:rPr>
          <w:rFonts w:ascii="Times New Roman" w:cs="Times New Roman" w:eastAsia="Times New Roman" w:hAnsi="Times New Roman"/>
          <w:sz w:val="22"/>
          <w:szCs w:val="22"/>
        </w:rPr>
        <w:t xml:space="preserve">SecureSpeak is composed of three independent detection layers fused by ECAFN, with bilingual warning generation as the user-facing output. Fig. 1 illustrates the end-to-end pipeline. Each detection layer produces a single calibrated probability: </w:t>
      </w:r>
      <w:r>
        <w:rPr>
          <w:rFonts w:ascii="Times New Roman" w:cs="Times New Roman" w:eastAsia="Times New Roman" w:hAnsi="Times New Roman"/>
          <w:i/>
          <w:iCs/>
          <w:sz w:val="22"/>
          <w:szCs w:val="22"/>
        </w:rPr>
        <w:t xml:space="preserve">pp</w:t>
      </w:r>
      <w:r>
        <w:rPr>
          <w:rFonts w:ascii="Times New Roman" w:cs="Times New Roman" w:eastAsia="Times New Roman" w:hAnsi="Times New Roman"/>
          <w:sz w:val="22"/>
          <w:szCs w:val="22"/>
        </w:rPr>
        <w:t xml:space="preserve"> ∈ [0, 1] (URL phishing probability), an SMS smishing score, and </w:t>
      </w:r>
      <w:r>
        <w:rPr>
          <w:rFonts w:ascii="Times New Roman" w:cs="Times New Roman" w:eastAsia="Times New Roman" w:hAnsi="Times New Roman"/>
          <w:i/>
          <w:iCs/>
          <w:sz w:val="22"/>
          <w:szCs w:val="22"/>
        </w:rPr>
        <w:t xml:space="preserve">ap</w:t>
      </w:r>
      <w:r>
        <w:rPr>
          <w:rFonts w:ascii="Times New Roman" w:cs="Times New Roman" w:eastAsia="Times New Roman" w:hAnsi="Times New Roman"/>
          <w:sz w:val="22"/>
          <w:szCs w:val="22"/>
        </w:rPr>
        <w:t xml:space="preserve"> ∈ [0, 1] (network anomaly probability). ECAFN combines </w:t>
      </w:r>
      <w:r>
        <w:rPr>
          <w:rFonts w:ascii="Times New Roman" w:cs="Times New Roman" w:eastAsia="Times New Roman" w:hAnsi="Times New Roman"/>
          <w:i/>
          <w:iCs/>
          <w:sz w:val="22"/>
          <w:szCs w:val="22"/>
        </w:rPr>
        <w:t xml:space="preserve">pp</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ap</w:t>
      </w:r>
      <w:r>
        <w:rPr>
          <w:rFonts w:ascii="Times New Roman" w:cs="Times New Roman" w:eastAsia="Times New Roman" w:hAnsi="Times New Roman"/>
          <w:sz w:val="22"/>
          <w:szCs w:val="22"/>
        </w:rPr>
        <w:t xml:space="preserve"> conditioned on a 12-dimensional context vector </w:t>
      </w:r>
      <w:r>
        <w:rPr>
          <w:rFonts w:ascii="Times New Roman" w:cs="Times New Roman" w:eastAsia="Times New Roman" w:hAnsi="Times New Roman"/>
          <w:i/>
          <w:iCs/>
          <w:sz w:val="22"/>
          <w:szCs w:val="22"/>
        </w:rPr>
        <w:t xml:space="preserve">c ∈ R¹²</w:t>
      </w:r>
      <w:r>
        <w:rPr>
          <w:rFonts w:ascii="Times New Roman" w:cs="Times New Roman" w:eastAsia="Times New Roman" w:hAnsi="Times New Roman"/>
          <w:sz w:val="22"/>
          <w:szCs w:val="22"/>
        </w:rPr>
        <w:t xml:space="preserve">, producing a final risk classification HIGH / MEDIUM / LOW.</w:t>
      </w:r>
    </w:p>
    <w:p>
      <w:pPr>
        <w:spacing w:after="180" w:before="60"/>
        <w:jc w:val="center"/>
      </w:pPr>
      <w:r>
        <w:rPr>
          <w:rFonts w:ascii="Times New Roman" w:cs="Times New Roman" w:eastAsia="Times New Roman" w:hAnsi="Times New Roman"/>
          <w:b/>
          <w:bCs/>
          <w:sz w:val="20"/>
          <w:szCs w:val="20"/>
        </w:rPr>
        <w:t xml:space="preserve">Fig. 1. SecureSpeak end-to-end pipeline: URL, SMS, and network detection layers feed calibrated probabilities into ECAFN fusion, which conditions on a 12-dimensional Bangladesh-specific context vector.</w:t>
      </w:r>
    </w:p>
    <w:p>
      <w:pPr>
        <w:pStyle w:val="Heading2"/>
        <w:spacing w:after="140" w:before="280"/>
      </w:pPr>
      <w:r>
        <w:rPr>
          <w:rFonts w:ascii="Times New Roman" w:cs="Times New Roman" w:eastAsia="Times New Roman" w:hAnsi="Times New Roman"/>
          <w:b/>
          <w:bCs/>
          <w:i/>
          <w:iCs/>
          <w:sz w:val="24"/>
          <w:szCs w:val="24"/>
        </w:rPr>
        <w:t xml:space="preserve">A.  URL Phishing Detector</w:t>
      </w:r>
    </w:p>
    <w:p>
      <w:pPr>
        <w:spacing w:after="120" w:before="60" w:line="280"/>
        <w:ind w:firstLine="280"/>
        <w:jc w:val="both"/>
      </w:pPr>
      <w:r>
        <w:rPr>
          <w:rFonts w:ascii="Times New Roman" w:cs="Times New Roman" w:eastAsia="Times New Roman" w:hAnsi="Times New Roman"/>
          <w:sz w:val="22"/>
          <w:szCs w:val="22"/>
        </w:rPr>
        <w:t xml:space="preserve">The URL layer uses 26 hand-engineered features extracted from each URL, partitioned into four groups: </w:t>
      </w:r>
      <w:r>
        <w:rPr>
          <w:rFonts w:ascii="Times New Roman" w:cs="Times New Roman" w:eastAsia="Times New Roman" w:hAnsi="Times New Roman"/>
          <w:i/>
          <w:iCs/>
          <w:sz w:val="22"/>
          <w:szCs w:val="22"/>
        </w:rPr>
        <w:t xml:space="preserve">(i) structural features</w:t>
      </w:r>
      <w:r>
        <w:rPr>
          <w:rFonts w:ascii="Times New Roman" w:cs="Times New Roman" w:eastAsia="Times New Roman" w:hAnsi="Times New Roman"/>
          <w:sz w:val="22"/>
          <w:szCs w:val="22"/>
        </w:rPr>
        <w:t xml:space="preserve"> (length, dot count, slash count, special characters, digit/letter ratios); </w:t>
      </w:r>
      <w:r>
        <w:rPr>
          <w:rFonts w:ascii="Times New Roman" w:cs="Times New Roman" w:eastAsia="Times New Roman" w:hAnsi="Times New Roman"/>
          <w:i/>
          <w:iCs/>
          <w:sz w:val="22"/>
          <w:szCs w:val="22"/>
        </w:rPr>
        <w:t xml:space="preserve">(ii) lexical features</w:t>
      </w:r>
      <w:r>
        <w:rPr>
          <w:rFonts w:ascii="Times New Roman" w:cs="Times New Roman" w:eastAsia="Times New Roman" w:hAnsi="Times New Roman"/>
          <w:sz w:val="22"/>
          <w:szCs w:val="22"/>
        </w:rPr>
        <w:t xml:space="preserve"> (domain length, subdomain depth, TLD analysis); </w:t>
      </w:r>
      <w:r>
        <w:rPr>
          <w:rFonts w:ascii="Times New Roman" w:cs="Times New Roman" w:eastAsia="Times New Roman" w:hAnsi="Times New Roman"/>
          <w:i/>
          <w:iCs/>
          <w:sz w:val="22"/>
          <w:szCs w:val="22"/>
        </w:rPr>
        <w:t xml:space="preserve">(iii) Bangladesh-specific brand features</w:t>
      </w:r>
      <w:r>
        <w:rPr>
          <w:rFonts w:ascii="Times New Roman" w:cs="Times New Roman" w:eastAsia="Times New Roman" w:hAnsi="Times New Roman"/>
          <w:sz w:val="22"/>
          <w:szCs w:val="22"/>
        </w:rPr>
        <w:t xml:space="preserve"> (bKash, Nagad, Rocket keyword detection, brand impersonation score, lookalike domain similarity); and </w:t>
      </w:r>
      <w:r>
        <w:rPr>
          <w:rFonts w:ascii="Times New Roman" w:cs="Times New Roman" w:eastAsia="Times New Roman" w:hAnsi="Times New Roman"/>
          <w:i/>
          <w:iCs/>
          <w:sz w:val="22"/>
          <w:szCs w:val="22"/>
        </w:rPr>
        <w:t xml:space="preserve">(iv) suspicion indicators</w:t>
      </w:r>
      <w:r>
        <w:rPr>
          <w:rFonts w:ascii="Times New Roman" w:cs="Times New Roman" w:eastAsia="Times New Roman" w:hAnsi="Times New Roman"/>
          <w:sz w:val="22"/>
          <w:szCs w:val="22"/>
        </w:rPr>
        <w:t xml:space="preserve"> (URL entropy, free-hosting TLDs .tk/.ml/.ga, financial keywords). Features are scaled via StandardScaler and classified with Random Forest (300 estimators, </w:t>
      </w:r>
      <w:r>
        <w:rPr>
          <w:rFonts w:ascii="Courier New" w:cs="Courier New" w:eastAsia="Courier New" w:hAnsi="Courier New"/>
          <w:sz w:val="22"/>
          <w:szCs w:val="22"/>
        </w:rPr>
        <w:t xml:space="preserve">max_depth=None</w:t>
      </w:r>
      <w:r>
        <w:rPr>
          <w:rFonts w:ascii="Times New Roman" w:cs="Times New Roman" w:eastAsia="Times New Roman" w:hAnsi="Times New Roman"/>
          <w:sz w:val="22"/>
          <w:szCs w:val="22"/>
        </w:rPr>
        <w:t xml:space="preserve">, </w:t>
      </w:r>
      <w:r>
        <w:rPr>
          <w:rFonts w:ascii="Courier New" w:cs="Courier New" w:eastAsia="Courier New" w:hAnsi="Courier New"/>
          <w:sz w:val="22"/>
          <w:szCs w:val="22"/>
        </w:rPr>
        <w:t xml:space="preserve">class_weight="balanced"</w:t>
      </w:r>
      <w:r>
        <w:rPr>
          <w:rFonts w:ascii="Times New Roman" w:cs="Times New Roman" w:eastAsia="Times New Roman" w:hAnsi="Times New Roman"/>
          <w:sz w:val="22"/>
          <w:szCs w:val="22"/>
        </w:rPr>
        <w:t xml:space="preserve">).</w:t>
      </w:r>
    </w:p>
    <w:p>
      <w:pPr>
        <w:pStyle w:val="Heading2"/>
        <w:spacing w:after="140" w:before="280"/>
      </w:pPr>
      <w:r>
        <w:rPr>
          <w:rFonts w:ascii="Times New Roman" w:cs="Times New Roman" w:eastAsia="Times New Roman" w:hAnsi="Times New Roman"/>
          <w:b/>
          <w:bCs/>
          <w:i/>
          <w:iCs/>
          <w:sz w:val="24"/>
          <w:szCs w:val="24"/>
        </w:rPr>
        <w:t xml:space="preserve">B.  Bangla SMS Smishing Detector</w:t>
      </w:r>
    </w:p>
    <w:p>
      <w:pPr>
        <w:spacing w:after="120" w:before="60" w:line="280"/>
        <w:ind w:firstLine="280"/>
        <w:jc w:val="both"/>
      </w:pPr>
      <w:r>
        <w:rPr>
          <w:rFonts w:ascii="Times New Roman" w:cs="Times New Roman" w:eastAsia="Times New Roman" w:hAnsi="Times New Roman"/>
          <w:sz w:val="22"/>
          <w:szCs w:val="22"/>
        </w:rPr>
        <w:t xml:space="preserve">The SMS layer combines (i) 384-dimensional semantic embeddings from the multilingual sentence-transformer </w:t>
      </w:r>
      <w:r>
        <w:rPr>
          <w:rFonts w:ascii="Courier New" w:cs="Courier New" w:eastAsia="Courier New" w:hAnsi="Courier New"/>
          <w:sz w:val="22"/>
          <w:szCs w:val="22"/>
        </w:rPr>
        <w:t xml:space="preserve">paraphrase-multilingual-MiniLM-L12-v2</w:t>
      </w:r>
      <w:r>
        <w:rPr>
          <w:rFonts w:ascii="Times New Roman" w:cs="Times New Roman" w:eastAsia="Times New Roman" w:hAnsi="Times New Roman"/>
          <w:sz w:val="22"/>
          <w:szCs w:val="22"/>
        </w:rPr>
        <w:t xml:space="preserve"> with (ii) 6 hand-crafted keyword features (URL presence, MFS brand keywords in Bangla, urgency keywords, message length ratio, exclamation density, digit ratio). The concatenated 390-dimensional vector is scaled and classified with Logistic Regression. MiniLM is chosen over BanglaBERT for three reasons: model size (117 MB vs 890 MB), inference latency (47× faster), and native calibrated probability outputs required by ECAFN.</w:t>
      </w:r>
    </w:p>
    <w:p>
      <w:pPr>
        <w:pStyle w:val="Heading2"/>
        <w:spacing w:after="140" w:before="280"/>
      </w:pPr>
      <w:r>
        <w:rPr>
          <w:rFonts w:ascii="Times New Roman" w:cs="Times New Roman" w:eastAsia="Times New Roman" w:hAnsi="Times New Roman"/>
          <w:b/>
          <w:bCs/>
          <w:i/>
          <w:iCs/>
          <w:sz w:val="24"/>
          <w:szCs w:val="24"/>
        </w:rPr>
        <w:t xml:space="preserve">C.  Network Flow Anomaly Detector</w:t>
      </w:r>
    </w:p>
    <w:p>
      <w:pPr>
        <w:spacing w:after="120" w:before="60" w:line="280"/>
        <w:ind w:firstLine="280"/>
        <w:jc w:val="both"/>
      </w:pPr>
      <w:r>
        <w:rPr>
          <w:rFonts w:ascii="Times New Roman" w:cs="Times New Roman" w:eastAsia="Times New Roman" w:hAnsi="Times New Roman"/>
          <w:sz w:val="22"/>
          <w:szCs w:val="22"/>
        </w:rPr>
        <w:t xml:space="preserve">The network layer operates on 80 flow features extracted via CICFlowMeter from PCAPdroid captures. Three components run in parallel: </w:t>
      </w:r>
      <w:r>
        <w:rPr>
          <w:rFonts w:ascii="Times New Roman" w:cs="Times New Roman" w:eastAsia="Times New Roman" w:hAnsi="Times New Roman"/>
          <w:i/>
          <w:iCs/>
          <w:sz w:val="22"/>
          <w:szCs w:val="22"/>
        </w:rPr>
        <w:t xml:space="preserve">(i) XGBoost classifier</w:t>
      </w:r>
      <w:r>
        <w:rPr>
          <w:rFonts w:ascii="Times New Roman" w:cs="Times New Roman" w:eastAsia="Times New Roman" w:hAnsi="Times New Roman"/>
          <w:sz w:val="22"/>
          <w:szCs w:val="22"/>
        </w:rPr>
        <w:t xml:space="preserve"> trained on benign and three known malware families (SMS_MALWARE, ADWARE, RANSOMWARE) for known-threat classification; </w:t>
      </w:r>
      <w:r>
        <w:rPr>
          <w:rFonts w:ascii="Times New Roman" w:cs="Times New Roman" w:eastAsia="Times New Roman" w:hAnsi="Times New Roman"/>
          <w:i/>
          <w:iCs/>
          <w:sz w:val="22"/>
          <w:szCs w:val="22"/>
        </w:rPr>
        <w:t xml:space="preserve">(ii) FlowAE</w:t>
      </w:r>
      <w:r>
        <w:rPr>
          <w:rFonts w:ascii="Times New Roman" w:cs="Times New Roman" w:eastAsia="Times New Roman" w:hAnsi="Times New Roman"/>
          <w:sz w:val="22"/>
          <w:szCs w:val="22"/>
        </w:rPr>
        <w:t xml:space="preserve">, a 128-dimensional symmetric autoencoder (Linear-BatchNorm-GELU-Dropout architecture) producing per-flow reconstruction error for zero-day detection; and </w:t>
      </w:r>
      <w:r>
        <w:rPr>
          <w:rFonts w:ascii="Times New Roman" w:cs="Times New Roman" w:eastAsia="Times New Roman" w:hAnsi="Times New Roman"/>
          <w:i/>
          <w:iCs/>
          <w:sz w:val="22"/>
          <w:szCs w:val="22"/>
        </w:rPr>
        <w:t xml:space="preserve">(iii) IsolationForest</w:t>
      </w:r>
      <w:r>
        <w:rPr>
          <w:rFonts w:ascii="Times New Roman" w:cs="Times New Roman" w:eastAsia="Times New Roman" w:hAnsi="Times New Roman"/>
          <w:sz w:val="22"/>
          <w:szCs w:val="22"/>
        </w:rPr>
        <w:t xml:space="preserve"> producing the normalized anomaly probability </w:t>
      </w:r>
      <w:r>
        <w:rPr>
          <w:rFonts w:ascii="Times New Roman" w:cs="Times New Roman" w:eastAsia="Times New Roman" w:hAnsi="Times New Roman"/>
          <w:i/>
          <w:iCs/>
          <w:sz w:val="22"/>
          <w:szCs w:val="22"/>
        </w:rPr>
        <w:t xml:space="preserve">ap</w:t>
      </w:r>
      <w:r>
        <w:rPr>
          <w:rFonts w:ascii="Times New Roman" w:cs="Times New Roman" w:eastAsia="Times New Roman" w:hAnsi="Times New Roman"/>
          <w:sz w:val="22"/>
          <w:szCs w:val="22"/>
        </w:rPr>
        <w:t xml:space="preserve"> = clip((−score − r_min) / (r_max − r_min), 0, 1) where r_min and r_max are fitted on benign training flows.</w:t>
      </w:r>
    </w:p>
    <w:p>
      <w:pPr>
        <w:pStyle w:val="Heading2"/>
        <w:spacing w:after="140" w:before="280"/>
      </w:pPr>
      <w:r>
        <w:rPr>
          <w:rFonts w:ascii="Times New Roman" w:cs="Times New Roman" w:eastAsia="Times New Roman" w:hAnsi="Times New Roman"/>
          <w:b/>
          <w:bCs/>
          <w:i/>
          <w:iCs/>
          <w:sz w:val="24"/>
          <w:szCs w:val="24"/>
        </w:rPr>
        <w:t xml:space="preserve">D.  ECAFN Fusion Engine</w:t>
      </w:r>
    </w:p>
    <w:p>
      <w:pPr>
        <w:spacing w:after="120" w:before="60" w:line="280"/>
        <w:ind w:firstLine="280"/>
        <w:jc w:val="both"/>
      </w:pPr>
      <w:r>
        <w:rPr>
          <w:rFonts w:ascii="Times New Roman" w:cs="Times New Roman" w:eastAsia="Times New Roman" w:hAnsi="Times New Roman"/>
          <w:sz w:val="22"/>
          <w:szCs w:val="22"/>
        </w:rPr>
        <w:t xml:space="preserve">ECAFN is the central technical contribution. Given URL signal pp ∈ [0,1] and network signal ap ∈ [0,1], plus contextual metadata (Android package name, destination port, timestamp, flow byte/packet counts, protocol), ECAFN produces a single final threat probability through four sequential stages.</w:t>
      </w:r>
    </w:p>
    <w:p>
      <w:pPr>
        <w:spacing w:after="100" w:before="200"/>
      </w:pPr>
      <w:r>
        <w:rPr>
          <w:rFonts w:ascii="Times New Roman" w:cs="Times New Roman" w:eastAsia="Times New Roman" w:hAnsi="Times New Roman"/>
          <w:b/>
          <w:bCs/>
          <w:sz w:val="22"/>
          <w:szCs w:val="22"/>
        </w:rPr>
        <w:t xml:space="preserve">1) Context Vector Construction</w:t>
      </w:r>
    </w:p>
    <w:p>
      <w:pPr>
        <w:spacing w:after="120" w:before="60" w:line="280"/>
        <w:ind w:firstLine="280"/>
        <w:jc w:val="both"/>
      </w:pPr>
      <w:r>
        <w:rPr>
          <w:rFonts w:ascii="Times New Roman" w:cs="Times New Roman" w:eastAsia="Times New Roman" w:hAnsi="Times New Roman"/>
          <w:sz w:val="22"/>
          <w:szCs w:val="22"/>
        </w:rPr>
        <w:t xml:space="preserve">The 12-dimensional context vector c is computed deterministically from real PCAPdroid metadata:</w:t>
      </w:r>
    </w:p>
    <w:p>
      <w:pPr>
        <w:spacing w:after="120" w:before="60" w:line="280"/>
        <w:ind w:firstLine="280"/>
        <w:jc w:val="both"/>
      </w:pPr>
      <w:r>
        <w:rPr>
          <w:rFonts w:ascii="Times New Roman" w:cs="Times New Roman" w:eastAsia="Times New Roman" w:hAnsi="Times New Roman"/>
          <w:sz w:val="22"/>
          <w:szCs w:val="22"/>
        </w:rPr>
        <w:t xml:space="preserve">c = [</w:t>
      </w:r>
      <w:r>
        <w:rPr>
          <w:rFonts w:ascii="Times New Roman" w:cs="Times New Roman" w:eastAsia="Times New Roman" w:hAnsi="Times New Roman"/>
          <w:i/>
          <w:iCs/>
          <w:sz w:val="22"/>
          <w:szCs w:val="22"/>
        </w:rPr>
        <w:t xml:space="preserve">app_trust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port_trust</w:t>
      </w:r>
      <w:r>
        <w:rPr>
          <w:rFonts w:ascii="Times New Roman" w:cs="Times New Roman" w:eastAsia="Times New Roman" w:hAnsi="Times New Roman"/>
          <w:sz w:val="22"/>
          <w:szCs w:val="22"/>
        </w:rPr>
        <w:t xml:space="preserve">, sin(2πt/24), cos(2πt/24), log₁₀(1+bytes)/10, log₁₀(1+pkts/s)/5, log₁₀(1+duration)/6, </w:t>
      </w:r>
      <w:r>
        <w:rPr>
          <w:rFonts w:ascii="Times New Roman" w:cs="Times New Roman" w:eastAsia="Times New Roman" w:hAnsi="Times New Roman"/>
          <w:i/>
          <w:iCs/>
          <w:sz w:val="22"/>
          <w:szCs w:val="22"/>
        </w:rPr>
        <w:t xml:space="preserve">proto_risk</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mfs_context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brand_impersonate</w:t>
      </w:r>
      <w:r>
        <w:rPr>
          <w:rFonts w:ascii="Times New Roman" w:cs="Times New Roman" w:eastAsia="Times New Roman" w:hAnsi="Times New Roman"/>
          <w:sz w:val="22"/>
          <w:szCs w:val="22"/>
        </w:rPr>
        <w:t xml:space="preserve">, pp·ap, |pp−ap|]</w:t>
      </w:r>
    </w:p>
    <w:p>
      <w:pPr>
        <w:spacing w:after="120" w:before="60" w:line="280"/>
        <w:ind w:firstLine="280"/>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i/>
          <w:iCs/>
          <w:sz w:val="22"/>
          <w:szCs w:val="22"/>
        </w:rPr>
        <w:t xml:space="preserve">app_trust</w:t>
      </w:r>
      <w:r>
        <w:rPr>
          <w:rFonts w:ascii="Times New Roman" w:cs="Times New Roman" w:eastAsia="Times New Roman" w:hAnsi="Times New Roman"/>
          <w:sz w:val="22"/>
          <w:szCs w:val="22"/>
        </w:rPr>
        <w:t xml:space="preserve"> component uses a curated whitelist of 13 verified Bangladeshi MFS and social apps (com.bkash.banking = 0.0, com.nagad.wallet = 0.0, etc.). Unknown packages containing MFS keywords (bkash, nagad, rocket) without being in the whitelist receive a brand-impersonation score of 0.90. The </w:t>
      </w:r>
      <w:r>
        <w:rPr>
          <w:rFonts w:ascii="Times New Roman" w:cs="Times New Roman" w:eastAsia="Times New Roman" w:hAnsi="Times New Roman"/>
          <w:i/>
          <w:iCs/>
          <w:sz w:val="22"/>
          <w:szCs w:val="22"/>
        </w:rPr>
        <w:t xml:space="preserve">port_trust</w:t>
      </w:r>
      <w:r>
        <w:rPr>
          <w:rFonts w:ascii="Times New Roman" w:cs="Times New Roman" w:eastAsia="Times New Roman" w:hAnsi="Times New Roman"/>
          <w:sz w:val="22"/>
          <w:szCs w:val="22"/>
        </w:rPr>
        <w:t xml:space="preserve"> component maps known attack ports {4444, 8888, 9999, 1080, 6666, 3389, 5900, 31337, 12345} to 1.0 and IANA well-known safe ports (443, 80, 53, 5228) to 0.0, with continuous values for unregistered ranges. Time is cyclically encoded to preserve midnight continuity. Network volume features are log-normalized. The final two dimensions are interaction terms: </w:t>
      </w:r>
      <w:r>
        <w:rPr>
          <w:rFonts w:ascii="Times New Roman" w:cs="Times New Roman" w:eastAsia="Times New Roman" w:hAnsi="Times New Roman"/>
          <w:i/>
          <w:iCs/>
          <w:sz w:val="22"/>
          <w:szCs w:val="22"/>
        </w:rPr>
        <w:t xml:space="preserve">pp·ap</w:t>
      </w:r>
      <w:r>
        <w:rPr>
          <w:rFonts w:ascii="Times New Roman" w:cs="Times New Roman" w:eastAsia="Times New Roman" w:hAnsi="Times New Roman"/>
          <w:sz w:val="22"/>
          <w:szCs w:val="22"/>
        </w:rPr>
        <w:t xml:space="preserve"> captures joint signal strength; </w:t>
      </w:r>
      <w:r>
        <w:rPr>
          <w:rFonts w:ascii="Times New Roman" w:cs="Times New Roman" w:eastAsia="Times New Roman" w:hAnsi="Times New Roman"/>
          <w:i/>
          <w:iCs/>
          <w:sz w:val="22"/>
          <w:szCs w:val="22"/>
        </w:rPr>
        <w:t xml:space="preserve">|pp−ap|</w:t>
      </w:r>
      <w:r>
        <w:rPr>
          <w:rFonts w:ascii="Times New Roman" w:cs="Times New Roman" w:eastAsia="Times New Roman" w:hAnsi="Times New Roman"/>
          <w:sz w:val="22"/>
          <w:szCs w:val="22"/>
        </w:rPr>
        <w:t xml:space="preserve"> captures signal conflict, which the cross-attention mechanism later exploits.</w:t>
      </w:r>
    </w:p>
    <w:p>
      <w:pPr>
        <w:spacing w:after="100" w:before="200"/>
      </w:pPr>
      <w:r>
        <w:rPr>
          <w:rFonts w:ascii="Times New Roman" w:cs="Times New Roman" w:eastAsia="Times New Roman" w:hAnsi="Times New Roman"/>
          <w:b/>
          <w:bCs/>
          <w:sz w:val="22"/>
          <w:szCs w:val="22"/>
        </w:rPr>
        <w:t xml:space="preserve">2) ReliabilityMLP</w:t>
      </w:r>
    </w:p>
    <w:p>
      <w:pPr>
        <w:spacing w:after="120" w:before="60" w:line="280"/>
        <w:ind w:firstLine="280"/>
        <w:jc w:val="both"/>
      </w:pPr>
      <w:r>
        <w:rPr>
          <w:rFonts w:ascii="Times New Roman" w:cs="Times New Roman" w:eastAsia="Times New Roman" w:hAnsi="Times New Roman"/>
          <w:sz w:val="22"/>
          <w:szCs w:val="22"/>
        </w:rPr>
        <w:t xml:space="preserve">A small neural network </w:t>
      </w:r>
      <w:r>
        <w:rPr>
          <w:rFonts w:ascii="Times New Roman" w:cs="Times New Roman" w:eastAsia="Times New Roman" w:hAnsi="Times New Roman"/>
          <w:i/>
          <w:iCs/>
          <w:sz w:val="22"/>
          <w:szCs w:val="22"/>
        </w:rPr>
        <w:t xml:space="preserve">g_θ: R¹² → (0,1)²</w:t>
      </w:r>
      <w:r>
        <w:rPr>
          <w:rFonts w:ascii="Times New Roman" w:cs="Times New Roman" w:eastAsia="Times New Roman" w:hAnsi="Times New Roman"/>
          <w:sz w:val="22"/>
          <w:szCs w:val="22"/>
        </w:rPr>
        <w:t xml:space="preserve"> maps the context vector to per-detector reliability weights </w:t>
      </w:r>
      <w:r>
        <w:rPr>
          <w:rFonts w:ascii="Times New Roman" w:cs="Times New Roman" w:eastAsia="Times New Roman" w:hAnsi="Times New Roman"/>
          <w:i/>
          <w:iCs/>
          <w:sz w:val="22"/>
          <w:szCs w:val="22"/>
        </w:rPr>
        <w:t xml:space="preserve">(r_pp, r_ap)</w:t>
      </w:r>
      <w:r>
        <w:rPr>
          <w:rFonts w:ascii="Times New Roman" w:cs="Times New Roman" w:eastAsia="Times New Roman" w:hAnsi="Times New Roman"/>
          <w:sz w:val="22"/>
          <w:szCs w:val="22"/>
        </w:rPr>
        <w:t xml:space="preserve">. Architecture:</w:t>
      </w:r>
    </w:p>
    <w:p>
      <w:pPr>
        <w:spacing w:after="80" w:before="40"/>
        <w:ind w:left="720"/>
      </w:pPr>
      <w:r>
        <w:rPr>
          <w:rFonts w:ascii="Courier New" w:cs="Courier New" w:eastAsia="Courier New" w:hAnsi="Courier New"/>
          <w:sz w:val="20"/>
          <w:szCs w:val="20"/>
        </w:rPr>
        <w:t xml:space="preserve">Linear(12, 48) → LayerNorm → ReLU → Dropout(0.2)</w:t>
      </w:r>
    </w:p>
    <w:p>
      <w:pPr>
        <w:spacing w:after="80" w:before="40"/>
        <w:ind w:left="720"/>
      </w:pPr>
      <w:r>
        <w:rPr>
          <w:rFonts w:ascii="Courier New" w:cs="Courier New" w:eastAsia="Courier New" w:hAnsi="Courier New"/>
          <w:sz w:val="20"/>
          <w:szCs w:val="20"/>
        </w:rPr>
        <w:t xml:space="preserve">→ Linear(48, 24) → ReLU → Linear(24, 2) → Sigmoid</w:t>
      </w:r>
    </w:p>
    <w:p>
      <w:pPr>
        <w:spacing w:after="120" w:before="60" w:line="280"/>
        <w:ind w:firstLine="280"/>
        <w:jc w:val="both"/>
      </w:pPr>
      <w:r>
        <w:rPr>
          <w:rFonts w:ascii="Times New Roman" w:cs="Times New Roman" w:eastAsia="Times New Roman" w:hAnsi="Times New Roman"/>
          <w:sz w:val="22"/>
          <w:szCs w:val="22"/>
        </w:rPr>
        <w:t xml:space="preserve">Total parameters: 1,946. The reliability weights produce calibrated signals </w:t>
      </w:r>
      <w:r>
        <w:rPr>
          <w:rFonts w:ascii="Times New Roman" w:cs="Times New Roman" w:eastAsia="Times New Roman" w:hAnsi="Times New Roman"/>
          <w:i/>
          <w:iCs/>
          <w:sz w:val="22"/>
          <w:szCs w:val="22"/>
        </w:rPr>
        <w:t xml:space="preserve">pp_c = clip(pp · r_pp, 0, 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ap_c = clip(ap · r_ap, 0, 1)</w:t>
      </w:r>
      <w:r>
        <w:rPr>
          <w:rFonts w:ascii="Times New Roman" w:cs="Times New Roman" w:eastAsia="Times New Roman" w:hAnsi="Times New Roman"/>
          <w:sz w:val="22"/>
          <w:szCs w:val="22"/>
        </w:rPr>
        <w:t xml:space="preserve">.</w:t>
      </w:r>
    </w:p>
    <w:p>
      <w:pPr>
        <w:spacing w:after="100" w:before="200"/>
      </w:pPr>
      <w:r>
        <w:rPr>
          <w:rFonts w:ascii="Times New Roman" w:cs="Times New Roman" w:eastAsia="Times New Roman" w:hAnsi="Times New Roman"/>
          <w:b/>
          <w:bCs/>
          <w:sz w:val="22"/>
          <w:szCs w:val="22"/>
        </w:rPr>
        <w:t xml:space="preserve">3) Dempster–Shafer Evidence Combination</w:t>
      </w:r>
    </w:p>
    <w:p>
      <w:pPr>
        <w:spacing w:after="120" w:before="60" w:line="280"/>
        <w:ind w:firstLine="280"/>
        <w:jc w:val="both"/>
      </w:pPr>
      <w:r>
        <w:rPr>
          <w:rFonts w:ascii="Times New Roman" w:cs="Times New Roman" w:eastAsia="Times New Roman" w:hAnsi="Times New Roman"/>
          <w:sz w:val="22"/>
          <w:szCs w:val="22"/>
        </w:rPr>
        <w:t xml:space="preserve">The calibrated signals undergo evidence combination under explicit uncertainty (u_pp = 0.08, u_ap = 0.15):</w:t>
      </w:r>
    </w:p>
    <w:p>
      <w:pPr>
        <w:spacing w:after="100" w:before="100"/>
        <w:jc w:val="center"/>
      </w:pPr>
      <w:r>
        <w:rPr>
          <w:rFonts w:ascii="Cambria Math" w:cs="Cambria Math" w:eastAsia="Cambria Math" w:hAnsi="Cambria Math"/>
          <w:i/>
          <w:iCs/>
          <w:sz w:val="22"/>
          <w:szCs w:val="22"/>
        </w:rPr>
        <w:t xml:space="preserve">m₁(threat) = pp_c · (1−u_pp),    m₁(not) = (1−pp_c)(1−u_pp)</w:t>
      </w:r>
    </w:p>
    <w:p>
      <w:pPr>
        <w:spacing w:after="100" w:before="100"/>
        <w:jc w:val="center"/>
      </w:pPr>
      <w:r>
        <w:rPr>
          <w:rFonts w:ascii="Cambria Math" w:cs="Cambria Math" w:eastAsia="Cambria Math" w:hAnsi="Cambria Math"/>
          <w:i/>
          <w:iCs/>
          <w:sz w:val="22"/>
          <w:szCs w:val="22"/>
        </w:rPr>
        <w:t xml:space="preserve">m₂(threat) = ap_c · (1−u_ap),    m₂(not) = (1−ap_c)(1−u_ap)</w:t>
      </w:r>
    </w:p>
    <w:p>
      <w:pPr>
        <w:spacing w:after="100" w:before="100"/>
        <w:jc w:val="center"/>
      </w:pPr>
      <w:r>
        <w:rPr>
          <w:rFonts w:ascii="Cambria Math" w:cs="Cambria Math" w:eastAsia="Cambria Math" w:hAnsi="Cambria Math"/>
          <w:i/>
          <w:iCs/>
          <w:sz w:val="22"/>
          <w:szCs w:val="22"/>
        </w:rPr>
        <w:t xml:space="preserve">K = m₁(threat)·m₂(not) + m₁(not)·m₂(threat)</w:t>
      </w:r>
    </w:p>
    <w:p>
      <w:pPr>
        <w:spacing w:after="100" w:before="100"/>
        <w:jc w:val="center"/>
      </w:pPr>
      <w:r>
        <w:rPr>
          <w:rFonts w:ascii="Cambria Math" w:cs="Cambria Math" w:eastAsia="Cambria Math" w:hAnsi="Cambria Math"/>
          <w:i/>
          <w:iCs/>
          <w:sz w:val="22"/>
          <w:szCs w:val="22"/>
        </w:rPr>
        <w:t xml:space="preserve">bt = m₁(threat)·m₂(threat) / (1−K),    unc = 1−bt−m₁(not)·m₂(not)/(1−K)</w:t>
      </w:r>
    </w:p>
    <w:p>
      <w:pPr>
        <w:spacing w:after="120" w:before="60" w:line="280"/>
        <w:ind w:firstLine="280"/>
        <w:jc w:val="both"/>
      </w:pPr>
      <w:r>
        <w:rPr>
          <w:rFonts w:ascii="Times New Roman" w:cs="Times New Roman" w:eastAsia="Times New Roman" w:hAnsi="Times New Roman"/>
          <w:sz w:val="22"/>
          <w:szCs w:val="22"/>
        </w:rPr>
        <w:t xml:space="preserve">This produces a belief score bt and explicit uncertainty unc. When detectors agree, K is small and bt is high; when they conflict, K rises and uncertainty grows.</w:t>
      </w:r>
    </w:p>
    <w:p>
      <w:pPr>
        <w:spacing w:after="100" w:before="200"/>
      </w:pPr>
      <w:r>
        <w:rPr>
          <w:rFonts w:ascii="Times New Roman" w:cs="Times New Roman" w:eastAsia="Times New Roman" w:hAnsi="Times New Roman"/>
          <w:b/>
          <w:bCs/>
          <w:sz w:val="22"/>
          <w:szCs w:val="22"/>
        </w:rPr>
        <w:t xml:space="preserve">4) Cross-Attention Gated Fusion (CGF)</w:t>
      </w:r>
    </w:p>
    <w:p>
      <w:pPr>
        <w:spacing w:after="120" w:before="60" w:line="280"/>
        <w:ind w:firstLine="280"/>
        <w:jc w:val="both"/>
      </w:pPr>
      <w:r>
        <w:rPr>
          <w:rFonts w:ascii="Times New Roman" w:cs="Times New Roman" w:eastAsia="Times New Roman" w:hAnsi="Times New Roman"/>
          <w:sz w:val="22"/>
          <w:szCs w:val="22"/>
        </w:rPr>
        <w:t xml:space="preserve">Scaled dot-product attention with the context as query and the calibrated signal pair as key/value:</w:t>
      </w:r>
    </w:p>
    <w:p>
      <w:pPr>
        <w:spacing w:after="100" w:before="100"/>
        <w:jc w:val="center"/>
      </w:pPr>
      <w:r>
        <w:rPr>
          <w:rFonts w:ascii="Cambria Math" w:cs="Cambria Math" w:eastAsia="Cambria Math" w:hAnsi="Cambria Math"/>
          <w:i/>
          <w:iCs/>
          <w:sz w:val="22"/>
          <w:szCs w:val="22"/>
        </w:rPr>
        <w:t xml:space="preserve">Q = W_q · c ∈ R¹⁶,    K = W_k · [pp_c, ap_c],    V = W_v · [pp_c, ap_c]</w:t>
      </w:r>
    </w:p>
    <w:p>
      <w:pPr>
        <w:spacing w:after="100" w:before="100"/>
        <w:jc w:val="center"/>
      </w:pPr>
      <w:r>
        <w:rPr>
          <w:rFonts w:ascii="Cambria Math" w:cs="Cambria Math" w:eastAsia="Cambria Math" w:hAnsi="Cambria Math"/>
          <w:i/>
          <w:iCs/>
          <w:sz w:val="22"/>
          <w:szCs w:val="22"/>
        </w:rPr>
        <w:t xml:space="preserve">α = softmax(QKᵀ / √16),    caf = σ(W_o · LayerNorm(αV))</w:t>
      </w:r>
    </w:p>
    <w:p>
      <w:pPr>
        <w:spacing w:after="120" w:before="60" w:line="280"/>
        <w:ind w:firstLine="280"/>
        <w:jc w:val="both"/>
      </w:pPr>
      <w:r>
        <w:rPr>
          <w:rFonts w:ascii="Times New Roman" w:cs="Times New Roman" w:eastAsia="Times New Roman" w:hAnsi="Times New Roman"/>
          <w:sz w:val="22"/>
          <w:szCs w:val="22"/>
        </w:rPr>
        <w:t xml:space="preserve">Total CGF parameters: 561. The output caf ∈ (0,1) is a context-attended fusion score that complements DST's belief score.</w:t>
      </w:r>
    </w:p>
    <w:p>
      <w:pPr>
        <w:spacing w:after="100" w:before="200"/>
      </w:pPr>
      <w:r>
        <w:rPr>
          <w:rFonts w:ascii="Times New Roman" w:cs="Times New Roman" w:eastAsia="Times New Roman" w:hAnsi="Times New Roman"/>
          <w:b/>
          <w:bCs/>
          <w:sz w:val="22"/>
          <w:szCs w:val="22"/>
        </w:rPr>
        <w:t xml:space="preserve">5) Smooth Conflict-Weighted Combination</w:t>
      </w:r>
    </w:p>
    <w:p>
      <w:pPr>
        <w:spacing w:after="120" w:before="60" w:line="280"/>
        <w:ind w:firstLine="280"/>
        <w:jc w:val="both"/>
      </w:pPr>
      <w:r>
        <w:rPr>
          <w:rFonts w:ascii="Times New Roman" w:cs="Times New Roman" w:eastAsia="Times New Roman" w:hAnsi="Times New Roman"/>
          <w:sz w:val="22"/>
          <w:szCs w:val="22"/>
        </w:rPr>
        <w:t xml:space="preserve">The final score combines bt and caf using a smooth conflict gate:</w:t>
      </w:r>
    </w:p>
    <w:p>
      <w:pPr>
        <w:spacing w:after="100" w:before="100"/>
        <w:jc w:val="center"/>
      </w:pPr>
      <w:r>
        <w:rPr>
          <w:rFonts w:ascii="Cambria Math" w:cs="Cambria Math" w:eastAsia="Cambria Math" w:hAnsi="Cambria Math"/>
          <w:i/>
          <w:iCs/>
          <w:sz w:val="22"/>
          <w:szCs w:val="22"/>
        </w:rPr>
        <w:t xml:space="preserve">w = 1 − σ(5 · |pp_c − ap_c|),    final = w·bt + (1−w)·caf</w:t>
      </w:r>
    </w:p>
    <w:p>
      <w:pPr>
        <w:spacing w:after="120" w:before="60" w:line="280"/>
        <w:ind w:firstLine="280"/>
        <w:jc w:val="both"/>
      </w:pPr>
      <w:r>
        <w:rPr>
          <w:rFonts w:ascii="Times New Roman" w:cs="Times New Roman" w:eastAsia="Times New Roman" w:hAnsi="Times New Roman"/>
          <w:sz w:val="22"/>
          <w:szCs w:val="22"/>
        </w:rPr>
        <w:t xml:space="preserve">When the calibrated signals agree (|pp_c − ap_c| small), </w:t>
      </w:r>
      <w:r>
        <w:rPr>
          <w:rFonts w:ascii="Times New Roman" w:cs="Times New Roman" w:eastAsia="Times New Roman" w:hAnsi="Times New Roman"/>
          <w:i/>
          <w:iCs/>
          <w:sz w:val="22"/>
          <w:szCs w:val="22"/>
        </w:rPr>
        <w:t xml:space="preserve">w → 1</w:t>
      </w:r>
      <w:r>
        <w:rPr>
          <w:rFonts w:ascii="Times New Roman" w:cs="Times New Roman" w:eastAsia="Times New Roman" w:hAnsi="Times New Roman"/>
          <w:sz w:val="22"/>
          <w:szCs w:val="22"/>
        </w:rPr>
        <w:t xml:space="preserve"> and DST belief dominates. When they conflict, </w:t>
      </w:r>
      <w:r>
        <w:rPr>
          <w:rFonts w:ascii="Times New Roman" w:cs="Times New Roman" w:eastAsia="Times New Roman" w:hAnsi="Times New Roman"/>
          <w:i/>
          <w:iCs/>
          <w:sz w:val="22"/>
          <w:szCs w:val="22"/>
        </w:rPr>
        <w:t xml:space="preserve">w → 0</w:t>
      </w:r>
      <w:r>
        <w:rPr>
          <w:rFonts w:ascii="Times New Roman" w:cs="Times New Roman" w:eastAsia="Times New Roman" w:hAnsi="Times New Roman"/>
          <w:sz w:val="22"/>
          <w:szCs w:val="22"/>
        </w:rPr>
        <w:t xml:space="preserve"> and CGF—which has access to context—takes over. This replaces the hard if-else branching found in earlier prototypes with a fully differentiable mechanism. The risk classification follows: </w:t>
      </w:r>
      <w:r>
        <w:rPr>
          <w:rFonts w:ascii="Times New Roman" w:cs="Times New Roman" w:eastAsia="Times New Roman" w:hAnsi="Times New Roman"/>
          <w:i/>
          <w:iCs/>
          <w:sz w:val="22"/>
          <w:szCs w:val="22"/>
        </w:rPr>
        <w:t xml:space="preserve">HIGH if final &gt; TH_HIGH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MEDIUM if final &gt; TH_MED</w:t>
      </w:r>
      <w:r>
        <w:rPr>
          <w:rFonts w:ascii="Times New Roman" w:cs="Times New Roman" w:eastAsia="Times New Roman" w:hAnsi="Times New Roman"/>
          <w:sz w:val="22"/>
          <w:szCs w:val="22"/>
        </w:rPr>
        <w:t xml:space="preserve">, else </w:t>
      </w:r>
      <w:r>
        <w:rPr>
          <w:rFonts w:ascii="Times New Roman" w:cs="Times New Roman" w:eastAsia="Times New Roman" w:hAnsi="Times New Roman"/>
          <w:i/>
          <w:iCs/>
          <w:sz w:val="22"/>
          <w:szCs w:val="22"/>
        </w:rPr>
        <w:t xml:space="preserve">LOW</w:t>
      </w:r>
      <w:r>
        <w:rPr>
          <w:rFonts w:ascii="Times New Roman" w:cs="Times New Roman" w:eastAsia="Times New Roman" w:hAnsi="Times New Roman"/>
          <w:sz w:val="22"/>
          <w:szCs w:val="22"/>
        </w:rPr>
        <w:t xml:space="preserve">.</w:t>
      </w:r>
    </w:p>
    <w:p>
      <w:pPr>
        <w:spacing w:after="180" w:before="60"/>
        <w:jc w:val="center"/>
      </w:pPr>
      <w:r>
        <w:rPr>
          <w:rFonts w:ascii="Times New Roman" w:cs="Times New Roman" w:eastAsia="Times New Roman" w:hAnsi="Times New Roman"/>
          <w:b/>
          <w:bCs/>
          <w:sz w:val="20"/>
          <w:szCs w:val="20"/>
        </w:rPr>
        <w:t xml:space="preserve">Fig. 2. ECAFN architecture detail. Context vector (12-D) drives both the ReliabilityMLP and the CGF cross-attention query. DST and CGF outputs are combined by the smooth conflict gate.</w:t>
      </w:r>
    </w:p>
    <w:p>
      <w:pPr>
        <w:pStyle w:val="Heading1"/>
        <w:spacing w:after="180" w:before="360"/>
      </w:pPr>
      <w:r>
        <w:rPr>
          <w:rFonts w:ascii="Times New Roman" w:cs="Times New Roman" w:eastAsia="Times New Roman" w:hAnsi="Times New Roman"/>
          <w:b/>
          <w:bCs/>
          <w:sz w:val="26"/>
          <w:szCs w:val="26"/>
        </w:rPr>
        <w:t xml:space="preserve">IV.  Datasets and Leakage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60"/>
        <w:gridCol w:w="2300"/>
      </w:tblGrid>
      <w:tr>
        <w:tc>
          <w:tcPr>
            <w:tcW w:type="dxa" w:w="24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Dataset</w:t>
            </w:r>
          </w:p>
        </w:tc>
        <w:tc>
          <w:tcPr>
            <w:tcW w:type="dxa" w:w="28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Source</w:t>
            </w:r>
          </w:p>
        </w:tc>
        <w:tc>
          <w:tcPr>
            <w:tcW w:type="dxa" w:w="186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Size</w:t>
            </w:r>
          </w:p>
        </w:tc>
        <w:tc>
          <w:tcPr>
            <w:tcW w:type="dxa" w:w="23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Role</w:t>
            </w:r>
          </w:p>
        </w:tc>
      </w:tr>
      <w:tr>
        <w:tc>
          <w:tcPr>
            <w:tcW w:type="dxa" w:w="2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StealthPhisher 2025</w:t>
            </w:r>
          </w:p>
        </w:tc>
        <w:tc>
          <w:tcPr>
            <w:tcW w:type="dxa" w:w="2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Curated Bangladesh-relevant URLs</w:t>
            </w:r>
          </w:p>
        </w:tc>
        <w:tc>
          <w:tcPr>
            <w:tcW w:type="dxa" w:w="18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150,000 URLs</w:t>
            </w:r>
          </w:p>
        </w:tc>
        <w:tc>
          <w:tcPr>
            <w:tcW w:type="dxa" w:w="2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URL detector training</w:t>
            </w:r>
          </w:p>
        </w:tc>
      </w:tr>
      <w:tr>
        <w:tc>
          <w:tcPr>
            <w:tcW w:type="dxa" w:w="2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BangalaBarta 2024</w:t>
            </w:r>
          </w:p>
        </w:tc>
        <w:tc>
          <w:tcPr>
            <w:tcW w:type="dxa" w:w="2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Bangla SMS smishing corpus</w:t>
            </w:r>
          </w:p>
        </w:tc>
        <w:tc>
          <w:tcPr>
            <w:tcW w:type="dxa" w:w="18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4,374 messages</w:t>
            </w:r>
          </w:p>
        </w:tc>
        <w:tc>
          <w:tcPr>
            <w:tcW w:type="dxa" w:w="2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SMS detector training</w:t>
            </w:r>
          </w:p>
        </w:tc>
      </w:tr>
      <w:tr>
        <w:tc>
          <w:tcPr>
            <w:tcW w:type="dxa" w:w="2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CICMalAnal2017</w:t>
            </w:r>
          </w:p>
        </w:tc>
        <w:tc>
          <w:tcPr>
            <w:tcW w:type="dxa" w:w="2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Android malware network flows</w:t>
            </w:r>
          </w:p>
        </w:tc>
        <w:tc>
          <w:tcPr>
            <w:tcW w:type="dxa" w:w="18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400,000 flows (5 families)</w:t>
            </w:r>
          </w:p>
        </w:tc>
        <w:tc>
          <w:tcPr>
            <w:tcW w:type="dxa" w:w="2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Network classifier + zero-day</w:t>
            </w:r>
          </w:p>
        </w:tc>
      </w:tr>
      <w:tr>
        <w:tc>
          <w:tcPr>
            <w:tcW w:type="dxa" w:w="2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PCAPdroid Bangladesh</w:t>
            </w:r>
          </w:p>
        </w:tc>
        <w:tc>
          <w:tcPr>
            <w:tcW w:type="dxa" w:w="2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6 volunteer Android devices</w:t>
            </w:r>
          </w:p>
        </w:tc>
        <w:tc>
          <w:tcPr>
            <w:tcW w:type="dxa" w:w="18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52,118 real flows</w:t>
            </w:r>
          </w:p>
        </w:tc>
        <w:tc>
          <w:tcPr>
            <w:tcW w:type="dxa" w:w="2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Real-world FPR, benign ap</w:t>
            </w:r>
          </w:p>
        </w:tc>
      </w:tr>
      <w:tr>
        <w:tc>
          <w:tcPr>
            <w:tcW w:type="dxa" w:w="2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PhishTank BORDERLINE</w:t>
            </w:r>
          </w:p>
        </w:tc>
        <w:tc>
          <w:tcPr>
            <w:tcW w:type="dxa" w:w="2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Real phishing URLs with pp ∈ [0.30, 0.70]</w:t>
            </w:r>
          </w:p>
        </w:tc>
        <w:tc>
          <w:tcPr>
            <w:tcW w:type="dxa" w:w="18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194 URLs</w:t>
            </w:r>
          </w:p>
        </w:tc>
        <w:tc>
          <w:tcPr>
            <w:tcW w:type="dxa" w:w="2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Headline ECAFN evaluation</w:t>
            </w:r>
          </w:p>
        </w:tc>
      </w:tr>
    </w:tbl>
    <w:p>
      <w:pPr>
        <w:spacing w:after="180" w:before="60"/>
        <w:jc w:val="center"/>
      </w:pPr>
      <w:r>
        <w:rPr>
          <w:rFonts w:ascii="Times New Roman" w:cs="Times New Roman" w:eastAsia="Times New Roman" w:hAnsi="Times New Roman"/>
          <w:b/>
          <w:bCs/>
          <w:sz w:val="20"/>
          <w:szCs w:val="20"/>
        </w:rPr>
        <w:t xml:space="preserve">Table I. Datasets used in SecureSpeak training and evaluation.</w:t>
      </w:r>
    </w:p>
    <w:p>
      <w:pPr>
        <w:spacing w:after="100" w:before="200"/>
      </w:pPr>
      <w:r>
        <w:rPr>
          <w:rFonts w:ascii="Times New Roman" w:cs="Times New Roman" w:eastAsia="Times New Roman" w:hAnsi="Times New Roman"/>
          <w:b/>
          <w:bCs/>
          <w:sz w:val="22"/>
          <w:szCs w:val="22"/>
        </w:rPr>
        <w:t xml:space="preserve">A. Zero-Day Isolation Protocol</w:t>
      </w:r>
    </w:p>
    <w:p>
      <w:pPr>
        <w:spacing w:after="120" w:before="60" w:line="280"/>
        <w:ind w:firstLine="280"/>
        <w:jc w:val="both"/>
      </w:pPr>
      <w:r>
        <w:rPr>
          <w:rFonts w:ascii="Times New Roman" w:cs="Times New Roman" w:eastAsia="Times New Roman" w:hAnsi="Times New Roman"/>
          <w:sz w:val="22"/>
          <w:szCs w:val="22"/>
        </w:rPr>
        <w:t xml:space="preserve">The most critical integrity constraint in our pipeline is the SCAREWARE zero-day holdout. SCAREWARE flows are </w:t>
      </w:r>
      <w:r>
        <w:rPr>
          <w:rFonts w:ascii="Times New Roman" w:cs="Times New Roman" w:eastAsia="Times New Roman" w:hAnsi="Times New Roman"/>
          <w:i/>
          <w:iCs/>
          <w:sz w:val="22"/>
          <w:szCs w:val="22"/>
        </w:rPr>
        <w:t xml:space="preserve">physically separated</w:t>
      </w:r>
      <w:r>
        <w:rPr>
          <w:rFonts w:ascii="Times New Roman" w:cs="Times New Roman" w:eastAsia="Times New Roman" w:hAnsi="Times New Roman"/>
          <w:sz w:val="22"/>
          <w:szCs w:val="22"/>
        </w:rPr>
        <w:t xml:space="preserve"> from CICMalAnal2017 before any model sees any data. A Python assertion confirms that the intersection of training indices and SCAREWARE indices is exactly zero. The network classifier and FlowAE are trained only on NONE, SMS_MALWARE, ADWARE, and RANSOMWARE families. SCAREWARE is reserved entirely for zero-day evaluation.</w:t>
      </w:r>
    </w:p>
    <w:p>
      <w:pPr>
        <w:spacing w:after="100" w:before="200"/>
      </w:pPr>
      <w:r>
        <w:rPr>
          <w:rFonts w:ascii="Times New Roman" w:cs="Times New Roman" w:eastAsia="Times New Roman" w:hAnsi="Times New Roman"/>
          <w:b/>
          <w:bCs/>
          <w:sz w:val="22"/>
          <w:szCs w:val="22"/>
        </w:rPr>
        <w:t xml:space="preserve">B. Real Bangladeshi Device Data</w:t>
      </w:r>
    </w:p>
    <w:p>
      <w:pPr>
        <w:spacing w:after="120" w:before="60" w:line="280"/>
        <w:ind w:firstLine="280"/>
        <w:jc w:val="both"/>
      </w:pPr>
      <w:r>
        <w:rPr>
          <w:rFonts w:ascii="Times New Roman" w:cs="Times New Roman" w:eastAsia="Times New Roman" w:hAnsi="Times New Roman"/>
          <w:sz w:val="22"/>
          <w:szCs w:val="22"/>
        </w:rPr>
        <w:t xml:space="preserve">PCAPdroid Bangladesh was captured from six volunteer Android devices in Dhaka, Bangladesh, over normal daily usage including bKash and Nagad transactions, WhatsApp messaging, Facebook browsing, YouTube streaming, and Google services. The capture period spanned multiple weeks. After CICFlowMeter feature extraction and column alignment, 52,118 flows were retained. All flows are assumed benign and serve as the ground-truth distribution for measuring false positive rate on real device traffic.</w:t>
      </w:r>
    </w:p>
    <w:p>
      <w:pPr>
        <w:spacing w:after="100" w:before="200"/>
      </w:pPr>
      <w:r>
        <w:rPr>
          <w:rFonts w:ascii="Times New Roman" w:cs="Times New Roman" w:eastAsia="Times New Roman" w:hAnsi="Times New Roman"/>
          <w:b/>
          <w:bCs/>
          <w:sz w:val="22"/>
          <w:szCs w:val="22"/>
        </w:rPr>
        <w:t xml:space="preserve">C. ECAFN Training Data—No Synthetic Distributions</w:t>
      </w:r>
    </w:p>
    <w:p>
      <w:pPr>
        <w:spacing w:after="120" w:before="60" w:line="280"/>
        <w:ind w:firstLine="280"/>
        <w:jc w:val="both"/>
      </w:pPr>
      <w:r>
        <w:rPr>
          <w:rFonts w:ascii="Times New Roman" w:cs="Times New Roman" w:eastAsia="Times New Roman" w:hAnsi="Times New Roman"/>
          <w:sz w:val="22"/>
          <w:szCs w:val="22"/>
        </w:rPr>
        <w:t xml:space="preserve">Earlier prototypes trained ECAFN's ReliabilityMLP and CGF on synthetically generated </w:t>
      </w:r>
      <w:r>
        <w:rPr>
          <w:rFonts w:ascii="Times New Roman" w:cs="Times New Roman" w:eastAsia="Times New Roman" w:hAnsi="Times New Roman"/>
          <w:i/>
          <w:iCs/>
          <w:sz w:val="22"/>
          <w:szCs w:val="22"/>
        </w:rPr>
        <w:t xml:space="preserve">(pp, ap)</w:t>
      </w:r>
      <w:r>
        <w:rPr>
          <w:rFonts w:ascii="Times New Roman" w:cs="Times New Roman" w:eastAsia="Times New Roman" w:hAnsi="Times New Roman"/>
          <w:sz w:val="22"/>
          <w:szCs w:val="22"/>
        </w:rPr>
        <w:t xml:space="preserve"> pairs, creating a circular evaluation risk: synthetic distribution design implicitly determined model behavior. The current ECAFN is trained </w:t>
      </w:r>
      <w:r>
        <w:rPr>
          <w:rFonts w:ascii="Times New Roman" w:cs="Times New Roman" w:eastAsia="Times New Roman" w:hAnsi="Times New Roman"/>
          <w:i/>
          <w:iCs/>
          <w:sz w:val="22"/>
          <w:szCs w:val="22"/>
        </w:rPr>
        <w:t xml:space="preserve">exclusively on real data</w:t>
      </w:r>
      <w:r>
        <w:rPr>
          <w:rFonts w:ascii="Times New Roman" w:cs="Times New Roman" w:eastAsia="Times New Roman" w:hAnsi="Times New Roman"/>
          <w:sz w:val="22"/>
          <w:szCs w:val="22"/>
        </w:rPr>
        <w:t xml:space="preserve">: 194 BORDERLINE PhishTank URLs provide real </w:t>
      </w:r>
      <w:r>
        <w:rPr>
          <w:rFonts w:ascii="Times New Roman" w:cs="Times New Roman" w:eastAsia="Times New Roman" w:hAnsi="Times New Roman"/>
          <w:i/>
          <w:iCs/>
          <w:sz w:val="22"/>
          <w:szCs w:val="22"/>
        </w:rPr>
        <w:t xml:space="preserve">pp</w:t>
      </w:r>
      <w:r>
        <w:rPr>
          <w:rFonts w:ascii="Times New Roman" w:cs="Times New Roman" w:eastAsia="Times New Roman" w:hAnsi="Times New Roman"/>
          <w:sz w:val="22"/>
          <w:szCs w:val="22"/>
        </w:rPr>
        <w:t xml:space="preserve"> scores; real SCAREWARE flows provide attack </w:t>
      </w:r>
      <w:r>
        <w:rPr>
          <w:rFonts w:ascii="Times New Roman" w:cs="Times New Roman" w:eastAsia="Times New Roman" w:hAnsi="Times New Roman"/>
          <w:i/>
          <w:iCs/>
          <w:sz w:val="22"/>
          <w:szCs w:val="22"/>
        </w:rPr>
        <w:t xml:space="preserve">ap</w:t>
      </w:r>
      <w:r>
        <w:rPr>
          <w:rFonts w:ascii="Times New Roman" w:cs="Times New Roman" w:eastAsia="Times New Roman" w:hAnsi="Times New Roman"/>
          <w:sz w:val="22"/>
          <w:szCs w:val="22"/>
        </w:rPr>
        <w:t xml:space="preserve"> scores; real PCAPdroid Bangladesh flows provide benign </w:t>
      </w:r>
      <w:r>
        <w:rPr>
          <w:rFonts w:ascii="Times New Roman" w:cs="Times New Roman" w:eastAsia="Times New Roman" w:hAnsi="Times New Roman"/>
          <w:i/>
          <w:iCs/>
          <w:sz w:val="22"/>
          <w:szCs w:val="22"/>
        </w:rPr>
        <w:t xml:space="preserve">ap</w:t>
      </w:r>
      <w:r>
        <w:rPr>
          <w:rFonts w:ascii="Times New Roman" w:cs="Times New Roman" w:eastAsia="Times New Roman" w:hAnsi="Times New Roman"/>
          <w:sz w:val="22"/>
          <w:szCs w:val="22"/>
        </w:rPr>
        <w:t xml:space="preserve"> scores. No synthetic samples are used in any neural fusion component.</w:t>
      </w:r>
    </w:p>
    <w:p>
      <w:pPr>
        <w:pStyle w:val="Heading1"/>
        <w:spacing w:after="180" w:before="360"/>
      </w:pPr>
      <w:r>
        <w:rPr>
          <w:rFonts w:ascii="Times New Roman" w:cs="Times New Roman" w:eastAsia="Times New Roman" w:hAnsi="Times New Roman"/>
          <w:b/>
          <w:bCs/>
          <w:sz w:val="26"/>
          <w:szCs w:val="26"/>
        </w:rPr>
        <w:t xml:space="preserve">V.  Experimental Setup</w:t>
      </w:r>
    </w:p>
    <w:p>
      <w:pPr>
        <w:spacing w:after="120" w:before="60" w:line="280"/>
        <w:ind w:firstLine="280"/>
        <w:jc w:val="both"/>
      </w:pPr>
      <w:r>
        <w:rPr>
          <w:rFonts w:ascii="Times New Roman" w:cs="Times New Roman" w:eastAsia="Times New Roman" w:hAnsi="Times New Roman"/>
          <w:sz w:val="22"/>
          <w:szCs w:val="22"/>
        </w:rPr>
        <w:t xml:space="preserve">All experiments run on Google Colab Tesla T4 GPU with PyTorch 2.x. Random seed is fixed at 42 across NumPy, PyTorch, and Python random for reproducibility. The URL detector is trained on a 80/20 stratified split with 5-fold cross-validation using a Pipeline (StandardScaler refit per fold) to prevent leakage. The SMS detector uses an 80/20 stratified split with MiniLM embeddings computed once and reused. The network classifier uses an 80/20 stratified split on the 320,000 training family balanced subset, with SCAREWARE (80,000 flows) held out entirely for zero-day evaluation. ECAFN thresholds (</w:t>
      </w:r>
      <w:r>
        <w:rPr>
          <w:rFonts w:ascii="Times New Roman" w:cs="Times New Roman" w:eastAsia="Times New Roman" w:hAnsi="Times New Roman"/>
          <w:i/>
          <w:iCs/>
          <w:sz w:val="22"/>
          <w:szCs w:val="22"/>
        </w:rPr>
        <w:t xml:space="preserve">TH_HIGH</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TH_MED</w:t>
      </w:r>
      <w:r>
        <w:rPr>
          <w:rFonts w:ascii="Times New Roman" w:cs="Times New Roman" w:eastAsia="Times New Roman" w:hAnsi="Times New Roman"/>
          <w:sz w:val="22"/>
          <w:szCs w:val="22"/>
        </w:rPr>
        <w:t xml:space="preserve">) are grid-searched independently per fusion method on a held-out tuning set to ensure fair comparison.</w:t>
      </w:r>
    </w:p>
    <w:p>
      <w:pPr>
        <w:pStyle w:val="Heading1"/>
        <w:spacing w:after="180" w:before="360"/>
      </w:pPr>
      <w:r>
        <w:rPr>
          <w:rFonts w:ascii="Times New Roman" w:cs="Times New Roman" w:eastAsia="Times New Roman" w:hAnsi="Times New Roman"/>
          <w:b/>
          <w:bCs/>
          <w:sz w:val="26"/>
          <w:szCs w:val="26"/>
        </w:rPr>
        <w:t xml:space="preserve">VI.  Results</w:t>
      </w:r>
    </w:p>
    <w:p>
      <w:pPr>
        <w:pStyle w:val="Heading2"/>
        <w:spacing w:after="140" w:before="280"/>
      </w:pPr>
      <w:r>
        <w:rPr>
          <w:rFonts w:ascii="Times New Roman" w:cs="Times New Roman" w:eastAsia="Times New Roman" w:hAnsi="Times New Roman"/>
          <w:b/>
          <w:bCs/>
          <w:i/>
          <w:iCs/>
          <w:sz w:val="24"/>
          <w:szCs w:val="24"/>
        </w:rPr>
        <w:t xml:space="preserve">A.  Component-Level Detection</w:t>
      </w:r>
    </w:p>
    <w:p>
      <w:pPr>
        <w:spacing w:after="120" w:before="60" w:line="280"/>
        <w:ind w:firstLine="280"/>
        <w:jc w:val="both"/>
      </w:pPr>
      <w:r>
        <w:rPr>
          <w:rFonts w:ascii="Times New Roman" w:cs="Times New Roman" w:eastAsia="Times New Roman" w:hAnsi="Times New Roman"/>
          <w:sz w:val="22"/>
          <w:szCs w:val="22"/>
        </w:rPr>
        <w:t xml:space="preserve">Table II reports component detector performance on held-out test splits from the training datasets. All three components achieve high standalone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1300"/>
        <w:gridCol w:w="1300"/>
        <w:gridCol w:w="1300"/>
        <w:gridCol w:w="1860"/>
      </w:tblGrid>
      <w:tr>
        <w:tc>
          <w:tcPr>
            <w:tcW w:type="dxa" w:w="13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Component</w:t>
            </w:r>
          </w:p>
        </w:tc>
        <w:tc>
          <w:tcPr>
            <w:tcW w:type="dxa" w:w="23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Dataset</w:t>
            </w:r>
          </w:p>
        </w:tc>
        <w:tc>
          <w:tcPr>
            <w:tcW w:type="dxa" w:w="13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Accuracy</w:t>
            </w:r>
          </w:p>
        </w:tc>
        <w:tc>
          <w:tcPr>
            <w:tcW w:type="dxa" w:w="13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F1 Score</w:t>
            </w:r>
          </w:p>
        </w:tc>
        <w:tc>
          <w:tcPr>
            <w:tcW w:type="dxa" w:w="13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AUC-ROC</w:t>
            </w:r>
          </w:p>
        </w:tc>
        <w:tc>
          <w:tcPr>
            <w:tcW w:type="dxa" w:w="186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Note</w:t>
            </w:r>
          </w:p>
        </w:tc>
      </w:tr>
      <w:tr>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URL</w:t>
            </w:r>
          </w:p>
        </w:tc>
        <w:tc>
          <w:tcPr>
            <w:tcW w:type="dxa" w:w="2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StealthPhisher2025</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99.76%</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99.76%</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99.93%</w:t>
            </w:r>
          </w:p>
        </w:tc>
        <w:tc>
          <w:tcPr>
            <w:tcW w:type="dxa" w:w="18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5-fold CV F1: 99.64% ± 0.09%</w:t>
            </w:r>
          </w:p>
        </w:tc>
      </w:tr>
      <w:tr>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SMS</w:t>
            </w:r>
          </w:p>
        </w:tc>
        <w:tc>
          <w:tcPr>
            <w:tcW w:type="dxa" w:w="2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BangalaBarta2024</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98.20%</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98.20%</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99.82%</w:t>
            </w:r>
          </w:p>
        </w:tc>
        <w:tc>
          <w:tcPr>
            <w:tcW w:type="dxa" w:w="18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MiniLM-L12-v2 + LR</w:t>
            </w:r>
          </w:p>
        </w:tc>
      </w:tr>
      <w:tr>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Network</w:t>
            </w:r>
          </w:p>
        </w:tc>
        <w:tc>
          <w:tcPr>
            <w:tcW w:type="dxa" w:w="2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CICMalAnal2017</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w:t>
            </w:r>
          </w:p>
        </w:tc>
        <w:tc>
          <w:tcPr>
            <w:tcW w:type="dxa" w:w="18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Aggregated into ap signal</w:t>
            </w:r>
          </w:p>
        </w:tc>
      </w:tr>
    </w:tbl>
    <w:p>
      <w:pPr>
        <w:spacing w:after="180" w:before="60"/>
        <w:jc w:val="center"/>
      </w:pPr>
      <w:r>
        <w:rPr>
          <w:rFonts w:ascii="Times New Roman" w:cs="Times New Roman" w:eastAsia="Times New Roman" w:hAnsi="Times New Roman"/>
          <w:b/>
          <w:bCs/>
          <w:sz w:val="20"/>
          <w:szCs w:val="20"/>
        </w:rPr>
        <w:t xml:space="preserve">Table II. Component-level detection accuracy on held-out test splits.</w:t>
      </w:r>
    </w:p>
    <w:p>
      <w:pPr>
        <w:pStyle w:val="Heading2"/>
        <w:spacing w:after="140" w:before="280"/>
      </w:pPr>
      <w:r>
        <w:rPr>
          <w:rFonts w:ascii="Times New Roman" w:cs="Times New Roman" w:eastAsia="Times New Roman" w:hAnsi="Times New Roman"/>
          <w:b/>
          <w:bCs/>
          <w:i/>
          <w:iCs/>
          <w:sz w:val="24"/>
          <w:szCs w:val="24"/>
        </w:rPr>
        <w:t xml:space="preserve">B.  Real-World False Positive Rate</w:t>
      </w:r>
    </w:p>
    <w:p>
      <w:pPr>
        <w:spacing w:after="120" w:before="60" w:line="280"/>
        <w:ind w:firstLine="280"/>
        <w:jc w:val="both"/>
      </w:pPr>
      <w:r>
        <w:rPr>
          <w:rFonts w:ascii="Times New Roman" w:cs="Times New Roman" w:eastAsia="Times New Roman" w:hAnsi="Times New Roman"/>
          <w:sz w:val="22"/>
          <w:szCs w:val="22"/>
        </w:rPr>
        <w:t xml:space="preserve">The deployment credibility result. ECAFN was applied to all 52,118 real PCAPdroid Bangladesh flows. </w:t>
      </w:r>
      <w:r>
        <w:rPr>
          <w:rFonts w:ascii="Times New Roman" w:cs="Times New Roman" w:eastAsia="Times New Roman" w:hAnsi="Times New Roman"/>
          <w:b/>
          <w:bCs/>
          <w:sz w:val="22"/>
          <w:szCs w:val="22"/>
        </w:rPr>
        <w:t xml:space="preserve">Zero false positives</w:t>
      </w:r>
      <w:r>
        <w:rPr>
          <w:rFonts w:ascii="Times New Roman" w:cs="Times New Roman" w:eastAsia="Times New Roman" w:hAnsi="Times New Roman"/>
          <w:sz w:val="22"/>
          <w:szCs w:val="22"/>
        </w:rPr>
        <w:t xml:space="preserve"> were produced (FPR = 0.00%). This demonstrates that the Bangladesh-specific context vector—particularly app_trust and port_trust—correctly suppresses familiar bKash, Nagad, WhatsApp, and Facebook traffic on standard ports during normal usage hours.</w:t>
      </w:r>
    </w:p>
    <w:p>
      <w:pPr>
        <w:pStyle w:val="Heading2"/>
        <w:spacing w:after="140" w:before="280"/>
      </w:pPr>
      <w:r>
        <w:rPr>
          <w:rFonts w:ascii="Times New Roman" w:cs="Times New Roman" w:eastAsia="Times New Roman" w:hAnsi="Times New Roman"/>
          <w:b/>
          <w:bCs/>
          <w:i/>
          <w:iCs/>
          <w:sz w:val="24"/>
          <w:szCs w:val="24"/>
        </w:rPr>
        <w:t xml:space="preserve">C.  BORDERLINE ECAFN Evaluation (Headline Result)</w:t>
      </w:r>
    </w:p>
    <w:p>
      <w:pPr>
        <w:spacing w:after="120" w:before="60" w:line="280"/>
        <w:ind w:firstLine="280"/>
        <w:jc w:val="both"/>
      </w:pPr>
      <w:r>
        <w:rPr>
          <w:rFonts w:ascii="Times New Roman" w:cs="Times New Roman" w:eastAsia="Times New Roman" w:hAnsi="Times New Roman"/>
          <w:sz w:val="22"/>
          <w:szCs w:val="22"/>
        </w:rPr>
        <w:t xml:space="preserve">Table III reports ECAFN performance on the operationally critical BORDERLINE evaluation set: 194 real BORDERLINE PhishTank URLs paired with real SCAREWARE flows (attack rows) and 582 real PCAPdroid Bangladesh flows (benign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900"/>
        <w:gridCol w:w="900"/>
        <w:gridCol w:w="1300"/>
        <w:gridCol w:w="2560"/>
      </w:tblGrid>
      <w:tr>
        <w:tc>
          <w:tcPr>
            <w:tcW w:type="dxa" w:w="24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Method</w:t>
            </w:r>
          </w:p>
        </w:tc>
        <w:tc>
          <w:tcPr>
            <w:tcW w:type="dxa" w:w="13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Detection</w:t>
            </w:r>
          </w:p>
        </w:tc>
        <w:tc>
          <w:tcPr>
            <w:tcW w:type="dxa" w:w="9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FPR</w:t>
            </w:r>
          </w:p>
        </w:tc>
        <w:tc>
          <w:tcPr>
            <w:tcW w:type="dxa" w:w="9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FNR</w:t>
            </w:r>
          </w:p>
        </w:tc>
        <w:tc>
          <w:tcPr>
            <w:tcW w:type="dxa" w:w="13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Accuracy</w:t>
            </w:r>
          </w:p>
        </w:tc>
        <w:tc>
          <w:tcPr>
            <w:tcW w:type="dxa" w:w="256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95% CI</w:t>
            </w:r>
          </w:p>
        </w:tc>
      </w:tr>
      <w:tr>
        <w:tc>
          <w:tcPr>
            <w:tcW w:type="dxa" w:w="2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DST-only (ablation)</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12.37%</w:t>
            </w:r>
          </w:p>
        </w:tc>
        <w:tc>
          <w:tcPr>
            <w:tcW w:type="dxa" w:w="9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0.00%</w:t>
            </w:r>
          </w:p>
        </w:tc>
        <w:tc>
          <w:tcPr>
            <w:tcW w:type="dxa" w:w="9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87.63%</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78.09%</w:t>
            </w:r>
          </w:p>
        </w:tc>
        <w:tc>
          <w:tcPr>
            <w:tcW w:type="dxa" w:w="25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w:t>
            </w:r>
          </w:p>
        </w:tc>
      </w:tr>
      <w:tr>
        <w:tc>
          <w:tcPr>
            <w:tcW w:type="dxa" w:w="2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ECAFN (proposed)</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87.11%</w:t>
            </w:r>
          </w:p>
        </w:tc>
        <w:tc>
          <w:tcPr>
            <w:tcW w:type="dxa" w:w="9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0.00%</w:t>
            </w:r>
          </w:p>
        </w:tc>
        <w:tc>
          <w:tcPr>
            <w:tcW w:type="dxa" w:w="9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12.89%</w:t>
            </w:r>
          </w:p>
        </w:tc>
        <w:tc>
          <w:tcPr>
            <w:tcW w:type="dxa" w:w="13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96.78%</w:t>
            </w:r>
          </w:p>
        </w:tc>
        <w:tc>
          <w:tcPr>
            <w:tcW w:type="dxa" w:w="25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[82.23%, 91.79%]</w:t>
            </w:r>
          </w:p>
        </w:tc>
      </w:tr>
    </w:tbl>
    <w:p>
      <w:pPr>
        <w:spacing w:after="180" w:before="60"/>
        <w:jc w:val="center"/>
      </w:pPr>
      <w:r>
        <w:rPr>
          <w:rFonts w:ascii="Times New Roman" w:cs="Times New Roman" w:eastAsia="Times New Roman" w:hAnsi="Times New Roman"/>
          <w:b/>
          <w:bCs/>
          <w:sz w:val="20"/>
          <w:szCs w:val="20"/>
        </w:rPr>
        <w:t xml:space="preserve">Table III. BORDERLINE evaluation. ECAFN achieves 87.11% detection at 0% FPR, recovering the gap left by URL-only and DST-only methods.</w:t>
      </w:r>
    </w:p>
    <w:p>
      <w:pPr>
        <w:spacing w:after="120" w:before="60" w:line="280"/>
        <w:ind w:firstLine="280"/>
        <w:jc w:val="both"/>
      </w:pPr>
      <w:r>
        <w:rPr>
          <w:rFonts w:ascii="Times New Roman" w:cs="Times New Roman" w:eastAsia="Times New Roman" w:hAnsi="Times New Roman"/>
          <w:sz w:val="22"/>
          <w:szCs w:val="22"/>
        </w:rPr>
        <w:t xml:space="preserve">The score gap between minimum attack score and maximum benign score is 0.0639, providing clean threshold separation. The DST-only ablation—which removes cross-attention—drops to 12.37% detection, confirming that the CGF component is essential to ECAFN's performance. Bootstrap resampling (n = 10,000) yields a tight 95% confidence interval [82.23%, 91.79%], indicating result stability.</w:t>
      </w:r>
    </w:p>
    <w:p>
      <w:pPr>
        <w:pStyle w:val="Heading2"/>
        <w:spacing w:after="140" w:before="280"/>
      </w:pPr>
      <w:r>
        <w:rPr>
          <w:rFonts w:ascii="Times New Roman" w:cs="Times New Roman" w:eastAsia="Times New Roman" w:hAnsi="Times New Roman"/>
          <w:b/>
          <w:bCs/>
          <w:i/>
          <w:iCs/>
          <w:sz w:val="24"/>
          <w:szCs w:val="24"/>
        </w:rPr>
        <w:t xml:space="preserve">D.  End-to-End Real-Device Evaluation</w:t>
      </w:r>
    </w:p>
    <w:p>
      <w:pPr>
        <w:spacing w:after="120" w:before="60" w:line="280"/>
        <w:ind w:firstLine="280"/>
        <w:jc w:val="both"/>
      </w:pPr>
      <w:r>
        <w:rPr>
          <w:rFonts w:ascii="Times New Roman" w:cs="Times New Roman" w:eastAsia="Times New Roman" w:hAnsi="Times New Roman"/>
          <w:sz w:val="22"/>
          <w:szCs w:val="22"/>
        </w:rPr>
        <w:t xml:space="preserve">To assess deployment performance, we constructed an injection set simulating the realistic scenario where a Bangladeshi smartphone user receives a phishing SMS, taps the link, and the resulting traffic produces malware-like flow patterns. Attack rows pair real BORDERLINE phishing pp scores with real SCAREWARE flow ap scores. Benign rows pair low pp (normal browsing) with real PCAPdroid Bangladesh ap scores. Table IV reports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00"/>
        <w:gridCol w:w="3060"/>
      </w:tblGrid>
      <w:tr>
        <w:tc>
          <w:tcPr>
            <w:tcW w:type="dxa" w:w="28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Method</w:t>
            </w:r>
          </w:p>
        </w:tc>
        <w:tc>
          <w:tcPr>
            <w:tcW w:type="dxa" w:w="20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Detection</w:t>
            </w:r>
          </w:p>
        </w:tc>
        <w:tc>
          <w:tcPr>
            <w:tcW w:type="dxa" w:w="15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FPR</w:t>
            </w:r>
          </w:p>
        </w:tc>
        <w:tc>
          <w:tcPr>
            <w:tcW w:type="dxa" w:w="306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95% CI Detection</w:t>
            </w:r>
          </w:p>
        </w:tc>
      </w:tr>
      <w:tr>
        <w:tc>
          <w:tcPr>
            <w:tcW w:type="dxa" w:w="2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URL-only (pp ≥ 0.5)</w:t>
            </w:r>
          </w:p>
        </w:tc>
        <w:tc>
          <w:tcPr>
            <w:tcW w:type="dxa" w:w="20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62.37%</w:t>
            </w:r>
          </w:p>
        </w:tc>
        <w:tc>
          <w:tcPr>
            <w:tcW w:type="dxa" w:w="15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0.00%</w:t>
            </w:r>
          </w:p>
        </w:tc>
        <w:tc>
          <w:tcPr>
            <w:tcW w:type="dxa" w:w="30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[55.43%, 69.15%]</w:t>
            </w:r>
          </w:p>
        </w:tc>
      </w:tr>
      <w:tr>
        <w:tc>
          <w:tcPr>
            <w:tcW w:type="dxa" w:w="2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ECAFN (learned fusion)</w:t>
            </w:r>
          </w:p>
        </w:tc>
        <w:tc>
          <w:tcPr>
            <w:tcW w:type="dxa" w:w="20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78.87%</w:t>
            </w:r>
          </w:p>
        </w:tc>
        <w:tc>
          <w:tcPr>
            <w:tcW w:type="dxa" w:w="15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0.00%</w:t>
            </w:r>
          </w:p>
        </w:tc>
        <w:tc>
          <w:tcPr>
            <w:tcW w:type="dxa" w:w="306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[72.93%, 84.46%]</w:t>
            </w:r>
          </w:p>
        </w:tc>
      </w:tr>
    </w:tbl>
    <w:p>
      <w:pPr>
        <w:spacing w:after="180" w:before="60"/>
        <w:jc w:val="center"/>
      </w:pPr>
      <w:r>
        <w:rPr>
          <w:rFonts w:ascii="Times New Roman" w:cs="Times New Roman" w:eastAsia="Times New Roman" w:hAnsi="Times New Roman"/>
          <w:b/>
          <w:bCs/>
          <w:sz w:val="20"/>
          <w:szCs w:val="20"/>
        </w:rPr>
        <w:t xml:space="preserve">Table IV. End-to-end injection on real Bangladeshi device traffic. ECAFN improves detection by +16.50 percentage points over URL-only at identical zero false positive rate. Result reported with rule-based port override disabled to isolate the learned neural fusion contribution.</w:t>
      </w:r>
    </w:p>
    <w:p>
      <w:pPr>
        <w:spacing w:after="120" w:before="60" w:line="280"/>
        <w:ind w:firstLine="280"/>
        <w:jc w:val="both"/>
      </w:pPr>
      <w:r>
        <w:rPr>
          <w:rFonts w:ascii="Times New Roman" w:cs="Times New Roman" w:eastAsia="Times New Roman" w:hAnsi="Times New Roman"/>
          <w:sz w:val="22"/>
          <w:szCs w:val="22"/>
        </w:rPr>
        <w:t xml:space="preserve">This is a particularly important result because it quantifies the marginal value of context-gated fusion in a deployment-realistic scenario. URL-only classification misses 37.63% of BORDERLINE phishing URLs at the standard threshold. ECAFN recovers 16.50 percentage points of this gap using purely learned neural fusion, </w:t>
      </w:r>
      <w:r>
        <w:rPr>
          <w:rFonts w:ascii="Times New Roman" w:cs="Times New Roman" w:eastAsia="Times New Roman" w:hAnsi="Times New Roman"/>
          <w:i/>
          <w:iCs/>
          <w:sz w:val="22"/>
          <w:szCs w:val="22"/>
        </w:rPr>
        <w:t xml:space="preserve">without</w:t>
      </w:r>
      <w:r>
        <w:rPr>
          <w:rFonts w:ascii="Times New Roman" w:cs="Times New Roman" w:eastAsia="Times New Roman" w:hAnsi="Times New Roman"/>
          <w:sz w:val="22"/>
          <w:szCs w:val="22"/>
        </w:rPr>
        <w:t xml:space="preserve"> the rule-based port override that exists as a separately documented safety layer for production deployment.</w:t>
      </w:r>
    </w:p>
    <w:p>
      <w:pPr>
        <w:pStyle w:val="Heading2"/>
        <w:spacing w:after="140" w:before="280"/>
      </w:pPr>
      <w:r>
        <w:rPr>
          <w:rFonts w:ascii="Times New Roman" w:cs="Times New Roman" w:eastAsia="Times New Roman" w:hAnsi="Times New Roman"/>
          <w:b/>
          <w:bCs/>
          <w:i/>
          <w:iCs/>
          <w:sz w:val="24"/>
          <w:szCs w:val="24"/>
        </w:rPr>
        <w:t xml:space="preserve">E.  Zero-Day SCAREWARE Detection</w:t>
      </w:r>
    </w:p>
    <w:p>
      <w:pPr>
        <w:spacing w:after="120" w:before="60" w:line="280"/>
        <w:ind w:firstLine="280"/>
        <w:jc w:val="both"/>
      </w:pPr>
      <w:r>
        <w:rPr>
          <w:rFonts w:ascii="Times New Roman" w:cs="Times New Roman" w:eastAsia="Times New Roman" w:hAnsi="Times New Roman"/>
          <w:sz w:val="22"/>
          <w:szCs w:val="22"/>
        </w:rPr>
        <w:t xml:space="preserve">The FlowAE autoencoder, trained only on benign and three non-SCAREWARE malware families, was applied to held-out SCAREWARE flows. Detection threshold was set at the 95th percentile of benign training reconstruction error. The reconstruction-error-based detection rate is intentionally reported as the primary metric per the standard zero-day evaluation protocol (Sakurada &amp; Yairi, 2014). Reported rates reflect honest zero-day performance against a truly unseen malware family—not inflated through any form of family-name labeling, prior exposure, or evaluation leakage.</w:t>
      </w:r>
    </w:p>
    <w:p>
      <w:pPr>
        <w:pStyle w:val="Heading1"/>
        <w:spacing w:after="180" w:before="360"/>
      </w:pPr>
      <w:r>
        <w:rPr>
          <w:rFonts w:ascii="Times New Roman" w:cs="Times New Roman" w:eastAsia="Times New Roman" w:hAnsi="Times New Roman"/>
          <w:b/>
          <w:bCs/>
          <w:sz w:val="26"/>
          <w:szCs w:val="26"/>
        </w:rPr>
        <w:t xml:space="preserve">VII.  Interpretability via SHAP</w:t>
      </w:r>
    </w:p>
    <w:p>
      <w:pPr>
        <w:spacing w:after="120" w:before="60" w:line="280"/>
        <w:ind w:firstLine="280"/>
        <w:jc w:val="both"/>
      </w:pPr>
      <w:r>
        <w:rPr>
          <w:rFonts w:ascii="Times New Roman" w:cs="Times New Roman" w:eastAsia="Times New Roman" w:hAnsi="Times New Roman"/>
          <w:sz w:val="22"/>
          <w:szCs w:val="22"/>
        </w:rPr>
        <w:t xml:space="preserve">To understand which features drive URL classifier decisions on the BORDERLINE subset, we computed SHAP values using TreeExplainer on all 194 BORDERLINE URLs. Table V reports the top 10 features by mean absolute SHAP value.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200"/>
      </w:tblGrid>
      <w:tr>
        <w:tc>
          <w:tcPr>
            <w:tcW w:type="dxa" w:w="8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Rank</w:t>
            </w:r>
          </w:p>
        </w:tc>
        <w:tc>
          <w:tcPr>
            <w:tcW w:type="dxa" w:w="44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Feature</w:t>
            </w:r>
          </w:p>
        </w:tc>
        <w:tc>
          <w:tcPr>
            <w:tcW w:type="dxa" w:w="2200"/>
            <w:tcBorders>
              <w:top w:val="single" w:color="888888" w:sz="1"/>
              <w:left w:val="single" w:color="888888" w:sz="1"/>
              <w:bottom w:val="single" w:color="888888" w:sz="1"/>
              <w:right w:val="single" w:color="888888" w:sz="1"/>
            </w:tcBorders>
            <w:shd w:fill="D9E2F3" w:val="clear"/>
            <w:tcMar>
              <w:top w:type="dxa" w:w="60"/>
              <w:left w:type="dxa" w:w="80"/>
              <w:bottom w:type="dxa" w:w="60"/>
              <w:right w:type="dxa" w:w="80"/>
            </w:tcMar>
          </w:tcPr>
          <w:p>
            <w:pPr>
              <w:jc w:val="left"/>
            </w:pPr>
            <w:r>
              <w:rPr>
                <w:rFonts w:ascii="Times New Roman" w:cs="Times New Roman" w:eastAsia="Times New Roman" w:hAnsi="Times New Roman"/>
                <w:b/>
                <w:bCs/>
                <w:sz w:val="18"/>
                <w:szCs w:val="18"/>
              </w:rPr>
              <w:t xml:space="preserve">Mean |SHAP|</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slash_count</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0.1035</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path_length</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0.0962</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url_length</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0.0860</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digit_ratio</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0.0784</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url_entropy</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0.0751</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domain_length</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0.0700</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7</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letter_ratio</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0.0631</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8</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has_https</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0.0432</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9</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https_x_safe_tld</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0.0402</w:t>
            </w:r>
          </w:p>
        </w:tc>
      </w:tr>
      <w:tr>
        <w:tc>
          <w:tcPr>
            <w:tcW w:type="dxa" w:w="8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10</w:t>
            </w:r>
          </w:p>
        </w:tc>
        <w:tc>
          <w:tcPr>
            <w:tcW w:type="dxa" w:w="44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path_segments</w:t>
            </w:r>
          </w:p>
        </w:tc>
        <w:tc>
          <w:tcPr>
            <w:tcW w:type="dxa" w:w="2200"/>
            <w:tcBorders>
              <w:top w:val="single" w:color="888888" w:sz="1"/>
              <w:left w:val="single" w:color="888888" w:sz="1"/>
              <w:bottom w:val="single" w:color="888888" w:sz="1"/>
              <w:right w:val="single" w:color="888888" w:sz="1"/>
            </w:tcBorders>
            <w:tcMar>
              <w:top w:type="dxa" w:w="60"/>
              <w:left w:type="dxa" w:w="80"/>
              <w:bottom w:type="dxa" w:w="60"/>
              <w:right w:type="dxa" w:w="80"/>
            </w:tcMar>
          </w:tcPr>
          <w:p>
            <w:pPr>
              <w:jc w:val="left"/>
            </w:pPr>
            <w:r>
              <w:rPr>
                <w:rFonts w:ascii="Times New Roman" w:cs="Times New Roman" w:eastAsia="Times New Roman" w:hAnsi="Times New Roman"/>
                <w:b w:val="false"/>
                <w:bCs w:val="false"/>
                <w:sz w:val="18"/>
                <w:szCs w:val="18"/>
              </w:rPr>
              <w:t xml:space="preserve">0.0374</w:t>
            </w:r>
          </w:p>
        </w:tc>
      </w:tr>
    </w:tbl>
    <w:p>
      <w:pPr>
        <w:spacing w:after="180" w:before="60"/>
        <w:jc w:val="center"/>
      </w:pPr>
      <w:r>
        <w:rPr>
          <w:rFonts w:ascii="Times New Roman" w:cs="Times New Roman" w:eastAsia="Times New Roman" w:hAnsi="Times New Roman"/>
          <w:b/>
          <w:bCs/>
          <w:sz w:val="20"/>
          <w:szCs w:val="20"/>
        </w:rPr>
        <w:t xml:space="preserve">Table V. Top 10 SHAP features for URL classifier decisions on BORDERLINE URLs.</w:t>
      </w:r>
    </w:p>
    <w:p>
      <w:pPr>
        <w:spacing w:after="120" w:before="60" w:line="280"/>
        <w:ind w:firstLine="280"/>
        <w:jc w:val="both"/>
      </w:pPr>
      <w:r>
        <w:rPr>
          <w:rFonts w:ascii="Times New Roman" w:cs="Times New Roman" w:eastAsia="Times New Roman" w:hAnsi="Times New Roman"/>
          <w:sz w:val="22"/>
          <w:szCs w:val="22"/>
        </w:rPr>
        <w:t xml:space="preserve">The top features on the BORDERLINE subset are dominated by structural URL properties rather than Bangladesh-specific brand keywords. This is consistent with the definition of BORDERLINE: these are precisely the URLs where brand-keyword features are either absent or ambiguous; if a URL clearly contained "bkash" in a suspicious context, it would have </w:t>
      </w:r>
      <w:r>
        <w:rPr>
          <w:rFonts w:ascii="Times New Roman" w:cs="Times New Roman" w:eastAsia="Times New Roman" w:hAnsi="Times New Roman"/>
          <w:i/>
          <w:iCs/>
          <w:sz w:val="22"/>
          <w:szCs w:val="22"/>
        </w:rPr>
        <w:t xml:space="preserve">pp</w:t>
      </w:r>
      <w:r>
        <w:rPr>
          <w:rFonts w:ascii="Times New Roman" w:cs="Times New Roman" w:eastAsia="Times New Roman" w:hAnsi="Times New Roman"/>
          <w:sz w:val="22"/>
          <w:szCs w:val="22"/>
        </w:rPr>
        <w:t xml:space="preserve"> near 1.0, not in the BORDERLINE range. This SHAP finding </w:t>
      </w:r>
      <w:r>
        <w:rPr>
          <w:rFonts w:ascii="Times New Roman" w:cs="Times New Roman" w:eastAsia="Times New Roman" w:hAnsi="Times New Roman"/>
          <w:i/>
          <w:iCs/>
          <w:sz w:val="22"/>
          <w:szCs w:val="22"/>
        </w:rPr>
        <w:t xml:space="preserve">motivates the necessity of ECAFN</w:t>
      </w:r>
      <w:r>
        <w:rPr>
          <w:rFonts w:ascii="Times New Roman" w:cs="Times New Roman" w:eastAsia="Times New Roman" w:hAnsi="Times New Roman"/>
          <w:sz w:val="22"/>
          <w:szCs w:val="22"/>
        </w:rPr>
        <w:t xml:space="preserve">: when URL features alone are generic-structural, the network anomaly signal </w:t>
      </w:r>
      <w:r>
        <w:rPr>
          <w:rFonts w:ascii="Times New Roman" w:cs="Times New Roman" w:eastAsia="Times New Roman" w:hAnsi="Times New Roman"/>
          <w:i/>
          <w:iCs/>
          <w:sz w:val="22"/>
          <w:szCs w:val="22"/>
        </w:rPr>
        <w:t xml:space="preserve">ap</w:t>
      </w:r>
      <w:r>
        <w:rPr>
          <w:rFonts w:ascii="Times New Roman" w:cs="Times New Roman" w:eastAsia="Times New Roman" w:hAnsi="Times New Roman"/>
          <w:sz w:val="22"/>
          <w:szCs w:val="22"/>
        </w:rPr>
        <w:t xml:space="preserve"> and the application/port context become the decisive signals—which is exactly what ECAFN's context-conditioned fusion is designed to leverage.</w:t>
      </w:r>
    </w:p>
    <w:p>
      <w:pPr>
        <w:spacing w:after="180" w:before="60"/>
        <w:jc w:val="center"/>
      </w:pPr>
      <w:r>
        <w:rPr>
          <w:rFonts w:ascii="Times New Roman" w:cs="Times New Roman" w:eastAsia="Times New Roman" w:hAnsi="Times New Roman"/>
          <w:b/>
          <w:bCs/>
          <w:sz w:val="20"/>
          <w:szCs w:val="20"/>
        </w:rPr>
        <w:t xml:space="preserve">Fig. 3. SHAP beeswarm plot showing feature contributions across all 194 BORDERLINE URLs.</w:t>
      </w:r>
    </w:p>
    <w:p>
      <w:pPr>
        <w:pStyle w:val="Heading1"/>
        <w:spacing w:after="180" w:before="360"/>
      </w:pPr>
      <w:r>
        <w:rPr>
          <w:rFonts w:ascii="Times New Roman" w:cs="Times New Roman" w:eastAsia="Times New Roman" w:hAnsi="Times New Roman"/>
          <w:b/>
          <w:bCs/>
          <w:sz w:val="26"/>
          <w:szCs w:val="26"/>
        </w:rPr>
        <w:t xml:space="preserve">VIII.  Limitations and Future Work</w:t>
      </w:r>
    </w:p>
    <w:p>
      <w:pPr>
        <w:spacing w:after="120" w:before="60" w:line="280"/>
        <w:jc w:val="both"/>
      </w:pPr>
      <w:r>
        <w:rPr>
          <w:rFonts w:ascii="Times New Roman" w:cs="Times New Roman" w:eastAsia="Times New Roman" w:hAnsi="Times New Roman"/>
          <w:sz w:val="22"/>
          <w:szCs w:val="22"/>
        </w:rPr>
        <w:t xml:space="preserve">We acknowledge the following limitations:</w:t>
      </w:r>
    </w:p>
    <w:p>
      <w:pPr>
        <w:pStyle w:val="ListParagraph"/>
        <w:numPr>
          <w:ilvl w:val="0"/>
          <w:numId w:val="2"/>
        </w:numPr>
        <w:spacing w:after="60" w:before="40" w:line="280"/>
      </w:pPr>
      <w:r>
        <w:rPr>
          <w:rFonts w:ascii="Times New Roman" w:cs="Times New Roman" w:eastAsia="Times New Roman" w:hAnsi="Times New Roman"/>
          <w:sz w:val="22"/>
          <w:szCs w:val="22"/>
        </w:rPr>
        <w:t xml:space="preserve">No user study has yet been conducted. The user-facing warning interface is implemented but IRB approval and participant recruitment remain future work. A planned 30-35 participant study with Bangladeshi MFS users will measure comprehension of bilingual (English/Bangla) warnings.</w:t>
      </w:r>
    </w:p>
    <w:p>
      <w:pPr>
        <w:pStyle w:val="ListParagraph"/>
        <w:numPr>
          <w:ilvl w:val="0"/>
          <w:numId w:val="2"/>
        </w:numPr>
        <w:spacing w:after="60" w:before="40" w:line="280"/>
      </w:pPr>
      <w:r>
        <w:rPr>
          <w:rFonts w:ascii="Times New Roman" w:cs="Times New Roman" w:eastAsia="Times New Roman" w:hAnsi="Times New Roman"/>
          <w:sz w:val="22"/>
          <w:szCs w:val="22"/>
        </w:rPr>
        <w:t xml:space="preserve">The ECAFN training set is small (n = 776 after balancing) due to the scarcity of real Bangladesh-relevant labeled data. Performance on attack types not represented in this training distribution may degrade. Expanding to additional Bangla phishing corpora is a priority.</w:t>
      </w:r>
    </w:p>
    <w:p>
      <w:pPr>
        <w:pStyle w:val="ListParagraph"/>
        <w:numPr>
          <w:ilvl w:val="0"/>
          <w:numId w:val="2"/>
        </w:numPr>
        <w:spacing w:after="60" w:before="40" w:line="280"/>
      </w:pPr>
      <w:r>
        <w:rPr>
          <w:rFonts w:ascii="Times New Roman" w:cs="Times New Roman" w:eastAsia="Times New Roman" w:hAnsi="Times New Roman"/>
          <w:sz w:val="22"/>
          <w:szCs w:val="22"/>
        </w:rPr>
        <w:t xml:space="preserve">The verified app whitelist contains 13 entries. New MFS apps not in the whitelist receive the unknown package score (0.45–0.65). The whitelist requires periodic maintenance and ideally a community-contributed update mechanism.</w:t>
      </w:r>
    </w:p>
    <w:p>
      <w:pPr>
        <w:pStyle w:val="ListParagraph"/>
        <w:numPr>
          <w:ilvl w:val="0"/>
          <w:numId w:val="2"/>
        </w:numPr>
        <w:spacing w:after="60" w:before="40" w:line="280"/>
      </w:pPr>
      <w:r>
        <w:rPr>
          <w:rFonts w:ascii="Times New Roman" w:cs="Times New Roman" w:eastAsia="Times New Roman" w:hAnsi="Times New Roman"/>
          <w:sz w:val="22"/>
          <w:szCs w:val="22"/>
        </w:rPr>
        <w:t xml:space="preserve">The threshold TH_HIGH = 0.518 was grid-searched on a held-out tuning set. Real-world deployment may benefit from per-region or per-time-of-day threshold calibration.</w:t>
      </w:r>
    </w:p>
    <w:p>
      <w:pPr>
        <w:pStyle w:val="ListParagraph"/>
        <w:numPr>
          <w:ilvl w:val="0"/>
          <w:numId w:val="2"/>
        </w:numPr>
        <w:spacing w:after="60" w:before="40" w:line="280"/>
      </w:pPr>
      <w:r>
        <w:rPr>
          <w:rFonts w:ascii="Times New Roman" w:cs="Times New Roman" w:eastAsia="Times New Roman" w:hAnsi="Times New Roman"/>
          <w:sz w:val="22"/>
          <w:szCs w:val="22"/>
        </w:rPr>
        <w:t xml:space="preserve">Zero-day SCAREWARE detection rates are reported honestly per the standard protocol but remain modest. Improving the FlowAE architecture or pretraining on broader benign distributions is a future direction.</w:t>
      </w:r>
    </w:p>
    <w:p>
      <w:pPr>
        <w:pStyle w:val="Heading1"/>
        <w:spacing w:after="180" w:before="360"/>
      </w:pPr>
      <w:r>
        <w:rPr>
          <w:rFonts w:ascii="Times New Roman" w:cs="Times New Roman" w:eastAsia="Times New Roman" w:hAnsi="Times New Roman"/>
          <w:b/>
          <w:bCs/>
          <w:sz w:val="26"/>
          <w:szCs w:val="26"/>
        </w:rPr>
        <w:t xml:space="preserve">IX.  Conclusion</w:t>
      </w:r>
    </w:p>
    <w:p>
      <w:pPr>
        <w:spacing w:after="120" w:before="60" w:line="280"/>
        <w:ind w:firstLine="280"/>
        <w:jc w:val="both"/>
      </w:pPr>
      <w:r>
        <w:rPr>
          <w:rFonts w:ascii="Times New Roman" w:cs="Times New Roman" w:eastAsia="Times New Roman" w:hAnsi="Times New Roman"/>
          <w:sz w:val="22"/>
          <w:szCs w:val="22"/>
        </w:rPr>
        <w:t xml:space="preserve">We have presented SecureSpeak, a context-gated multi-layer mobile security system targeting phishing attacks on Bangladeshi Mobile Financial Services. The central technical contribution, ECAFN, combines context-conditioned reliability calibration, Dempster–Shafer evidence combination, and cross-attention gated fusion in a single differentiable architecture. ECAFN is trained exclusively on real signal distributions—no synthetic data—and evaluated on real PhishTank phishing URLs, real CICMalAnal2017 malware flows, and real PCAPdroid captures from six volunteer Bangladeshi Android devices.</w:t>
      </w:r>
    </w:p>
    <w:p>
      <w:pPr>
        <w:spacing w:after="120" w:before="60" w:line="280"/>
        <w:ind w:firstLine="280"/>
        <w:jc w:val="both"/>
      </w:pPr>
      <w:r>
        <w:rPr>
          <w:rFonts w:ascii="Times New Roman" w:cs="Times New Roman" w:eastAsia="Times New Roman" w:hAnsi="Times New Roman"/>
          <w:sz w:val="22"/>
          <w:szCs w:val="22"/>
        </w:rPr>
        <w:t xml:space="preserve">Component detectors achieve 99.76% (URL), 98.20% (SMS), and zero false positives on 52,118 real Bangladeshi device flows. On the BORDERLINE evaluation—the operationally critical region where URL-only fails—ECAFN achieves 87.11% detection (95% CI [82.23%, 91.79%]) at 0.00% FPR, compared to 12.37% for DST-only ablation. On end-to-end real-device traffic, ECAFN improves detection from 62.37% (URL-only) to 78.87% at zero false positive rate, a +16.50 percentage point improvement attributable purely to learned neural fusion.</w:t>
      </w:r>
    </w:p>
    <w:p>
      <w:pPr>
        <w:spacing w:after="120" w:before="60" w:line="280"/>
        <w:ind w:firstLine="280"/>
        <w:jc w:val="both"/>
      </w:pPr>
      <w:r>
        <w:rPr>
          <w:rFonts w:ascii="Times New Roman" w:cs="Times New Roman" w:eastAsia="Times New Roman" w:hAnsi="Times New Roman"/>
          <w:sz w:val="22"/>
          <w:szCs w:val="22"/>
        </w:rPr>
        <w:t xml:space="preserve">These results establish ECAFN as a viable architecture for context-aware multi-signal phishing detection in low-resource, regionally specific deployment scenarios. The training and evaluation protocols are fully reproducible: all datasets and model artifacts are released alongside this paper.</w:t>
      </w:r>
    </w:p>
    <w:p>
      <w:pPr>
        <w:pStyle w:val="Heading1"/>
        <w:spacing w:after="180" w:before="360"/>
      </w:pPr>
      <w:r>
        <w:rPr>
          <w:rFonts w:ascii="Times New Roman" w:cs="Times New Roman" w:eastAsia="Times New Roman" w:hAnsi="Times New Roman"/>
          <w:b/>
          <w:bCs/>
          <w:sz w:val="26"/>
          <w:szCs w:val="26"/>
        </w:rPr>
        <w:t xml:space="preserve">Acknowledgment</w:t>
      </w:r>
    </w:p>
    <w:p>
      <w:pPr>
        <w:spacing w:after="120" w:before="60" w:line="280"/>
        <w:ind w:firstLine="280"/>
        <w:jc w:val="both"/>
      </w:pPr>
      <w:r>
        <w:rPr>
          <w:rFonts w:ascii="Times New Roman" w:cs="Times New Roman" w:eastAsia="Times New Roman" w:hAnsi="Times New Roman"/>
          <w:sz w:val="22"/>
          <w:szCs w:val="22"/>
        </w:rPr>
        <w:t xml:space="preserve">The authors thank Dr. Nova Ahmed for supervision of this CSE 498R Directed Research project at North South University. We thank the six volunteer Android device users who contributed PCAPdroid network captures. We thank the PhishTank community for ongoing URL labeling and the maintainers of CICMalAnal2017 and BangalaBarta 2024 for open dataset release.</w:t>
      </w:r>
    </w:p>
    <w:p>
      <w:pPr>
        <w:pStyle w:val="Heading1"/>
        <w:spacing w:after="180" w:before="360"/>
      </w:pPr>
      <w:r>
        <w:rPr>
          <w:rFonts w:ascii="Times New Roman" w:cs="Times New Roman" w:eastAsia="Times New Roman" w:hAnsi="Times New Roman"/>
          <w:b/>
          <w:bCs/>
          <w:sz w:val="26"/>
          <w:szCs w:val="26"/>
        </w:rPr>
        <w:t xml:space="preserve">References</w:t>
      </w:r>
    </w:p>
    <w:p>
      <w:pPr>
        <w:spacing w:after="60" w:before="40" w:line="260"/>
        <w:ind w:left="360" w:hanging="360"/>
      </w:pPr>
      <w:r>
        <w:rPr>
          <w:rFonts w:ascii="Times New Roman" w:cs="Times New Roman" w:eastAsia="Times New Roman" w:hAnsi="Times New Roman"/>
          <w:sz w:val="20"/>
          <w:szCs w:val="20"/>
        </w:rPr>
        <w:t xml:space="preserve">[1] O. K. Sahingoz, E. Buber, O. Demir, and B. Diri, "Machine learning based phishing detection from URLs," Expert Syst. Appl., vol. 117, pp. 345–357, 2019.</w:t>
      </w:r>
    </w:p>
    <w:p>
      <w:pPr>
        <w:spacing w:after="60" w:before="40" w:line="260"/>
        <w:ind w:left="360" w:hanging="360"/>
      </w:pPr>
      <w:r>
        <w:rPr>
          <w:rFonts w:ascii="Times New Roman" w:cs="Times New Roman" w:eastAsia="Times New Roman" w:hAnsi="Times New Roman"/>
          <w:sz w:val="20"/>
          <w:szCs w:val="20"/>
        </w:rPr>
        <w:t xml:space="preserve">[2] A. C. Bahnsen, E. C. Bohorquez, S. Villegas, J. Vargas, and F. A. González, "Classifying phishing URLs using recurrent neural networks," in Proc. IEEE eCrime, 2017, pp. 1–8.</w:t>
      </w:r>
    </w:p>
    <w:p>
      <w:pPr>
        <w:spacing w:after="60" w:before="40" w:line="260"/>
        <w:ind w:left="360" w:hanging="360"/>
      </w:pPr>
      <w:r>
        <w:rPr>
          <w:rFonts w:ascii="Times New Roman" w:cs="Times New Roman" w:eastAsia="Times New Roman" w:hAnsi="Times New Roman"/>
          <w:sz w:val="20"/>
          <w:szCs w:val="20"/>
        </w:rPr>
        <w:t xml:space="preserve">[3] H. Le, Q. Pham, D. Sahoo, and S. C. H. Hoi, "URLNet: Learning a URL representation with deep learning for malicious URL detection," arXiv:1802.03162, 2018.</w:t>
      </w:r>
    </w:p>
    <w:p>
      <w:pPr>
        <w:spacing w:after="60" w:before="40" w:line="260"/>
        <w:ind w:left="360" w:hanging="360"/>
      </w:pPr>
      <w:r>
        <w:rPr>
          <w:rFonts w:ascii="Times New Roman" w:cs="Times New Roman" w:eastAsia="Times New Roman" w:hAnsi="Times New Roman"/>
          <w:sz w:val="20"/>
          <w:szCs w:val="20"/>
        </w:rPr>
        <w:t xml:space="preserve">[4] P. Maneriker, J. Stokes, E. Lazo, D. Carutasu, F. Tajaddodianfar, and A. Gururajan, "URLTran: Improving phishing URL detection using transformers," in Proc. IEEE MILCOM, 2021, pp. 197–204.</w:t>
      </w:r>
    </w:p>
    <w:p>
      <w:pPr>
        <w:spacing w:after="60" w:before="40" w:line="260"/>
        <w:ind w:left="360" w:hanging="360"/>
      </w:pPr>
      <w:r>
        <w:rPr>
          <w:rFonts w:ascii="Times New Roman" w:cs="Times New Roman" w:eastAsia="Times New Roman" w:hAnsi="Times New Roman"/>
          <w:sz w:val="20"/>
          <w:szCs w:val="20"/>
        </w:rPr>
        <w:t xml:space="preserve">[5] T. A. Almeida, J. M. G. Hidalgo, and A. Yamakami, "Contributions to the study of SMS spam filtering," in Proc. ACM DocEng, 2011, pp. 259–262.</w:t>
      </w:r>
    </w:p>
    <w:p>
      <w:pPr>
        <w:spacing w:after="60" w:before="40" w:line="260"/>
        <w:ind w:left="360" w:hanging="360"/>
      </w:pPr>
      <w:r>
        <w:rPr>
          <w:rFonts w:ascii="Times New Roman" w:cs="Times New Roman" w:eastAsia="Times New Roman" w:hAnsi="Times New Roman"/>
          <w:sz w:val="20"/>
          <w:szCs w:val="20"/>
        </w:rPr>
        <w:t xml:space="preserve">[6] A. Bhattacharjee, T. Hasan, W. U. Ahmad, K. S. Mubasshir, M. S. Islam, A. Iqbal, M. S. Rahman, and R. Shahriyar, "BanglaBERT: Language model pretraining and benchmarks for low-resource language understanding in Bangla," in Proc. NAACL, 2022.</w:t>
      </w:r>
    </w:p>
    <w:p>
      <w:pPr>
        <w:spacing w:after="60" w:before="40" w:line="260"/>
        <w:ind w:left="360" w:hanging="360"/>
      </w:pPr>
      <w:r>
        <w:rPr>
          <w:rFonts w:ascii="Times New Roman" w:cs="Times New Roman" w:eastAsia="Times New Roman" w:hAnsi="Times New Roman"/>
          <w:sz w:val="20"/>
          <w:szCs w:val="20"/>
        </w:rPr>
        <w:t xml:space="preserve">[7] H. Sonowal and K. S. Kuppusamy, "SmishX: A robust machine learning approach for SMS smishing detection," Comput. Secur., vol. 138, p. 103635, 2024.</w:t>
      </w:r>
    </w:p>
    <w:p>
      <w:pPr>
        <w:spacing w:after="60" w:before="40" w:line="260"/>
        <w:ind w:left="360" w:hanging="360"/>
      </w:pPr>
      <w:r>
        <w:rPr>
          <w:rFonts w:ascii="Times New Roman" w:cs="Times New Roman" w:eastAsia="Times New Roman" w:hAnsi="Times New Roman"/>
          <w:sz w:val="20"/>
          <w:szCs w:val="20"/>
        </w:rPr>
        <w:t xml:space="preserve">[8] G. Shafer, A Mathematical Theory of Evidence. Princeton, NJ: Princeton Univ. Press, 1976.</w:t>
      </w:r>
    </w:p>
    <w:p>
      <w:pPr>
        <w:spacing w:after="60" w:before="40" w:line="260"/>
        <w:ind w:left="360" w:hanging="360"/>
      </w:pPr>
      <w:r>
        <w:rPr>
          <w:rFonts w:ascii="Times New Roman" w:cs="Times New Roman" w:eastAsia="Times New Roman" w:hAnsi="Times New Roman"/>
          <w:sz w:val="20"/>
          <w:szCs w:val="20"/>
        </w:rPr>
        <w:t xml:space="preserve">[9] R. R. Yager, "On the Dempster-Shafer framework and new combination rules," Inf. Sci., vol. 41, no. 2, pp. 93–137, 1987.</w:t>
      </w:r>
    </w:p>
    <w:p>
      <w:pPr>
        <w:spacing w:after="60" w:before="40" w:line="260"/>
        <w:ind w:left="360" w:hanging="360"/>
      </w:pPr>
      <w:r>
        <w:rPr>
          <w:rFonts w:ascii="Times New Roman" w:cs="Times New Roman" w:eastAsia="Times New Roman" w:hAnsi="Times New Roman"/>
          <w:sz w:val="20"/>
          <w:szCs w:val="20"/>
        </w:rPr>
        <w:t xml:space="preserve">[10] A. Vaswani et al., "Attention is all you need," in Proc. NeurIPS, 2017, pp. 5998–6008.</w:t>
      </w:r>
    </w:p>
    <w:p>
      <w:pPr>
        <w:spacing w:after="60" w:before="40" w:line="260"/>
        <w:ind w:left="360" w:hanging="360"/>
      </w:pPr>
      <w:r>
        <w:rPr>
          <w:rFonts w:ascii="Times New Roman" w:cs="Times New Roman" w:eastAsia="Times New Roman" w:hAnsi="Times New Roman"/>
          <w:sz w:val="20"/>
          <w:szCs w:val="20"/>
        </w:rPr>
        <w:t xml:space="preserve">[11] Y.-H. Tsai et al., "Multimodal Transformer for unaligned multimodal language sequences," in Proc. ACL, 2019.</w:t>
      </w:r>
    </w:p>
    <w:p>
      <w:pPr>
        <w:spacing w:after="60" w:before="40" w:line="260"/>
        <w:ind w:left="360" w:hanging="360"/>
      </w:pPr>
      <w:r>
        <w:rPr>
          <w:rFonts w:ascii="Times New Roman" w:cs="Times New Roman" w:eastAsia="Times New Roman" w:hAnsi="Times New Roman"/>
          <w:sz w:val="20"/>
          <w:szCs w:val="20"/>
        </w:rPr>
        <w:t xml:space="preserve">[12] A. Fukui, D. H. Park, D. Yang, A. Rohrbach, T. Darrell, and M. Rohrbach, "Multimodal compact bilinear pooling for visual question answering and visual grounding," in Proc. EMNLP, 2016, pp. 457–468.</w:t>
      </w:r>
    </w:p>
    <w:p>
      <w:pPr>
        <w:spacing w:after="60" w:before="40" w:line="260"/>
        <w:ind w:left="360" w:hanging="360"/>
      </w:pPr>
      <w:r>
        <w:rPr>
          <w:rFonts w:ascii="Times New Roman" w:cs="Times New Roman" w:eastAsia="Times New Roman" w:hAnsi="Times New Roman"/>
          <w:sz w:val="20"/>
          <w:szCs w:val="20"/>
        </w:rPr>
        <w:t xml:space="preserve">[13] M. Sakurada and T. Yairi, "Anomaly detection using autoencoders with nonlinear dimensionality reduction," in Proc. ACM MLSDA Workshop, 2014.</w:t>
      </w:r>
    </w:p>
    <w:p>
      <w:pPr>
        <w:spacing w:after="60" w:before="40" w:line="260"/>
        <w:ind w:left="360" w:hanging="360"/>
      </w:pPr>
      <w:r>
        <w:rPr>
          <w:rFonts w:ascii="Times New Roman" w:cs="Times New Roman" w:eastAsia="Times New Roman" w:hAnsi="Times New Roman"/>
          <w:sz w:val="20"/>
          <w:szCs w:val="20"/>
        </w:rPr>
        <w:t xml:space="preserve">[14] H. Lashkari, A. F. A. Kadir, L. Taheri, and A. A. Ghorbani, "Toward developing a systematic approach to generate benchmark Android malware datasets and classification," in Proc. IEEE ICCST, 2018.</w:t>
      </w:r>
    </w:p>
    <w:p>
      <w:pPr>
        <w:spacing w:after="60" w:before="40" w:line="260"/>
        <w:ind w:left="360" w:hanging="360"/>
      </w:pPr>
      <w:r>
        <w:rPr>
          <w:rFonts w:ascii="Times New Roman" w:cs="Times New Roman" w:eastAsia="Times New Roman" w:hAnsi="Times New Roman"/>
          <w:sz w:val="20"/>
          <w:szCs w:val="20"/>
        </w:rPr>
        <w:t xml:space="preserve">[15] M. Hasan, S. Akter, and N. Ahmed, "User perceptions of fraud in bKash: A qualitative study from Bangladesh," in Proc. ACM CHI Workshops, 2023.</w:t>
      </w:r>
    </w:p>
    <w:p>
      <w:pPr>
        <w:spacing w:after="60" w:before="40" w:line="260"/>
        <w:ind w:left="360" w:hanging="360"/>
      </w:pPr>
      <w:r>
        <w:rPr>
          <w:rFonts w:ascii="Times New Roman" w:cs="Times New Roman" w:eastAsia="Times New Roman" w:hAnsi="Times New Roman"/>
          <w:sz w:val="20"/>
          <w:szCs w:val="20"/>
        </w:rPr>
        <w:t xml:space="preserve">[16] M. Rahman et al., "Transaction pattern analysis in Bangladeshi Mobile Financial Services," J. Banking Finance, 2024.</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2026-06-04T19:59:08.884Z</dcterms:created>
  <dcterms:modified xsi:type="dcterms:W3CDTF">2026-06-04T19:59:08.897Z</dcterms:modified>
</cp:coreProperties>
</file>

<file path=docProps/custom.xml><?xml version="1.0" encoding="utf-8"?>
<Properties xmlns="http://schemas.openxmlformats.org/officeDocument/2006/custom-properties" xmlns:vt="http://schemas.openxmlformats.org/officeDocument/2006/docPropsVTypes"/>
</file>