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SecureSpeak — Meeting Brief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Prepared for Dr. Nova Ahmed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Khondokar Sajid · Abdul Alim Rakib · Sumaya Shimu Rima · Shakib Ahamed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Department of Electrical and Computer Engineering, North South University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Date: ______________</w:t>
      </w:r>
    </w:p>
    <w:p>
      <w:pPr>
        <w:pBdr>
          <w:bottom w:val="single" w:color="bfbfbf" w:sz="6"/>
        </w:pBdr>
        <w:spacing w:after="140" w:before="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 Where the project stands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SecureSpeak system is built and honestly evaluated. One paper is written and submission-ready. A second paper — the human-centered half, and the one most closely aligned with your research — is planned but not yet started. In this meeting I would like your decision on whether to publish these as two papers, and how you would like to be credited.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 The main decision I need from you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Is it legitimate to split this work into two papers, or should it be one?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Paper 1 answers: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does the detection work, and can the field even evaluate it?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(a systems + evaluation-methodology + dataset contribution)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Paper 2 answers: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 the bilingual warnings actually help the vulnerable users they are built for?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(a usable-security / human-centered contribution)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These are different research questions, methods, data, and venue communities, which is why I believe they form a clean split rather than one paper divided in two. But the norm in this subfield is your call, and your name is on the work. If you prefer one paper, I will fold everything into a single, stronger submission instead.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 Paper 1 — written, submission-ready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it is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layered detection system for Mobile Financial Service (MFS) fraud in Bangladesh: a URL phishing detector, a Bangla/Banglish smishing detector, and a network anomaly detector, behind a decision layer that produces bilingual, low-literacy warnings.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honest angle that makes it publishable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paper’s strongest contribution is not the detectors — it is the evaluation. Two findings are negative and, I argue, more valuable than a positive result would have been: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Evaluation-integrity methodology.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Every text detector is evaluated under two splits: a conventional random split and a leakage-controlled grouped split (registered-domain-disjoint for URLs, near-duplicate-cluster-disjoint for SMS). The URL detector holds up — 99.65% random to 99.19% domain-disjoint, a 0.46% drop — proving it generalizes rather than memorizing sibling URLs.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 dataset-gap finding.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MFS-specific features we designed give no measurable accuracy benefit (ablation delta −0.0001, p = 0.508; SHAP ranks 17–21 of 26). Auditing the corpora explains why: MFS attacks are almost absent from the public data — 6 MFS-brand URLs in a 29,794-URL test set, and the Bangla SMS benchmark is 56.5% exact duplicates. The field cannot currently evaluate this threat.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26 engineered features, RandomForest (300 trees, balanced), StealthPhisher 2025 (150k URLs), domain-disjoint split, SHAP attribution.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SMS: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MiniLM-L12 multilingual embeddings + 6 urgency features, logistic regression, BangalaBarta 2024 (2,772 messages), near-duplicate-cluster-disjoint split.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Network: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RandomForest on CICMalAnal2017 with the SCAREWARE family physically withheld (family-level holdout), reported honestly at 79.84% with its domain-shift limitation on real device traffic stated openly.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Ethics: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network flows captured on the authors’ own six devices; no external subjects.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Confirmed results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URL 99.19% (domain-disjoint), SMS 95.95% (cluster-disjoint), network 79.84% (family-holdout). Bangla SMS is 0.27 points below the published BERT+CNN baseline (Tanbhir et al., same corpus) at a fraction of the inference cost.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Publication plan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Primary target — ACM DTRAP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(Digital Threats: Research and Practice): Q2 journal, rolling deadline, scope explicitly welcomes real-world threats and reproducible results, and grades on evaluation validity — this paper’s core strength.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Backup: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Journal of Information Security and Applications, or IEEE Access.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Faster alternative: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ICCIT 2026, if a six-page cut fits the deadline.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Immediate step regardless: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post an arXiv preprint to timestamp the dataset findings, and release the code on GitHub for reproducibility.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 Paper 2 — proposed, not yet started (your domain)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it is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human-centered evaluation: do the bilingual, low-literacy warnings actually help elderly, low-literacy, rural, and first-time MFS users recognize and avoid fraud? This is the usable-security contribution, and the piece aligned with your work on inclusive technology for Bangladesh.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Proposed methodology (user study)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30–40 participants; primary group elderly, low-literacy, and first-time MFS users.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Within-subjects, counterbalanced. Two conditions: SecureSpeak’s specific warning (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“this link uses a free .tk domain and contains the word bKash”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 versus a generic warning (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“this link may be dangerous”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4–6 realistic phishing/smishing scenarios; per warning, measure comprehension, trust (1–5), and intended action, followed by a short semi-structured interview.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Analysis: McNemar / Wilcoxon for the paired quantitative data, plus thematic analysis of interviews.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Oral consent for low-literacy participants; no real phishing links; data anonymized.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Requires institutional ethics clearance — I would need your guidance here.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Second component: a real MFS phishing corpus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Paper 1’s finding is that no adequate MFS corpus exists. Paper 2 would partially fix this: collect 100–300 genuine MFS-brand phishing URLs (threat feeds, reported scams, operator disclosures), then re-run the ablation and the knowledge-based brand detector on real data — where the MFS features may finally show the benefit Paper 1 could not test.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Publication plan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Primary target — SOUPS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(Symposium on Usable Privacy and Security, USENIX): the natural venue for low-literacy warning comprehension in an underserved language.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Alternative — Computers &amp; Security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(Q1): if we combine the user study, the MFS corpus, and a full-system evaluation into one larger journal paper.</w:t>
      </w:r>
    </w:p>
    <w:p>
      <w:pPr>
        <w:pStyle w:val="ListParagraph"/>
        <w:numPr>
          <w:ilvl w:val="0"/>
          <w:numId w:val="1"/>
        </w:numPr>
        <w:spacing w:after="8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Timeline: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roughly 3–4 months, gated on ethics clearance and recruitment.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 What I am asking you to decide today</w:t>
      </w:r>
    </w:p>
    <w:p>
      <w:pPr>
        <w:pStyle w:val="ListParagraph"/>
        <w:numPr>
          <w:ilvl w:val="0"/>
          <w:numId w:val="2"/>
        </w:numPr>
        <w:spacing w:after="9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Two papers, or one?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(Section 2.)</w:t>
      </w:r>
    </w:p>
    <w:p>
      <w:pPr>
        <w:pStyle w:val="ListParagraph"/>
        <w:numPr>
          <w:ilvl w:val="0"/>
          <w:numId w:val="2"/>
        </w:numPr>
        <w:spacing w:after="9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Authorship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— would you like to be a co-author, or credited as supervisor? For a Q1 or SOUPS submission your co-authorship materially strengthens the work.</w:t>
      </w:r>
    </w:p>
    <w:p>
      <w:pPr>
        <w:pStyle w:val="ListParagraph"/>
        <w:numPr>
          <w:ilvl w:val="0"/>
          <w:numId w:val="2"/>
        </w:numPr>
        <w:spacing w:after="9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Ethics clearance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— how do we route the Paper 2 user study through NSU?</w:t>
      </w:r>
    </w:p>
    <w:p>
      <w:pPr>
        <w:pStyle w:val="ListParagraph"/>
        <w:numPr>
          <w:ilvl w:val="0"/>
          <w:numId w:val="2"/>
        </w:numPr>
        <w:spacing w:after="90" w:line="27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Venue sanity-check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— does DTRAP for Paper 1 and SOUPS for Paper 2 match your read of where this work best lands?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 One thing I want to be transparent about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During development the project accumulated several experiment variants. A few early results did not survive careful re-checking — for example an ablation and a fusion result that turned out to rest on synthetic rather than real data. I removed those and rebuilt Paper 1 on only the results I can reproduce and defend. I would rather show you a smaller honest paper than a larger one I cannot stand behind. Everything in Section 3 is reproducible from scripted notebooks with fixed random seeds.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Calibri" w:cs="Calibri" w:eastAsia="Calibri" w:hAnsi="Calibri"/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SecureSpeak Meeting Brief</dc:title>
  <dc:creator>SecureSpeak Team</dc:creator>
  <cp:lastModifiedBy>Un-named</cp:lastModifiedBy>
  <cp:revision>1</cp:revision>
  <dcterms:created xsi:type="dcterms:W3CDTF">2026-07-25T16:13:49.374Z</dcterms:created>
  <dcterms:modified xsi:type="dcterms:W3CDTF">2026-07-25T16:13:49.394Z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