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Times New Roman" w:cs="Times New Roman" w:eastAsia="Times New Roman" w:hAnsi="Times New Roman"/>
          <w:b/>
          <w:bCs/>
          <w:color w:val="1a1a1a"/>
          <w:sz w:val="32"/>
          <w:szCs w:val="32"/>
        </w:rPr>
        <w:t xml:space="preserve">SecureSpeak: A Layered Detection System for Phishing, Smishing, and Post-Click Malware Targeting Mobile Financial Services in Bangladesh</w:t>
      </w:r>
    </w:p>
    <w:p>
      <w:pPr>
        <w:spacing w:after="30"/>
        <w:jc w:val="center"/>
      </w:pPr>
      <w:r>
        <w:rPr>
          <w:rFonts w:ascii="Times New Roman" w:cs="Times New Roman" w:eastAsia="Times New Roman" w:hAnsi="Times New Roman"/>
          <w:color w:val="1a1a1a"/>
          <w:sz w:val="21"/>
          <w:szCs w:val="21"/>
        </w:rPr>
        <w:t xml:space="preserve">Khondokar Sajid, Abdul Alim Rakib, Sumaya Shimu Rima, Shakib Ahamed</w:t>
      </w:r>
    </w:p>
    <w:p>
      <w:pPr>
        <w:spacing w:after="20"/>
        <w:jc w:val="center"/>
      </w:pPr>
      <w:r>
        <w:rPr>
          <w:rFonts w:ascii="Times New Roman" w:cs="Times New Roman" w:eastAsia="Times New Roman" w:hAnsi="Times New Roman"/>
          <w:color w:val="5f5f5f"/>
          <w:sz w:val="18"/>
          <w:szCs w:val="18"/>
        </w:rPr>
        <w:t xml:space="preserve">Department of Electrical and Computer Engineering, North South University, Dhaka, Bangladesh</w:t>
      </w:r>
    </w:p>
    <w:p>
      <w:pPr>
        <w:spacing w:after="200"/>
        <w:jc w:val="center"/>
      </w:pPr>
      <w:r>
        <w:rPr>
          <w:rFonts w:ascii="Times New Roman" w:cs="Times New Roman" w:eastAsia="Times New Roman" w:hAnsi="Times New Roman"/>
          <w:i/>
          <w:iCs/>
          <w:color w:val="5f5f5f"/>
          <w:sz w:val="18"/>
          <w:szCs w:val="18"/>
        </w:rPr>
        <w:t xml:space="preserve">Supervised by Dr. Nova Ahmed</w:t>
      </w:r>
    </w:p>
    <w:p>
      <w:pPr>
        <w:pBdr>
          <w:bottom w:val="single" w:color="bcbcbc" w:sz="6"/>
        </w:pBdr>
        <w:spacing w:after="120"/>
      </w:pPr>
    </w:p>
    <w:p>
      <w:pPr>
        <w:spacing w:after="60"/>
      </w:pPr>
      <w:r>
        <w:rPr>
          <w:rFonts w:ascii="Times New Roman" w:cs="Times New Roman" w:eastAsia="Times New Roman" w:hAnsi="Times New Roman"/>
          <w:b/>
          <w:bCs/>
          <w:color w:val="1a1a1a"/>
          <w:sz w:val="23"/>
          <w:szCs w:val="23"/>
        </w:rPr>
        <w:t xml:space="preserve">Abstract</w:t>
      </w:r>
    </w:p>
    <w:p>
      <w:pPr>
        <w:spacing w:after="100" w:before="0" w:line="264"/>
        <w:jc w:val="both"/>
      </w:pPr>
      <w:r>
        <w:rPr>
          <w:rFonts w:ascii="Times New Roman" w:cs="Times New Roman" w:eastAsia="Times New Roman" w:hAnsi="Times New Roman"/>
          <w:color w:val="1a1a1a"/>
          <w:sz w:val="21"/>
          <w:szCs w:val="21"/>
        </w:rPr>
        <w:t xml:space="preserve">Mobile Financial Services (MFS) such as bKash, Nagad, and Rocket have become critical financial infrastructure in Bangladesh, yet their users—often elderly, first-time smartphone owners, or low-literacy remittance recipients—are disproportionately exposed to phishing and smishing. A national survey reports that roughly nine percent of MFS users have been victimized by fraud, with an average loss on the order of nine thousand taka, and active malware campaigns such as SikkahBot demonstrate that the threat is current and financially motivated. We present SecureSpeak, a layered detection system combining a learned URL phishing detector, a Bangla/Banglish smishing classifier, and a network-flow anomaly detector, coordinated by a lightweight, context-aware decision layer that delivers bilingual, low-literacy warnings. We evaluate the URL detector under two split protocols and report both: 99.65% accuracy on a conventional random split, and 99.19% accuracy with 0.9976 ROC-AUC under a registered-domain-disjoint split in which no domain appears in both training and test. The 0.46% relative gap between the two establishes that the detector generalizes to unseen domains rather than recognizing siblings of training URLs. The Bangla smishing detector reaches 98.20% accuracy and 0.9982 ROC-AUC, comparable to a published BERT and character-level CNN baseline on the same corpus at substantially lower inference cost. We further report two negative results that we consider central rather than incidental: an ablation shows the MFS-specific knowledge features produce no measurable accuracy benefit on a general phishing corpus, and an audit reveals why—that corpus contains six MFS-brand URLs in a test set of 29,794. We therefore reframe those features as an interpretability mechanism, and identify the absence of an MFS-specific phishing corpus as a concrete gap this community must close.</w:t>
      </w:r>
    </w:p>
    <w:p>
      <w:pPr>
        <w:spacing w:after="160" w:before="0" w:line="264"/>
        <w:jc w:val="both"/>
      </w:pPr>
      <w:r>
        <w:rPr>
          <w:rFonts w:ascii="Times New Roman" w:cs="Times New Roman" w:eastAsia="Times New Roman" w:hAnsi="Times New Roman"/>
          <w:b/>
          <w:bCs/>
          <w:color w:val="1a1a1a"/>
          <w:sz w:val="18"/>
          <w:szCs w:val="18"/>
        </w:rPr>
        <w:t xml:space="preserve">Keywords: </w:t>
      </w:r>
      <w:r>
        <w:rPr>
          <w:rFonts w:ascii="Times New Roman" w:cs="Times New Roman" w:eastAsia="Times New Roman" w:hAnsi="Times New Roman"/>
          <w:color w:val="5f5f5f"/>
          <w:sz w:val="18"/>
          <w:szCs w:val="18"/>
        </w:rPr>
        <w:t xml:space="preserve">phishing detection, mobile financial services, smishing, Bangla NLP, usable security, evaluation methodology, dataset gaps, Bangladesh.</w:t>
      </w:r>
    </w:p>
    <w:p>
      <w:pPr>
        <w:pStyle w:val="Heading1"/>
        <w:spacing w:after="120" w:before="260"/>
      </w:pPr>
      <w:r>
        <w:rPr>
          <w:rFonts w:ascii="Times New Roman" w:cs="Times New Roman" w:eastAsia="Times New Roman" w:hAnsi="Times New Roman"/>
          <w:b/>
          <w:bCs/>
          <w:color w:val="1a1a1a"/>
          <w:sz w:val="26"/>
          <w:szCs w:val="26"/>
        </w:rPr>
        <w:t xml:space="preserve">1   Introduction</w:t>
      </w:r>
    </w:p>
    <w:p>
      <w:pPr>
        <w:spacing w:after="120" w:before="0" w:line="264"/>
        <w:jc w:val="both"/>
      </w:pPr>
      <w:r>
        <w:rPr>
          <w:rFonts w:ascii="Times New Roman" w:cs="Times New Roman" w:eastAsia="Times New Roman" w:hAnsi="Times New Roman"/>
          <w:color w:val="1a1a1a"/>
          <w:sz w:val="21"/>
          <w:szCs w:val="21"/>
        </w:rPr>
        <w:t xml:space="preserve">Mobile Financial Services have transformed financial inclusion in Bangladesh. Platforms such as bKash, Nagad, and Rocket now reach a large share of the adult population and carry everyday wages, remittances, and pensions. This growth has been accompanied by a persistent rise in fraud. A survey by the Policy Research Institute of Bangladesh found that roughly one in ten MFS users—about 9.3 percent—had been the victim of some form of fraud, with an average loss on the order of nine thousand taka, and that fear of fraud is a common reason non-users cite for avoiding MFS entirely [1]. The users at greatest risk—elderly pensioners, first-time smartphone owners, and rural remittance recipients—are precisely those least equipped to recognize a fraudulent link or a spoofed sender.</w:t>
      </w:r>
    </w:p>
    <w:p>
      <w:pPr>
        <w:spacing w:after="120" w:before="0" w:line="264"/>
        <w:jc w:val="both"/>
      </w:pPr>
      <w:r>
        <w:rPr>
          <w:rFonts w:ascii="Times New Roman" w:cs="Times New Roman" w:eastAsia="Times New Roman" w:hAnsi="Times New Roman"/>
          <w:color w:val="1a1a1a"/>
          <w:sz w:val="21"/>
          <w:szCs w:val="21"/>
        </w:rPr>
        <w:t xml:space="preserve">The threat is not hypothetical. SikkahBot, an Android malware campaign active since July 2024 and documented by Cyble Research and Intelligence Labs, impersonates official Bangladesh Education Board scholarship portals, intercepts SMS, abuses the Android Accessibility Service to autofill stolen PINs into bKash, Nagad, and Dutch-Bangla Bank apps, and even executes offline USSD-based transactions, all while maintaining low detection rates on public scanners [2]. Campaigns of this kind exploit two gaps at once: a detection gap, because newly registered domains and repackaged apps evade blacklists and structure-based classifiers, and a comprehension gap, because a warning that a low-literacy user cannot read or act upon provides no protection.</w:t>
      </w:r>
    </w:p>
    <w:p>
      <w:pPr>
        <w:spacing w:after="120" w:before="0" w:line="264"/>
        <w:jc w:val="both"/>
      </w:pPr>
      <w:r>
        <w:rPr>
          <w:rFonts w:ascii="Times New Roman" w:cs="Times New Roman" w:eastAsia="Times New Roman" w:hAnsi="Times New Roman"/>
          <w:color w:val="1a1a1a"/>
          <w:sz w:val="21"/>
          <w:szCs w:val="21"/>
        </w:rPr>
        <w:t xml:space="preserve">This paper reports the design and honest evaluation of SecureSpeak, a layered detection system built for that setting. Two commitments shape what follows. The first is evaluation rigor: aggregate accuracy on a random split is a weak claim for URL classification, because phishing corpora contain many URLs per registered domain and a random split places siblings of nearly every test URL into training. We therefore evaluate under a domain-disjoint protocol as well, and report both. The second is that negative results are reported as prominently as positive ones. Two of our findings are negative, and both proved more informative than the positive result they replaced.</w:t>
      </w:r>
    </w:p>
    <w:p>
      <w:pPr>
        <w:spacing w:after="40" w:before="0" w:line="264"/>
        <w:jc w:val="both"/>
      </w:pPr>
      <w:r>
        <w:rPr>
          <w:rFonts w:ascii="Times New Roman" w:cs="Times New Roman" w:eastAsia="Times New Roman" w:hAnsi="Times New Roman"/>
          <w:b/>
          <w:bCs/>
          <w:color w:val="1a1a1a"/>
          <w:sz w:val="21"/>
          <w:szCs w:val="21"/>
        </w:rPr>
        <w:t xml:space="preserve">Contributions.</w:t>
      </w:r>
    </w:p>
    <w:p>
      <w:pPr>
        <w:pStyle w:val="ListParagraph"/>
        <w:numPr>
          <w:ilvl w:val="0"/>
          <w:numId w:val="1"/>
        </w:numPr>
        <w:spacing w:after="70" w:line="260"/>
        <w:jc w:val="both"/>
      </w:pPr>
      <w:r>
        <w:rPr>
          <w:rFonts w:ascii="Times New Roman" w:cs="Times New Roman" w:eastAsia="Times New Roman" w:hAnsi="Times New Roman"/>
          <w:color w:val="1a1a1a"/>
          <w:sz w:val="21"/>
          <w:szCs w:val="21"/>
        </w:rPr>
        <w:t xml:space="preserve">A URL phishing detector evaluated under a </w:t>
      </w:r>
      <w:r>
        <w:rPr>
          <w:rFonts w:ascii="Times New Roman" w:cs="Times New Roman" w:eastAsia="Times New Roman" w:hAnsi="Times New Roman"/>
          <w:b/>
          <w:bCs/>
          <w:color w:val="1a1a1a"/>
          <w:sz w:val="21"/>
          <w:szCs w:val="21"/>
        </w:rPr>
        <w:t xml:space="preserve">registered-domain-disjoint split</w:t>
      </w:r>
      <w:r>
        <w:rPr>
          <w:rFonts w:ascii="Times New Roman" w:cs="Times New Roman" w:eastAsia="Times New Roman" w:hAnsi="Times New Roman"/>
          <w:color w:val="1a1a1a"/>
          <w:sz w:val="21"/>
          <w:szCs w:val="21"/>
        </w:rPr>
        <w:t xml:space="preserve">, reaching 99.19% accuracy and 0.9976 ROC-AUC with zero domain overlap between training and test, against 99.65% under a conventional random split. The small gap establishes generalization to unseen domains rather than sibling recognition.</w:t>
      </w:r>
    </w:p>
    <w:p>
      <w:pPr>
        <w:pStyle w:val="ListParagraph"/>
        <w:numPr>
          <w:ilvl w:val="0"/>
          <w:numId w:val="1"/>
        </w:numPr>
        <w:spacing w:after="70" w:line="260"/>
        <w:jc w:val="both"/>
      </w:pPr>
      <w:r>
        <w:rPr>
          <w:rFonts w:ascii="Times New Roman" w:cs="Times New Roman" w:eastAsia="Times New Roman" w:hAnsi="Times New Roman"/>
          <w:color w:val="1a1a1a"/>
          <w:sz w:val="21"/>
          <w:szCs w:val="21"/>
        </w:rPr>
        <w:t xml:space="preserve">A </w:t>
      </w:r>
      <w:r>
        <w:rPr>
          <w:rFonts w:ascii="Times New Roman" w:cs="Times New Roman" w:eastAsia="Times New Roman" w:hAnsi="Times New Roman"/>
          <w:b/>
          <w:bCs/>
          <w:color w:val="1a1a1a"/>
          <w:sz w:val="21"/>
          <w:szCs w:val="21"/>
        </w:rPr>
        <w:t xml:space="preserve">Bangla/Banglish smishing classifier (98.20% accuracy, 0.9982 ROC-AUC)</w:t>
      </w:r>
      <w:r>
        <w:rPr>
          <w:rFonts w:ascii="Times New Roman" w:cs="Times New Roman" w:eastAsia="Times New Roman" w:hAnsi="Times New Roman"/>
          <w:color w:val="1a1a1a"/>
          <w:sz w:val="21"/>
          <w:szCs w:val="21"/>
        </w:rPr>
        <w:t xml:space="preserve"> using an on-device-viable encoder, positioned against a published transformer baseline on the same corpus.</w:t>
      </w:r>
    </w:p>
    <w:p>
      <w:pPr>
        <w:pStyle w:val="ListParagraph"/>
        <w:numPr>
          <w:ilvl w:val="0"/>
          <w:numId w:val="1"/>
        </w:numPr>
        <w:spacing w:after="70" w:line="260"/>
        <w:jc w:val="both"/>
      </w:pPr>
      <w:r>
        <w:rPr>
          <w:rFonts w:ascii="Times New Roman" w:cs="Times New Roman" w:eastAsia="Times New Roman" w:hAnsi="Times New Roman"/>
          <w:color w:val="1a1a1a"/>
          <w:sz w:val="21"/>
          <w:szCs w:val="21"/>
        </w:rPr>
        <w:t xml:space="preserve">A </w:t>
      </w:r>
      <w:r>
        <w:rPr>
          <w:rFonts w:ascii="Times New Roman" w:cs="Times New Roman" w:eastAsia="Times New Roman" w:hAnsi="Times New Roman"/>
          <w:b/>
          <w:bCs/>
          <w:color w:val="1a1a1a"/>
          <w:sz w:val="21"/>
          <w:szCs w:val="21"/>
        </w:rPr>
        <w:t xml:space="preserve">negative ablation result</w:t>
      </w:r>
      <w:r>
        <w:rPr>
          <w:rFonts w:ascii="Times New Roman" w:cs="Times New Roman" w:eastAsia="Times New Roman" w:hAnsi="Times New Roman"/>
          <w:color w:val="1a1a1a"/>
          <w:sz w:val="21"/>
          <w:szCs w:val="21"/>
        </w:rPr>
        <w:t xml:space="preserve">: removing all four MFS-specific knowledge features changes accuracy by −0.0001 (95% CI [−0.0003, +0.0001], McNemar p = 0.508). We report this rather than claim an unsupported benefit.</w:t>
      </w:r>
    </w:p>
    <w:p>
      <w:pPr>
        <w:pStyle w:val="ListParagraph"/>
        <w:numPr>
          <w:ilvl w:val="0"/>
          <w:numId w:val="1"/>
        </w:numPr>
        <w:spacing w:after="70" w:line="260"/>
        <w:jc w:val="both"/>
      </w:pPr>
      <w:r>
        <w:rPr>
          <w:rFonts w:ascii="Times New Roman" w:cs="Times New Roman" w:eastAsia="Times New Roman" w:hAnsi="Times New Roman"/>
          <w:color w:val="1a1a1a"/>
          <w:sz w:val="21"/>
          <w:szCs w:val="21"/>
        </w:rPr>
        <w:t xml:space="preserve">A </w:t>
      </w:r>
      <w:r>
        <w:rPr>
          <w:rFonts w:ascii="Times New Roman" w:cs="Times New Roman" w:eastAsia="Times New Roman" w:hAnsi="Times New Roman"/>
          <w:b/>
          <w:bCs/>
          <w:color w:val="1a1a1a"/>
          <w:sz w:val="21"/>
          <w:szCs w:val="21"/>
        </w:rPr>
        <w:t xml:space="preserve">corpus audit identifying a concrete dataset gap</w:t>
      </w:r>
      <w:r>
        <w:rPr>
          <w:rFonts w:ascii="Times New Roman" w:cs="Times New Roman" w:eastAsia="Times New Roman" w:hAnsi="Times New Roman"/>
          <w:color w:val="1a1a1a"/>
          <w:sz w:val="21"/>
          <w:szCs w:val="21"/>
        </w:rPr>
        <w:t xml:space="preserve">: the standard modern phishing corpus contains 6 MFS-brand URLs in a 29,794-URL test set, which both explains the ablation result and shows that MFS-targeted phishing is effectively absent from the data the field evaluates on.</w:t>
      </w:r>
    </w:p>
    <w:p>
      <w:pPr>
        <w:pStyle w:val="ListParagraph"/>
        <w:numPr>
          <w:ilvl w:val="0"/>
          <w:numId w:val="1"/>
        </w:numPr>
        <w:spacing w:after="140" w:line="260"/>
        <w:jc w:val="both"/>
      </w:pPr>
      <w:r>
        <w:rPr>
          <w:rFonts w:ascii="Times New Roman" w:cs="Times New Roman" w:eastAsia="Times New Roman" w:hAnsi="Times New Roman"/>
          <w:color w:val="1a1a1a"/>
          <w:sz w:val="21"/>
          <w:szCs w:val="21"/>
        </w:rPr>
        <w:t xml:space="preserve">A </w:t>
      </w:r>
      <w:r>
        <w:rPr>
          <w:rFonts w:ascii="Times New Roman" w:cs="Times New Roman" w:eastAsia="Times New Roman" w:hAnsi="Times New Roman"/>
          <w:b/>
          <w:bCs/>
          <w:color w:val="1a1a1a"/>
          <w:sz w:val="21"/>
          <w:szCs w:val="21"/>
        </w:rPr>
        <w:t xml:space="preserve">lightweight, interpretable, and updatable decision layer</w:t>
      </w:r>
      <w:r>
        <w:rPr>
          <w:rFonts w:ascii="Times New Roman" w:cs="Times New Roman" w:eastAsia="Times New Roman" w:hAnsi="Times New Roman"/>
          <w:color w:val="1a1a1a"/>
          <w:sz w:val="21"/>
          <w:szCs w:val="21"/>
        </w:rPr>
        <w:t xml:space="preserve"> with a bilingual, low-literacy warning design, together with an honest account of the network detector’s domain-shift limitation on real Bangladeshi device traffic.</w:t>
      </w:r>
    </w:p>
    <w:p>
      <w:pPr>
        <w:pStyle w:val="Heading1"/>
        <w:spacing w:after="120" w:before="260"/>
      </w:pPr>
      <w:r>
        <w:rPr>
          <w:rFonts w:ascii="Times New Roman" w:cs="Times New Roman" w:eastAsia="Times New Roman" w:hAnsi="Times New Roman"/>
          <w:b/>
          <w:bCs/>
          <w:color w:val="1a1a1a"/>
          <w:sz w:val="26"/>
          <w:szCs w:val="26"/>
        </w:rPr>
        <w:t xml:space="preserve">2   Background and Threat Model</w:t>
      </w:r>
    </w:p>
    <w:p>
      <w:pPr>
        <w:pStyle w:val="Heading2"/>
        <w:spacing w:after="90" w:before="160"/>
      </w:pPr>
      <w:r>
        <w:rPr>
          <w:rFonts w:ascii="Times New Roman" w:cs="Times New Roman" w:eastAsia="Times New Roman" w:hAnsi="Times New Roman"/>
          <w:b/>
          <w:bCs/>
          <w:color w:val="1a1a1a"/>
          <w:sz w:val="23"/>
          <w:szCs w:val="23"/>
        </w:rPr>
        <w:t xml:space="preserve">2.1   Mobile Financial Services in Bangladesh</w:t>
      </w:r>
    </w:p>
    <w:p>
      <w:pPr>
        <w:spacing w:after="120" w:before="0" w:line="264"/>
        <w:jc w:val="both"/>
      </w:pPr>
      <w:r>
        <w:rPr>
          <w:rFonts w:ascii="Times New Roman" w:cs="Times New Roman" w:eastAsia="Times New Roman" w:hAnsi="Times New Roman"/>
          <w:color w:val="1a1a1a"/>
          <w:sz w:val="21"/>
          <w:szCs w:val="21"/>
        </w:rPr>
        <w:t xml:space="preserve">MFS in Bangladesh is not a convenience layer over conventional banking; for a large part of the population it is the primary channel for receiving wages and remittances and for making everyday payments. The same survey that reports the fraud rate also records that the majority of surveyed users transact through bKash, with Nagad and Rocket following [1]. Adoption has outpaced security literacy: many users are first-time smartphone owners, operate on intermittent data connections, and rely on agents. These conditions make socially engineered and brand-impersonating attacks especially effective, because the user’s trust in a familiar brand name is itself the attack surface.</w:t>
      </w:r>
    </w:p>
    <w:p>
      <w:pPr>
        <w:pStyle w:val="Heading2"/>
        <w:spacing w:after="90" w:before="160"/>
      </w:pPr>
      <w:r>
        <w:rPr>
          <w:rFonts w:ascii="Times New Roman" w:cs="Times New Roman" w:eastAsia="Times New Roman" w:hAnsi="Times New Roman"/>
          <w:b/>
          <w:bCs/>
          <w:color w:val="1a1a1a"/>
          <w:sz w:val="23"/>
          <w:szCs w:val="23"/>
        </w:rPr>
        <w:t xml:space="preserve">2.2   Threat Model</w:t>
      </w:r>
    </w:p>
    <w:p>
      <w:pPr>
        <w:spacing w:after="120" w:before="0" w:line="264"/>
        <w:jc w:val="both"/>
      </w:pPr>
      <w:r>
        <w:rPr>
          <w:rFonts w:ascii="Times New Roman" w:cs="Times New Roman" w:eastAsia="Times New Roman" w:hAnsi="Times New Roman"/>
          <w:color w:val="1a1a1a"/>
          <w:sz w:val="21"/>
          <w:szCs w:val="21"/>
        </w:rPr>
        <w:t xml:space="preserve">We consider an attacker who seeks to steal MFS credentials—a PIN or one-time password—or to induce a fraudulent transfer, through three vectors: (a) phishing URLs delivered via SMS or messaging apps; (b) Bangla or Banglish smishing messages that create urgency around an account, a prize, or a disbursement; and (c) malicious applications that, once installed, generate anomalous network activity. Because a missed attack costs a user money while a false alarm is an annoyance, we treat false-negative rate as the primary cost throughout.</w:t>
      </w:r>
    </w:p>
    <w:p>
      <w:pPr>
        <w:spacing w:after="140" w:before="0" w:line="264"/>
        <w:jc w:val="both"/>
      </w:pPr>
      <w:r>
        <w:rPr>
          <w:rFonts w:ascii="Times New Roman" w:cs="Times New Roman" w:eastAsia="Times New Roman" w:hAnsi="Times New Roman"/>
          <w:b/>
          <w:bCs/>
          <w:color w:val="1a1a1a"/>
          <w:sz w:val="21"/>
          <w:szCs w:val="21"/>
        </w:rPr>
        <w:t xml:space="preserve">Out of scope. </w:t>
      </w:r>
      <w:r>
        <w:rPr>
          <w:rFonts w:ascii="Times New Roman" w:cs="Times New Roman" w:eastAsia="Times New Roman" w:hAnsi="Times New Roman"/>
          <w:color w:val="1a1a1a"/>
          <w:sz w:val="21"/>
          <w:szCs w:val="21"/>
        </w:rPr>
        <w:t xml:space="preserve">SecureSpeak does not address authorized-push-payment fraud, in which a user is socially engineered into willingly sending money and no technical artifact is malicious; insider fraud at the operator or agent level; or SIM-swap attacks. These require organizational or regulatory controls beyond an on-device detector.</w:t>
      </w:r>
    </w:p>
    <w:p>
      <w:pPr>
        <w:pStyle w:val="Heading1"/>
        <w:spacing w:after="120" w:before="260"/>
      </w:pPr>
      <w:r>
        <w:rPr>
          <w:rFonts w:ascii="Times New Roman" w:cs="Times New Roman" w:eastAsia="Times New Roman" w:hAnsi="Times New Roman"/>
          <w:b/>
          <w:bCs/>
          <w:color w:val="1a1a1a"/>
          <w:sz w:val="26"/>
          <w:szCs w:val="26"/>
        </w:rPr>
        <w:t xml:space="preserve">3   System Design</w:t>
      </w:r>
    </w:p>
    <w:p>
      <w:pPr>
        <w:spacing w:after="120" w:before="0" w:line="264"/>
        <w:jc w:val="both"/>
      </w:pPr>
      <w:r>
        <w:rPr>
          <w:rFonts w:ascii="Times New Roman" w:cs="Times New Roman" w:eastAsia="Times New Roman" w:hAnsi="Times New Roman"/>
          <w:color w:val="1a1a1a"/>
          <w:sz w:val="21"/>
          <w:szCs w:val="21"/>
        </w:rPr>
        <w:t xml:space="preserve">SecureSpeak is organized as three independent detectors feeding a single decision layer, as shown in Figure 1. The detectors are deliberately heterogeneous—a tree ensemble for URLs, a sentence-embedding classifier for SMS, and a flow-based detector for network traffic—because the three signals have different operating characteristics and different relevance depending on context.</w:t>
      </w:r>
    </w:p>
    <w:p>
      <w:pPr>
        <w:spacing w:after="0" w:before="40"/>
        <w:jc w:val="center"/>
      </w:pPr>
      <w:r>
        <w:drawing>
          <wp:inline distT="0" distB="0" distL="0" distR="0">
            <wp:extent cx="5334000" cy="2990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34000" cy="2990850"/>
                    </a:xfrm>
                    <a:prstGeom prst="rect">
                      <a:avLst/>
                    </a:prstGeom>
                  </pic:spPr>
                </pic:pic>
              </a:graphicData>
            </a:graphic>
          </wp:inline>
        </w:drawing>
      </w:r>
    </w:p>
    <w:p>
      <w:pPr>
        <w:spacing w:after="160" w:before="60"/>
        <w:jc w:val="center"/>
      </w:pPr>
      <w:r>
        <w:rPr>
          <w:rFonts w:ascii="Times New Roman" w:cs="Times New Roman" w:eastAsia="Times New Roman" w:hAnsi="Times New Roman"/>
          <w:i/>
          <w:iCs/>
          <w:color w:val="5f5f5f"/>
          <w:sz w:val="18"/>
          <w:szCs w:val="18"/>
        </w:rPr>
        <w:t xml:space="preserve">Figure 1: SecureSpeak architecture. Three detectors feed a context-aware decision layer that emits a three-zone outcome (SAFE / UNSURE / DANGER) and a bilingual, low-literacy warning.</w:t>
      </w:r>
    </w:p>
    <w:p>
      <w:pPr>
        <w:pStyle w:val="Heading2"/>
        <w:spacing w:after="90" w:before="160"/>
      </w:pPr>
      <w:r>
        <w:rPr>
          <w:rFonts w:ascii="Times New Roman" w:cs="Times New Roman" w:eastAsia="Times New Roman" w:hAnsi="Times New Roman"/>
          <w:b/>
          <w:bCs/>
          <w:color w:val="1a1a1a"/>
          <w:sz w:val="23"/>
          <w:szCs w:val="23"/>
        </w:rPr>
        <w:t xml:space="preserve">3.1   URL Phishing Detector</w:t>
      </w:r>
    </w:p>
    <w:p>
      <w:pPr>
        <w:spacing w:after="120" w:before="0" w:line="264"/>
        <w:jc w:val="both"/>
      </w:pPr>
      <w:r>
        <w:rPr>
          <w:rFonts w:ascii="Times New Roman" w:cs="Times New Roman" w:eastAsia="Times New Roman" w:hAnsi="Times New Roman"/>
          <w:color w:val="1a1a1a"/>
          <w:sz w:val="21"/>
          <w:szCs w:val="21"/>
        </w:rPr>
        <w:t xml:space="preserve">The URL detector engineers 26 numerical features from each URL string, grouped into lexical structure, domain risk, entropy, Bangladesh-specific signals, and structural patterns. Four features encode MFS domain knowledge: a brand-impersonation count over MFS and global brand tokens appearing in the registrable domain, a financial-keyword density feature calibrated for bKash, Nagad, and Rocket alongside generic banking terms, a free-hosting TLD indicator targeting the .tk/.ml/.ga/.cf/.gq/.pw cluster, and a broader high-risk TLD indicator. A Random Forest of 300 trees with balanced class weighting is trained on the StealthPhisher 2025 corpus of 150,000 URLs [6]. Standardization is wrapped with the classifier in a single pipeline so that normalization statistics are fitted only on training folds. SHAP values are computed with a tree explainer so the top contributing features for each decision can be passed to the warning generator, allowing an alert to name the specific reason a link was flagged.</w:t>
      </w:r>
    </w:p>
    <w:p>
      <w:pPr>
        <w:spacing w:after="120" w:before="0" w:line="264"/>
        <w:jc w:val="both"/>
      </w:pPr>
      <w:r>
        <w:rPr>
          <w:rFonts w:ascii="Times New Roman" w:cs="Times New Roman" w:eastAsia="Times New Roman" w:hAnsi="Times New Roman"/>
          <w:i/>
          <w:iCs/>
          <w:color w:val="1a1a1a"/>
          <w:sz w:val="21"/>
          <w:szCs w:val="21"/>
        </w:rPr>
        <w:t xml:space="preserve">Implementation note. </w:t>
      </w:r>
      <w:r>
        <w:rPr>
          <w:rFonts w:ascii="Times New Roman" w:cs="Times New Roman" w:eastAsia="Times New Roman" w:hAnsi="Times New Roman"/>
          <w:color w:val="1a1a1a"/>
          <w:sz w:val="21"/>
          <w:szCs w:val="21"/>
        </w:rPr>
        <w:t xml:space="preserve">The brand-impersonation feature tests brand tokens against the registrable domain, without reference to a whitelist of official MFS domains. It therefore fires on the presence of a brand token in a domain rather than on its presence in an unauthorized domain specifically. A whitelist-backed formulation would be stronger, and we treat this as a limitation rather than a contribution.</w:t>
      </w:r>
    </w:p>
    <w:p>
      <w:pPr>
        <w:pStyle w:val="Heading2"/>
        <w:spacing w:after="90" w:before="160"/>
      </w:pPr>
      <w:r>
        <w:rPr>
          <w:rFonts w:ascii="Times New Roman" w:cs="Times New Roman" w:eastAsia="Times New Roman" w:hAnsi="Times New Roman"/>
          <w:b/>
          <w:bCs/>
          <w:color w:val="1a1a1a"/>
          <w:sz w:val="23"/>
          <w:szCs w:val="23"/>
        </w:rPr>
        <w:t xml:space="preserve">3.2   Bangla/Banglish Smishing Detector</w:t>
      </w:r>
    </w:p>
    <w:p>
      <w:pPr>
        <w:spacing w:after="120" w:before="0" w:line="264"/>
        <w:jc w:val="both"/>
      </w:pPr>
      <w:r>
        <w:rPr>
          <w:rFonts w:ascii="Times New Roman" w:cs="Times New Roman" w:eastAsia="Times New Roman" w:hAnsi="Times New Roman"/>
          <w:color w:val="1a1a1a"/>
          <w:sz w:val="21"/>
          <w:szCs w:val="21"/>
        </w:rPr>
        <w:t xml:space="preserve">The SMS detector embeds each message with a paraphrase-multilingual MiniLM-L12 sentence encoder, which produces 384-dimensional embeddings for more than fifty languages including Bangla at a fraction of the inference cost of a full transformer such as mBERT or BanglaBERT [9]. This choice is deliberate: the target devices are mid-range Android phones, and an encoder that cannot run cheaply on such hardware cannot be deployed to the users who need it. The embedding is concatenated with six handcrafted urgency features—URL presence, financial-keyword presence, urgency-keyword presence, message length, exclamation density, and digit ratio—and classified with logistic regression. Training and evaluation use BangalaBarta 2024 [18], a corpus of 2,772 Bangla SMS messages balanced across smishing, promotional, and normal classes, which we collapse to a binary task.</w:t>
      </w:r>
    </w:p>
    <w:p>
      <w:pPr>
        <w:pStyle w:val="Heading2"/>
        <w:spacing w:after="90" w:before="160"/>
      </w:pPr>
      <w:r>
        <w:rPr>
          <w:rFonts w:ascii="Times New Roman" w:cs="Times New Roman" w:eastAsia="Times New Roman" w:hAnsi="Times New Roman"/>
          <w:b/>
          <w:bCs/>
          <w:color w:val="1a1a1a"/>
          <w:sz w:val="23"/>
          <w:szCs w:val="23"/>
        </w:rPr>
        <w:t xml:space="preserve">3.3   Network Anomaly Detector</w:t>
      </w:r>
    </w:p>
    <w:p>
      <w:pPr>
        <w:spacing w:after="120" w:before="0" w:line="264"/>
        <w:jc w:val="both"/>
      </w:pPr>
      <w:r>
        <w:rPr>
          <w:rFonts w:ascii="Times New Roman" w:cs="Times New Roman" w:eastAsia="Times New Roman" w:hAnsi="Times New Roman"/>
          <w:color w:val="1a1a1a"/>
          <w:sz w:val="21"/>
          <w:szCs w:val="21"/>
        </w:rPr>
        <w:t xml:space="preserve">The network detector addresses post-click malware—applications that behave normally at install time but generate anomalous traffic afterward. A supervised Random Forest is trained on flow records from CICMalAnal2017. To estimate generalization to unseen families rather than within-distribution recognition, we withhold the SCAREWARE family entirely from all training using a family-level physical holdout enforced by a runtime family-overlap assertion, following stricter evaluation protocols advocated for malware classification [12, 13]. An autoencoder trained only on benign flows provides a reconstruction-error signal intended to flag unseen families [14].</w:t>
      </w:r>
    </w:p>
    <w:p>
      <w:pPr>
        <w:pStyle w:val="Heading2"/>
        <w:spacing w:after="90" w:before="160"/>
      </w:pPr>
      <w:r>
        <w:rPr>
          <w:rFonts w:ascii="Times New Roman" w:cs="Times New Roman" w:eastAsia="Times New Roman" w:hAnsi="Times New Roman"/>
          <w:b/>
          <w:bCs/>
          <w:color w:val="1a1a1a"/>
          <w:sz w:val="23"/>
          <w:szCs w:val="23"/>
        </w:rPr>
        <w:t xml:space="preserve">3.4   Decision Layer and Bilingual Warnings</w:t>
      </w:r>
    </w:p>
    <w:p>
      <w:pPr>
        <w:spacing w:after="60" w:before="0" w:line="264"/>
        <w:jc w:val="both"/>
      </w:pPr>
      <w:r>
        <w:rPr>
          <w:rFonts w:ascii="Times New Roman" w:cs="Times New Roman" w:eastAsia="Times New Roman" w:hAnsi="Times New Roman"/>
          <w:color w:val="1a1a1a"/>
          <w:sz w:val="21"/>
          <w:szCs w:val="21"/>
        </w:rPr>
        <w:t xml:space="preserve">A lightweight decision layer combines the detector outputs with two pieces of deployment context—the trust level of the originating application and the destination port—and maps the result to one of three outcomes: SAFE (silent), DANGER (block with a warning), or UNSURE (protect by default with a recognition-based prompt). The layer is intentionally not a monolithic learned model. It is interpretable per decision, because the outcome traces to specific signals and explicit context rules, which is what makes a specific warning possible. It is also updatable without retraining: a newly identified malicious port or package name can be added to the context rules and immediately extends coverage, whereas a monolithic classifier would require retraining and redeployment. Warnings are generated in native Bangla and English by a LLaMA 3.1-8B model conditioned on the risk level and the top contributing features, with a rule-based offline template fallback for users without connectivity.</w:t>
      </w:r>
    </w:p>
    <w:p>
      <w:pPr>
        <w:spacing w:after="140" w:before="0" w:line="264"/>
        <w:jc w:val="both"/>
      </w:pPr>
      <w:r>
        <w:rPr>
          <w:rFonts w:ascii="Times New Roman" w:cs="Times New Roman" w:eastAsia="Times New Roman" w:hAnsi="Times New Roman"/>
          <w:i/>
          <w:iCs/>
          <w:color w:val="1a1a1a"/>
          <w:sz w:val="21"/>
          <w:szCs w:val="21"/>
        </w:rPr>
        <w:t xml:space="preserve">We do not claim that this decision layer outperforms a learned fusion network on aggregate accuracy, and we do not report a quantitative comparison here. </w:t>
      </w:r>
      <w:r>
        <w:rPr>
          <w:rFonts w:ascii="Times New Roman" w:cs="Times New Roman" w:eastAsia="Times New Roman" w:hAnsi="Times New Roman"/>
          <w:color w:val="1a1a1a"/>
          <w:sz w:val="21"/>
          <w:szCs w:val="21"/>
        </w:rPr>
        <w:t xml:space="preserve">Its claimed contribution is deployability, interpretability, and updatability under the constraints of the MFS setting. A quantitative evaluation of the updatability property is identified as ongoing work in Section 5.4.</w:t>
      </w:r>
    </w:p>
    <w:p>
      <w:pPr>
        <w:pStyle w:val="Heading1"/>
        <w:spacing w:after="120" w:before="260"/>
      </w:pPr>
      <w:r>
        <w:rPr>
          <w:rFonts w:ascii="Times New Roman" w:cs="Times New Roman" w:eastAsia="Times New Roman" w:hAnsi="Times New Roman"/>
          <w:b/>
          <w:bCs/>
          <w:color w:val="1a1a1a"/>
          <w:sz w:val="26"/>
          <w:szCs w:val="26"/>
        </w:rPr>
        <w:t xml:space="preserve">4   Evaluation</w:t>
      </w:r>
    </w:p>
    <w:p>
      <w:pPr>
        <w:spacing w:after="120" w:before="0" w:line="264"/>
        <w:jc w:val="both"/>
      </w:pPr>
      <w:r>
        <w:rPr>
          <w:rFonts w:ascii="Times New Roman" w:cs="Times New Roman" w:eastAsia="Times New Roman" w:hAnsi="Times New Roman"/>
          <w:color w:val="1a1a1a"/>
          <w:sz w:val="21"/>
          <w:szCs w:val="21"/>
        </w:rPr>
        <w:t xml:space="preserve">We evaluate each component on its own dataset. Where a result is negative or a protocol is weaker than it should be, we say so.</w:t>
      </w:r>
    </w:p>
    <w:p>
      <w:pPr>
        <w:pStyle w:val="Heading2"/>
        <w:spacing w:after="90" w:before="160"/>
      </w:pPr>
      <w:r>
        <w:rPr>
          <w:rFonts w:ascii="Times New Roman" w:cs="Times New Roman" w:eastAsia="Times New Roman" w:hAnsi="Times New Roman"/>
          <w:b/>
          <w:bCs/>
          <w:color w:val="1a1a1a"/>
          <w:sz w:val="23"/>
          <w:szCs w:val="23"/>
        </w:rPr>
        <w:t xml:space="preserve">4.1   URL Detector: Two Split Protocols</w:t>
      </w:r>
    </w:p>
    <w:p>
      <w:pPr>
        <w:spacing w:after="100" w:before="0" w:line="264"/>
        <w:jc w:val="both"/>
      </w:pPr>
      <w:r>
        <w:rPr>
          <w:rFonts w:ascii="Times New Roman" w:cs="Times New Roman" w:eastAsia="Times New Roman" w:hAnsi="Times New Roman"/>
          <w:color w:val="1a1a1a"/>
          <w:sz w:val="21"/>
          <w:szCs w:val="21"/>
        </w:rPr>
        <w:t xml:space="preserve">Phishing corpora contain many URLs per registered domain. The StealthPhisher 2025 corpus we use contains 150,000 URLs (71,676 legitimate, 78,324 phishing) drawn from 91,674 distinct registered domains, an average of 1.64 URLs per domain, with the ten most frequent domains accounting for 19.76% of all rows. A conventional random split therefore places siblings of a large fraction of test URLs into training, and the resulting accuracy partly measures sibling recognition rather than generalization. We report both protocols in Table 1: a stratified random split, and a split grouped on registered domain such that no domain appears in both partitions.</w:t>
      </w:r>
    </w:p>
    <w:tbl>
      <w:tblPr>
        <w:tblW w:type="dxa" w:w="8650"/>
        <w:tblBorders>
          <w:top w:val="none" w:color="FFFFFF" w:sz="0"/>
          <w:left w:val="none" w:color="FFFFFF" w:sz="0"/>
          <w:bottom w:val="none" w:color="FFFFFF" w:sz="0"/>
          <w:right w:val="none" w:color="FFFFFF" w:sz="0"/>
          <w:insideH w:val="none" w:color="FFFFFF" w:sz="0"/>
          <w:insideV w:val="none" w:color="FFFFFF" w:sz="0"/>
        </w:tblBorders>
      </w:tblPr>
      <w:tblGrid>
        <w:gridCol w:w="2450"/>
        <w:gridCol w:w="1150"/>
        <w:gridCol w:w="1250"/>
        <w:gridCol w:w="1150"/>
        <w:gridCol w:w="1250"/>
        <w:gridCol w:w="1400"/>
      </w:tblGrid>
      <w:tr>
        <w:trPr>
          <w:tblHeader/>
        </w:trPr>
        <w:tc>
          <w:tcPr>
            <w:tcW w:type="dxa" w:w="2450"/>
            <w:shd w:fill="f0f0f0" w:color="auto" w:val="clear"/>
            <w:tcMar>
              <w:top w:type="dxa" w:w="40"/>
              <w:left w:type="dxa" w:w="90"/>
              <w:bottom w:type="dxa" w:w="40"/>
              <w:right w:type="dxa" w:w="90"/>
            </w:tcMar>
          </w:tcPr>
          <w:p>
            <w:pPr>
              <w:spacing w:after="0" w:line="240"/>
              <w:jc w:val="left"/>
            </w:pPr>
            <w:r>
              <w:rPr>
                <w:rFonts w:ascii="Times New Roman" w:cs="Times New Roman" w:eastAsia="Times New Roman" w:hAnsi="Times New Roman"/>
                <w:b/>
                <w:bCs/>
                <w:color w:val="1a1a1a"/>
                <w:sz w:val="18"/>
                <w:szCs w:val="18"/>
              </w:rPr>
              <w:t xml:space="preserve">Split protocol</w:t>
            </w:r>
          </w:p>
        </w:tc>
        <w:tc>
          <w:tcPr>
            <w:tcW w:type="dxa" w:w="1150"/>
            <w:shd w:fill="f0f0f0" w:color="auto" w:val="clear"/>
            <w:tcMar>
              <w:top w:type="dxa" w:w="40"/>
              <w:left w:type="dxa" w:w="90"/>
              <w:bottom w:type="dxa" w:w="40"/>
              <w:right w:type="dxa" w:w="90"/>
            </w:tcMar>
          </w:tcPr>
          <w:p>
            <w:pPr>
              <w:spacing w:after="0" w:line="240"/>
              <w:jc w:val="center"/>
            </w:pPr>
            <w:r>
              <w:rPr>
                <w:rFonts w:ascii="Times New Roman" w:cs="Times New Roman" w:eastAsia="Times New Roman" w:hAnsi="Times New Roman"/>
                <w:b/>
                <w:bCs/>
                <w:color w:val="1a1a1a"/>
                <w:sz w:val="18"/>
                <w:szCs w:val="18"/>
              </w:rPr>
              <w:t xml:space="preserve">n (test)</w:t>
            </w:r>
          </w:p>
        </w:tc>
        <w:tc>
          <w:tcPr>
            <w:tcW w:type="dxa" w:w="1250"/>
            <w:shd w:fill="f0f0f0" w:color="auto" w:val="clear"/>
            <w:tcMar>
              <w:top w:type="dxa" w:w="40"/>
              <w:left w:type="dxa" w:w="90"/>
              <w:bottom w:type="dxa" w:w="40"/>
              <w:right w:type="dxa" w:w="90"/>
            </w:tcMar>
          </w:tcPr>
          <w:p>
            <w:pPr>
              <w:spacing w:after="0" w:line="240"/>
              <w:jc w:val="center"/>
            </w:pPr>
            <w:r>
              <w:rPr>
                <w:rFonts w:ascii="Times New Roman" w:cs="Times New Roman" w:eastAsia="Times New Roman" w:hAnsi="Times New Roman"/>
                <w:b/>
                <w:bCs/>
                <w:color w:val="1a1a1a"/>
                <w:sz w:val="18"/>
                <w:szCs w:val="18"/>
              </w:rPr>
              <w:t xml:space="preserve">Accuracy</w:t>
            </w:r>
          </w:p>
        </w:tc>
        <w:tc>
          <w:tcPr>
            <w:tcW w:type="dxa" w:w="1150"/>
            <w:shd w:fill="f0f0f0" w:color="auto" w:val="clear"/>
            <w:tcMar>
              <w:top w:type="dxa" w:w="40"/>
              <w:left w:type="dxa" w:w="90"/>
              <w:bottom w:type="dxa" w:w="40"/>
              <w:right w:type="dxa" w:w="90"/>
            </w:tcMar>
          </w:tcPr>
          <w:p>
            <w:pPr>
              <w:spacing w:after="0" w:line="240"/>
              <w:jc w:val="center"/>
            </w:pPr>
            <w:r>
              <w:rPr>
                <w:rFonts w:ascii="Times New Roman" w:cs="Times New Roman" w:eastAsia="Times New Roman" w:hAnsi="Times New Roman"/>
                <w:b/>
                <w:bCs/>
                <w:color w:val="1a1a1a"/>
                <w:sz w:val="18"/>
                <w:szCs w:val="18"/>
              </w:rPr>
              <w:t xml:space="preserve">ROC-AUC</w:t>
            </w:r>
          </w:p>
        </w:tc>
        <w:tc>
          <w:tcPr>
            <w:tcW w:type="dxa" w:w="1250"/>
            <w:shd w:fill="f0f0f0" w:color="auto" w:val="clear"/>
            <w:tcMar>
              <w:top w:type="dxa" w:w="40"/>
              <w:left w:type="dxa" w:w="90"/>
              <w:bottom w:type="dxa" w:w="40"/>
              <w:right w:type="dxa" w:w="90"/>
            </w:tcMar>
          </w:tcPr>
          <w:p>
            <w:pPr>
              <w:spacing w:after="0" w:line="240"/>
              <w:jc w:val="center"/>
            </w:pPr>
            <w:r>
              <w:rPr>
                <w:rFonts w:ascii="Times New Roman" w:cs="Times New Roman" w:eastAsia="Times New Roman" w:hAnsi="Times New Roman"/>
                <w:b/>
                <w:bCs/>
                <w:color w:val="1a1a1a"/>
                <w:sz w:val="18"/>
                <w:szCs w:val="18"/>
              </w:rPr>
              <w:t xml:space="preserve">Recall</w:t>
            </w:r>
          </w:p>
        </w:tc>
        <w:tc>
          <w:tcPr>
            <w:tcW w:type="dxa" w:w="1400"/>
            <w:shd w:fill="f0f0f0" w:color="auto" w:val="clear"/>
            <w:tcMar>
              <w:top w:type="dxa" w:w="40"/>
              <w:left w:type="dxa" w:w="90"/>
              <w:bottom w:type="dxa" w:w="40"/>
              <w:right w:type="dxa" w:w="90"/>
            </w:tcMar>
          </w:tcPr>
          <w:p>
            <w:pPr>
              <w:spacing w:after="0" w:line="240"/>
              <w:jc w:val="center"/>
            </w:pPr>
            <w:r>
              <w:rPr>
                <w:rFonts w:ascii="Times New Roman" w:cs="Times New Roman" w:eastAsia="Times New Roman" w:hAnsi="Times New Roman"/>
                <w:b/>
                <w:bCs/>
                <w:color w:val="1a1a1a"/>
                <w:sz w:val="18"/>
                <w:szCs w:val="18"/>
              </w:rPr>
              <w:t xml:space="preserve">Domain overlap</w:t>
            </w:r>
          </w:p>
        </w:tc>
      </w:tr>
      <w:tr>
        <w:tc>
          <w:tcPr>
            <w:tcW w:type="dxa" w:w="2450"/>
            <w:tcMar>
              <w:top w:type="dxa" w:w="40"/>
              <w:left w:type="dxa" w:w="90"/>
              <w:bottom w:type="dxa" w:w="40"/>
              <w:right w:type="dxa" w:w="90"/>
            </w:tcMar>
          </w:tcPr>
          <w:p>
            <w:pPr>
              <w:spacing w:after="0" w:line="240"/>
              <w:jc w:val="left"/>
            </w:pPr>
            <w:r>
              <w:rPr>
                <w:rFonts w:ascii="Times New Roman" w:cs="Times New Roman" w:eastAsia="Times New Roman" w:hAnsi="Times New Roman"/>
                <w:color w:val="1a1a1a"/>
                <w:sz w:val="18"/>
                <w:szCs w:val="18"/>
              </w:rPr>
              <w:t xml:space="preserve">Random (conventional)</w:t>
            </w:r>
          </w:p>
        </w:tc>
        <w:tc>
          <w:tcPr>
            <w:tcW w:type="dxa" w:w="1150"/>
            <w:tcMar>
              <w:top w:type="dxa" w:w="40"/>
              <w:left w:type="dxa" w:w="90"/>
              <w:bottom w:type="dxa" w:w="40"/>
              <w:right w:type="dxa" w:w="90"/>
            </w:tcMar>
          </w:tcPr>
          <w:p>
            <w:pPr>
              <w:spacing w:after="0" w:line="240"/>
              <w:jc w:val="center"/>
            </w:pPr>
            <w:r>
              <w:rPr>
                <w:rFonts w:ascii="Times New Roman" w:cs="Times New Roman" w:eastAsia="Times New Roman" w:hAnsi="Times New Roman"/>
                <w:color w:val="1a1a1a"/>
                <w:sz w:val="18"/>
                <w:szCs w:val="18"/>
              </w:rPr>
              <w:t xml:space="preserve">30,000</w:t>
            </w:r>
          </w:p>
        </w:tc>
        <w:tc>
          <w:tcPr>
            <w:tcW w:type="dxa" w:w="1250"/>
            <w:tcMar>
              <w:top w:type="dxa" w:w="40"/>
              <w:left w:type="dxa" w:w="90"/>
              <w:bottom w:type="dxa" w:w="40"/>
              <w:right w:type="dxa" w:w="90"/>
            </w:tcMar>
          </w:tcPr>
          <w:p>
            <w:pPr>
              <w:spacing w:after="0" w:line="240"/>
              <w:jc w:val="center"/>
            </w:pPr>
            <w:r>
              <w:rPr>
                <w:rFonts w:ascii="Times New Roman" w:cs="Times New Roman" w:eastAsia="Times New Roman" w:hAnsi="Times New Roman"/>
                <w:color w:val="1a1a1a"/>
                <w:sz w:val="18"/>
                <w:szCs w:val="18"/>
              </w:rPr>
              <w:t xml:space="preserve">0.9965</w:t>
            </w:r>
          </w:p>
        </w:tc>
        <w:tc>
          <w:tcPr>
            <w:tcW w:type="dxa" w:w="1150"/>
            <w:tcMar>
              <w:top w:type="dxa" w:w="40"/>
              <w:left w:type="dxa" w:w="90"/>
              <w:bottom w:type="dxa" w:w="40"/>
              <w:right w:type="dxa" w:w="90"/>
            </w:tcMar>
          </w:tcPr>
          <w:p>
            <w:pPr>
              <w:spacing w:after="0" w:line="240"/>
              <w:jc w:val="center"/>
            </w:pPr>
            <w:r>
              <w:rPr>
                <w:rFonts w:ascii="Times New Roman" w:cs="Times New Roman" w:eastAsia="Times New Roman" w:hAnsi="Times New Roman"/>
                <w:color w:val="1a1a1a"/>
                <w:sz w:val="18"/>
                <w:szCs w:val="18"/>
              </w:rPr>
              <w:t xml:space="preserve">0.9988</w:t>
            </w:r>
          </w:p>
        </w:tc>
        <w:tc>
          <w:tcPr>
            <w:tcW w:type="dxa" w:w="1250"/>
            <w:tcMar>
              <w:top w:type="dxa" w:w="40"/>
              <w:left w:type="dxa" w:w="90"/>
              <w:bottom w:type="dxa" w:w="40"/>
              <w:right w:type="dxa" w:w="90"/>
            </w:tcMar>
          </w:tcPr>
          <w:p>
            <w:pPr>
              <w:spacing w:after="0" w:line="240"/>
              <w:jc w:val="center"/>
            </w:pPr>
            <w:r>
              <w:rPr>
                <w:rFonts w:ascii="Times New Roman" w:cs="Times New Roman" w:eastAsia="Times New Roman" w:hAnsi="Times New Roman"/>
                <w:color w:val="1a1a1a"/>
                <w:sz w:val="18"/>
                <w:szCs w:val="18"/>
              </w:rPr>
              <w:t xml:space="preserve">0.9954</w:t>
            </w:r>
          </w:p>
        </w:tc>
        <w:tc>
          <w:tcPr>
            <w:tcW w:type="dxa" w:w="1400"/>
            <w:tcMar>
              <w:top w:type="dxa" w:w="40"/>
              <w:left w:type="dxa" w:w="90"/>
              <w:bottom w:type="dxa" w:w="40"/>
              <w:right w:type="dxa" w:w="90"/>
            </w:tcMar>
          </w:tcPr>
          <w:p>
            <w:pPr>
              <w:spacing w:after="0" w:line="240"/>
              <w:jc w:val="center"/>
            </w:pPr>
            <w:r>
              <w:rPr>
                <w:rFonts w:ascii="Times New Roman" w:cs="Times New Roman" w:eastAsia="Times New Roman" w:hAnsi="Times New Roman"/>
                <w:color w:val="1a1a1a"/>
                <w:sz w:val="18"/>
                <w:szCs w:val="18"/>
              </w:rPr>
              <w:t xml:space="preserve">1,337</w:t>
            </w:r>
          </w:p>
        </w:tc>
      </w:tr>
      <w:tr>
        <w:tc>
          <w:tcPr>
            <w:tcW w:type="dxa" w:w="2450"/>
            <w:tcMar>
              <w:top w:type="dxa" w:w="40"/>
              <w:left w:type="dxa" w:w="90"/>
              <w:bottom w:type="dxa" w:w="40"/>
              <w:right w:type="dxa" w:w="90"/>
            </w:tcMar>
          </w:tcPr>
          <w:p>
            <w:pPr>
              <w:spacing w:after="0" w:line="240"/>
              <w:jc w:val="left"/>
            </w:pPr>
            <w:r>
              <w:rPr>
                <w:rFonts w:ascii="Times New Roman" w:cs="Times New Roman" w:eastAsia="Times New Roman" w:hAnsi="Times New Roman"/>
                <w:b/>
                <w:bCs/>
                <w:color w:val="1a1a1a"/>
                <w:sz w:val="18"/>
                <w:szCs w:val="18"/>
              </w:rPr>
              <w:t xml:space="preserve">Domain-disjoint</w:t>
            </w:r>
          </w:p>
        </w:tc>
        <w:tc>
          <w:tcPr>
            <w:tcW w:type="dxa" w:w="1150"/>
            <w:tcMar>
              <w:top w:type="dxa" w:w="40"/>
              <w:left w:type="dxa" w:w="90"/>
              <w:bottom w:type="dxa" w:w="40"/>
              <w:right w:type="dxa" w:w="90"/>
            </w:tcMar>
          </w:tcPr>
          <w:p>
            <w:pPr>
              <w:spacing w:after="0" w:line="240"/>
              <w:jc w:val="center"/>
            </w:pPr>
            <w:r>
              <w:rPr>
                <w:rFonts w:ascii="Times New Roman" w:cs="Times New Roman" w:eastAsia="Times New Roman" w:hAnsi="Times New Roman"/>
                <w:b/>
                <w:bCs/>
                <w:color w:val="1a1a1a"/>
                <w:sz w:val="18"/>
                <w:szCs w:val="18"/>
              </w:rPr>
              <w:t xml:space="preserve">29,794</w:t>
            </w:r>
          </w:p>
        </w:tc>
        <w:tc>
          <w:tcPr>
            <w:tcW w:type="dxa" w:w="1250"/>
            <w:tcMar>
              <w:top w:type="dxa" w:w="40"/>
              <w:left w:type="dxa" w:w="90"/>
              <w:bottom w:type="dxa" w:w="40"/>
              <w:right w:type="dxa" w:w="90"/>
            </w:tcMar>
          </w:tcPr>
          <w:p>
            <w:pPr>
              <w:spacing w:after="0" w:line="240"/>
              <w:jc w:val="center"/>
            </w:pPr>
            <w:r>
              <w:rPr>
                <w:rFonts w:ascii="Times New Roman" w:cs="Times New Roman" w:eastAsia="Times New Roman" w:hAnsi="Times New Roman"/>
                <w:b/>
                <w:bCs/>
                <w:color w:val="1a1a1a"/>
                <w:sz w:val="18"/>
                <w:szCs w:val="18"/>
              </w:rPr>
              <w:t xml:space="preserve">0.9919</w:t>
            </w:r>
          </w:p>
        </w:tc>
        <w:tc>
          <w:tcPr>
            <w:tcW w:type="dxa" w:w="1150"/>
            <w:tcMar>
              <w:top w:type="dxa" w:w="40"/>
              <w:left w:type="dxa" w:w="90"/>
              <w:bottom w:type="dxa" w:w="40"/>
              <w:right w:type="dxa" w:w="90"/>
            </w:tcMar>
          </w:tcPr>
          <w:p>
            <w:pPr>
              <w:spacing w:after="0" w:line="240"/>
              <w:jc w:val="center"/>
            </w:pPr>
            <w:r>
              <w:rPr>
                <w:rFonts w:ascii="Times New Roman" w:cs="Times New Roman" w:eastAsia="Times New Roman" w:hAnsi="Times New Roman"/>
                <w:b/>
                <w:bCs/>
                <w:color w:val="1a1a1a"/>
                <w:sz w:val="18"/>
                <w:szCs w:val="18"/>
              </w:rPr>
              <w:t xml:space="preserve">0.9976</w:t>
            </w:r>
          </w:p>
        </w:tc>
        <w:tc>
          <w:tcPr>
            <w:tcW w:type="dxa" w:w="1250"/>
            <w:tcMar>
              <w:top w:type="dxa" w:w="40"/>
              <w:left w:type="dxa" w:w="90"/>
              <w:bottom w:type="dxa" w:w="40"/>
              <w:right w:type="dxa" w:w="90"/>
            </w:tcMar>
          </w:tcPr>
          <w:p>
            <w:pPr>
              <w:spacing w:after="0" w:line="240"/>
              <w:jc w:val="center"/>
            </w:pPr>
            <w:r>
              <w:rPr>
                <w:rFonts w:ascii="Times New Roman" w:cs="Times New Roman" w:eastAsia="Times New Roman" w:hAnsi="Times New Roman"/>
                <w:b/>
                <w:bCs/>
                <w:color w:val="1a1a1a"/>
                <w:sz w:val="18"/>
                <w:szCs w:val="18"/>
              </w:rPr>
              <w:t xml:space="preserve">0.9853</w:t>
            </w:r>
          </w:p>
        </w:tc>
        <w:tc>
          <w:tcPr>
            <w:tcW w:type="dxa" w:w="1400"/>
            <w:tcMar>
              <w:top w:type="dxa" w:w="40"/>
              <w:left w:type="dxa" w:w="90"/>
              <w:bottom w:type="dxa" w:w="40"/>
              <w:right w:type="dxa" w:w="90"/>
            </w:tcMar>
          </w:tcPr>
          <w:p>
            <w:pPr>
              <w:spacing w:after="0" w:line="240"/>
              <w:jc w:val="center"/>
            </w:pPr>
            <w:r>
              <w:rPr>
                <w:rFonts w:ascii="Times New Roman" w:cs="Times New Roman" w:eastAsia="Times New Roman" w:hAnsi="Times New Roman"/>
                <w:b/>
                <w:bCs/>
                <w:color w:val="1a1a1a"/>
                <w:sz w:val="18"/>
                <w:szCs w:val="18"/>
              </w:rPr>
              <w:t xml:space="preserve">0</w:t>
            </w:r>
          </w:p>
        </w:tc>
      </w:tr>
    </w:tbl>
    <w:p>
      <w:pPr>
        <w:spacing w:after="160" w:before="60"/>
        <w:jc w:val="center"/>
      </w:pPr>
      <w:r>
        <w:rPr>
          <w:rFonts w:ascii="Times New Roman" w:cs="Times New Roman" w:eastAsia="Times New Roman" w:hAnsi="Times New Roman"/>
          <w:i/>
          <w:iCs/>
          <w:color w:val="5f5f5f"/>
          <w:sz w:val="18"/>
          <w:szCs w:val="18"/>
        </w:rPr>
        <w:t xml:space="preserve">Table 1: URL phishing detector under two split protocols. Domain overlap counts registered domains present in both training and test partitions; disjointness is enforced by assertion.</w:t>
      </w:r>
    </w:p>
    <w:p>
      <w:pPr>
        <w:spacing w:after="120" w:before="0" w:line="264"/>
        <w:jc w:val="both"/>
      </w:pPr>
      <w:r>
        <w:rPr>
          <w:rFonts w:ascii="Times New Roman" w:cs="Times New Roman" w:eastAsia="Times New Roman" w:hAnsi="Times New Roman"/>
          <w:color w:val="1a1a1a"/>
          <w:sz w:val="21"/>
          <w:szCs w:val="21"/>
        </w:rPr>
        <w:t xml:space="preserve">The detector reaches 99.19% accuracy and 0.9976 ROC-AUC under the domain-disjoint protocol, against 99.65% and 0.9988 under a random split—a relative accuracy drop of 0.46%. The corpus contains no exact duplicate URLs. We read this small gap as the substantive result of the experiment: the detector generalizes to registered domains it has never seen, and its headline accuracy is not an artifact of sibling leakage. The cost of the honest protocol falls on recall, which declines from 0.9954 to 0.9853, tripling the false-negative rate from 0.46% to 1.47%. Since a missed attack is the expensive error in our threat model, the domain-disjoint false-negative rate is the figure a deployment decision should be based on. False-positive rate moves in the opposite direction, from 0.22% to 0.09%.</w:t>
      </w:r>
    </w:p>
    <w:p>
      <w:pPr>
        <w:spacing w:after="120" w:before="0" w:line="264"/>
        <w:jc w:val="both"/>
      </w:pPr>
      <w:r>
        <w:rPr>
          <w:rFonts w:ascii="Times New Roman" w:cs="Times New Roman" w:eastAsia="Times New Roman" w:hAnsi="Times New Roman"/>
          <w:color w:val="1a1a1a"/>
          <w:sz w:val="21"/>
          <w:szCs w:val="21"/>
        </w:rPr>
        <w:t xml:space="preserve">We report the domain-disjoint result as primary throughout. We note that the same reasoning motivates the family-level holdout applied to the network detector in Section 4.3; applying that rigor to malware families while evaluating URLs on a random split would have been inconsistent.</w:t>
      </w:r>
    </w:p>
    <w:p>
      <w:pPr>
        <w:pStyle w:val="Heading2"/>
        <w:spacing w:after="90" w:before="160"/>
      </w:pPr>
      <w:r>
        <w:rPr>
          <w:rFonts w:ascii="Times New Roman" w:cs="Times New Roman" w:eastAsia="Times New Roman" w:hAnsi="Times New Roman"/>
          <w:b/>
          <w:bCs/>
          <w:color w:val="1a1a1a"/>
          <w:sz w:val="23"/>
          <w:szCs w:val="23"/>
        </w:rPr>
        <w:t xml:space="preserve">4.2   Ablation of the MFS Knowledge Features: A Negative Result</w:t>
      </w:r>
    </w:p>
    <w:p>
      <w:pPr>
        <w:spacing w:after="100" w:before="0" w:line="264"/>
        <w:jc w:val="both"/>
      </w:pPr>
      <w:r>
        <w:rPr>
          <w:rFonts w:ascii="Times New Roman" w:cs="Times New Roman" w:eastAsia="Times New Roman" w:hAnsi="Times New Roman"/>
          <w:color w:val="1a1a1a"/>
          <w:sz w:val="21"/>
          <w:szCs w:val="21"/>
        </w:rPr>
        <w:t xml:space="preserve">The system’s design premise is that encoding MFS-specific knowledge as engineered features improves detection for the Bangladeshi threat context. SHAP attribution shows the model uses these features, but attribution demonstrates use, not benefit. We therefore retrained the detector with all four MFS features removed, on the domain-disjoint split, and compared the two models on identical test data using a paired bootstrap over 1,000 resamples and an exact McNemar test. Table 2 reports the result.</w:t>
      </w:r>
    </w:p>
    <w:tbl>
      <w:tblPr>
        <w:tblW w:type="dxa" w:w="8650"/>
        <w:tblBorders>
          <w:top w:val="none" w:color="FFFFFF" w:sz="0"/>
          <w:left w:val="none" w:color="FFFFFF" w:sz="0"/>
          <w:bottom w:val="none" w:color="FFFFFF" w:sz="0"/>
          <w:right w:val="none" w:color="FFFFFF" w:sz="0"/>
          <w:insideH w:val="none" w:color="FFFFFF" w:sz="0"/>
          <w:insideV w:val="none" w:color="FFFFFF" w:sz="0"/>
        </w:tblBorders>
      </w:tblPr>
      <w:tblGrid>
        <w:gridCol w:w="2150"/>
        <w:gridCol w:w="900"/>
        <w:gridCol w:w="1200"/>
        <w:gridCol w:w="1250"/>
        <w:gridCol w:w="1750"/>
        <w:gridCol w:w="1400"/>
      </w:tblGrid>
      <w:tr>
        <w:trPr>
          <w:tblHeader/>
        </w:trPr>
        <w:tc>
          <w:tcPr>
            <w:tcW w:type="dxa" w:w="2150"/>
            <w:shd w:fill="f0f0f0" w:color="auto" w:val="clear"/>
            <w:tcMar>
              <w:top w:type="dxa" w:w="40"/>
              <w:left w:type="dxa" w:w="90"/>
              <w:bottom w:type="dxa" w:w="40"/>
              <w:right w:type="dxa" w:w="90"/>
            </w:tcMar>
          </w:tcPr>
          <w:p>
            <w:pPr>
              <w:spacing w:after="0" w:line="240"/>
              <w:jc w:val="left"/>
            </w:pPr>
            <w:r>
              <w:rPr>
                <w:rFonts w:ascii="Times New Roman" w:cs="Times New Roman" w:eastAsia="Times New Roman" w:hAnsi="Times New Roman"/>
                <w:b/>
                <w:bCs/>
                <w:color w:val="1a1a1a"/>
                <w:sz w:val="18"/>
                <w:szCs w:val="18"/>
              </w:rPr>
              <w:t xml:space="preserve">Model</w:t>
            </w:r>
          </w:p>
        </w:tc>
        <w:tc>
          <w:tcPr>
            <w:tcW w:type="dxa" w:w="900"/>
            <w:shd w:fill="f0f0f0" w:color="auto" w:val="clear"/>
            <w:tcMar>
              <w:top w:type="dxa" w:w="40"/>
              <w:left w:type="dxa" w:w="90"/>
              <w:bottom w:type="dxa" w:w="40"/>
              <w:right w:type="dxa" w:w="90"/>
            </w:tcMar>
          </w:tcPr>
          <w:p>
            <w:pPr>
              <w:spacing w:after="0" w:line="240"/>
              <w:jc w:val="center"/>
            </w:pPr>
            <w:r>
              <w:rPr>
                <w:rFonts w:ascii="Times New Roman" w:cs="Times New Roman" w:eastAsia="Times New Roman" w:hAnsi="Times New Roman"/>
                <w:b/>
                <w:bCs/>
                <w:color w:val="1a1a1a"/>
                <w:sz w:val="18"/>
                <w:szCs w:val="18"/>
              </w:rPr>
              <w:t xml:space="preserve">n (test)</w:t>
            </w:r>
          </w:p>
        </w:tc>
        <w:tc>
          <w:tcPr>
            <w:tcW w:type="dxa" w:w="1200"/>
            <w:shd w:fill="f0f0f0" w:color="auto" w:val="clear"/>
            <w:tcMar>
              <w:top w:type="dxa" w:w="40"/>
              <w:left w:type="dxa" w:w="90"/>
              <w:bottom w:type="dxa" w:w="40"/>
              <w:right w:type="dxa" w:w="90"/>
            </w:tcMar>
          </w:tcPr>
          <w:p>
            <w:pPr>
              <w:spacing w:after="0" w:line="240"/>
              <w:jc w:val="center"/>
            </w:pPr>
            <w:r>
              <w:rPr>
                <w:rFonts w:ascii="Times New Roman" w:cs="Times New Roman" w:eastAsia="Times New Roman" w:hAnsi="Times New Roman"/>
                <w:b/>
                <w:bCs/>
                <w:color w:val="1a1a1a"/>
                <w:sz w:val="18"/>
                <w:szCs w:val="18"/>
              </w:rPr>
              <w:t xml:space="preserve">Accuracy</w:t>
            </w:r>
          </w:p>
        </w:tc>
        <w:tc>
          <w:tcPr>
            <w:tcW w:type="dxa" w:w="1250"/>
            <w:shd w:fill="f0f0f0" w:color="auto" w:val="clear"/>
            <w:tcMar>
              <w:top w:type="dxa" w:w="40"/>
              <w:left w:type="dxa" w:w="90"/>
              <w:bottom w:type="dxa" w:w="40"/>
              <w:right w:type="dxa" w:w="90"/>
            </w:tcMar>
          </w:tcPr>
          <w:p>
            <w:pPr>
              <w:spacing w:after="0" w:line="240"/>
              <w:jc w:val="center"/>
            </w:pPr>
            <w:r>
              <w:rPr>
                <w:rFonts w:ascii="Times New Roman" w:cs="Times New Roman" w:eastAsia="Times New Roman" w:hAnsi="Times New Roman"/>
                <w:b/>
                <w:bCs/>
                <w:color w:val="1a1a1a"/>
                <w:sz w:val="18"/>
                <w:szCs w:val="18"/>
              </w:rPr>
              <w:t xml:space="preserve">Recall</w:t>
            </w:r>
          </w:p>
        </w:tc>
        <w:tc>
          <w:tcPr>
            <w:tcW w:type="dxa" w:w="1750"/>
            <w:shd w:fill="f0f0f0" w:color="auto" w:val="clear"/>
            <w:tcMar>
              <w:top w:type="dxa" w:w="40"/>
              <w:left w:type="dxa" w:w="90"/>
              <w:bottom w:type="dxa" w:w="40"/>
              <w:right w:type="dxa" w:w="90"/>
            </w:tcMar>
          </w:tcPr>
          <w:p>
            <w:pPr>
              <w:spacing w:after="0" w:line="240"/>
              <w:jc w:val="center"/>
            </w:pPr>
            <w:r>
              <w:rPr>
                <w:rFonts w:ascii="Times New Roman" w:cs="Times New Roman" w:eastAsia="Times New Roman" w:hAnsi="Times New Roman"/>
                <w:b/>
                <w:bCs/>
                <w:color w:val="1a1a1a"/>
                <w:sz w:val="18"/>
                <w:szCs w:val="18"/>
              </w:rPr>
              <w:t xml:space="preserve">Δ accuracy (95% CI)</w:t>
            </w:r>
          </w:p>
        </w:tc>
        <w:tc>
          <w:tcPr>
            <w:tcW w:type="dxa" w:w="1400"/>
            <w:shd w:fill="f0f0f0" w:color="auto" w:val="clear"/>
            <w:tcMar>
              <w:top w:type="dxa" w:w="40"/>
              <w:left w:type="dxa" w:w="90"/>
              <w:bottom w:type="dxa" w:w="40"/>
              <w:right w:type="dxa" w:w="90"/>
            </w:tcMar>
          </w:tcPr>
          <w:p>
            <w:pPr>
              <w:spacing w:after="0" w:line="240"/>
              <w:jc w:val="center"/>
            </w:pPr>
            <w:r>
              <w:rPr>
                <w:rFonts w:ascii="Times New Roman" w:cs="Times New Roman" w:eastAsia="Times New Roman" w:hAnsi="Times New Roman"/>
                <w:b/>
                <w:bCs/>
                <w:color w:val="1a1a1a"/>
                <w:sz w:val="18"/>
                <w:szCs w:val="18"/>
              </w:rPr>
              <w:t xml:space="preserve">McNemar p</w:t>
            </w:r>
          </w:p>
        </w:tc>
      </w:tr>
      <w:tr>
        <w:tc>
          <w:tcPr>
            <w:tcW w:type="dxa" w:w="2150"/>
            <w:tcMar>
              <w:top w:type="dxa" w:w="40"/>
              <w:left w:type="dxa" w:w="90"/>
              <w:bottom w:type="dxa" w:w="40"/>
              <w:right w:type="dxa" w:w="90"/>
            </w:tcMar>
          </w:tcPr>
          <w:p>
            <w:pPr>
              <w:spacing w:after="0" w:line="240"/>
              <w:jc w:val="left"/>
            </w:pPr>
            <w:r>
              <w:rPr>
                <w:rFonts w:ascii="Times New Roman" w:cs="Times New Roman" w:eastAsia="Times New Roman" w:hAnsi="Times New Roman"/>
                <w:color w:val="1a1a1a"/>
                <w:sz w:val="18"/>
                <w:szCs w:val="18"/>
              </w:rPr>
              <w:t xml:space="preserve">Full (26 features)</w:t>
            </w:r>
          </w:p>
        </w:tc>
        <w:tc>
          <w:tcPr>
            <w:tcW w:type="dxa" w:w="900"/>
            <w:tcMar>
              <w:top w:type="dxa" w:w="40"/>
              <w:left w:type="dxa" w:w="90"/>
              <w:bottom w:type="dxa" w:w="40"/>
              <w:right w:type="dxa" w:w="90"/>
            </w:tcMar>
          </w:tcPr>
          <w:p>
            <w:pPr>
              <w:spacing w:after="0" w:line="240"/>
              <w:jc w:val="center"/>
            </w:pPr>
            <w:r>
              <w:rPr>
                <w:rFonts w:ascii="Times New Roman" w:cs="Times New Roman" w:eastAsia="Times New Roman" w:hAnsi="Times New Roman"/>
                <w:color w:val="1a1a1a"/>
                <w:sz w:val="18"/>
                <w:szCs w:val="18"/>
              </w:rPr>
              <w:t xml:space="preserve">29,794</w:t>
            </w:r>
          </w:p>
        </w:tc>
        <w:tc>
          <w:tcPr>
            <w:tcW w:type="dxa" w:w="1200"/>
            <w:tcMar>
              <w:top w:type="dxa" w:w="40"/>
              <w:left w:type="dxa" w:w="90"/>
              <w:bottom w:type="dxa" w:w="40"/>
              <w:right w:type="dxa" w:w="90"/>
            </w:tcMar>
          </w:tcPr>
          <w:p>
            <w:pPr>
              <w:spacing w:after="0" w:line="240"/>
              <w:jc w:val="center"/>
            </w:pPr>
            <w:r>
              <w:rPr>
                <w:rFonts w:ascii="Times New Roman" w:cs="Times New Roman" w:eastAsia="Times New Roman" w:hAnsi="Times New Roman"/>
                <w:color w:val="1a1a1a"/>
                <w:sz w:val="18"/>
                <w:szCs w:val="18"/>
              </w:rPr>
              <w:t xml:space="preserve">0.9919</w:t>
            </w:r>
          </w:p>
        </w:tc>
        <w:tc>
          <w:tcPr>
            <w:tcW w:type="dxa" w:w="1250"/>
            <w:tcMar>
              <w:top w:type="dxa" w:w="40"/>
              <w:left w:type="dxa" w:w="90"/>
              <w:bottom w:type="dxa" w:w="40"/>
              <w:right w:type="dxa" w:w="90"/>
            </w:tcMar>
          </w:tcPr>
          <w:p>
            <w:pPr>
              <w:spacing w:after="0" w:line="240"/>
              <w:jc w:val="center"/>
            </w:pPr>
            <w:r>
              <w:rPr>
                <w:rFonts w:ascii="Times New Roman" w:cs="Times New Roman" w:eastAsia="Times New Roman" w:hAnsi="Times New Roman"/>
                <w:color w:val="1a1a1a"/>
                <w:sz w:val="18"/>
                <w:szCs w:val="18"/>
              </w:rPr>
              <w:t xml:space="preserve">0.9853</w:t>
            </w:r>
          </w:p>
        </w:tc>
        <w:tc>
          <w:tcPr>
            <w:tcW w:type="dxa" w:w="1750"/>
            <w:tcMar>
              <w:top w:type="dxa" w:w="40"/>
              <w:left w:type="dxa" w:w="90"/>
              <w:bottom w:type="dxa" w:w="40"/>
              <w:right w:type="dxa" w:w="90"/>
            </w:tcMar>
          </w:tcPr>
          <w:p>
            <w:pPr>
              <w:spacing w:after="0" w:line="240"/>
              <w:jc w:val="center"/>
            </w:pPr>
            <w:r>
              <w:rPr>
                <w:rFonts w:ascii="Times New Roman" w:cs="Times New Roman" w:eastAsia="Times New Roman" w:hAnsi="Times New Roman"/>
                <w:color w:val="1a1a1a"/>
                <w:sz w:val="18"/>
                <w:szCs w:val="18"/>
              </w:rPr>
              <w:t xml:space="preserve">—</w:t>
            </w:r>
          </w:p>
        </w:tc>
        <w:tc>
          <w:tcPr>
            <w:tcW w:type="dxa" w:w="1400"/>
            <w:tcMar>
              <w:top w:type="dxa" w:w="40"/>
              <w:left w:type="dxa" w:w="90"/>
              <w:bottom w:type="dxa" w:w="40"/>
              <w:right w:type="dxa" w:w="90"/>
            </w:tcMar>
          </w:tcPr>
          <w:p>
            <w:pPr>
              <w:spacing w:after="0" w:line="240"/>
              <w:jc w:val="center"/>
            </w:pPr>
            <w:r>
              <w:rPr>
                <w:rFonts w:ascii="Times New Roman" w:cs="Times New Roman" w:eastAsia="Times New Roman" w:hAnsi="Times New Roman"/>
                <w:color w:val="1a1a1a"/>
                <w:sz w:val="18"/>
                <w:szCs w:val="18"/>
              </w:rPr>
              <w:t xml:space="preserve">—</w:t>
            </w:r>
          </w:p>
        </w:tc>
      </w:tr>
      <w:tr>
        <w:tc>
          <w:tcPr>
            <w:tcW w:type="dxa" w:w="2150"/>
            <w:tcMar>
              <w:top w:type="dxa" w:w="40"/>
              <w:left w:type="dxa" w:w="90"/>
              <w:bottom w:type="dxa" w:w="40"/>
              <w:right w:type="dxa" w:w="90"/>
            </w:tcMar>
          </w:tcPr>
          <w:p>
            <w:pPr>
              <w:spacing w:after="0" w:line="240"/>
              <w:jc w:val="left"/>
            </w:pPr>
            <w:r>
              <w:rPr>
                <w:rFonts w:ascii="Times New Roman" w:cs="Times New Roman" w:eastAsia="Times New Roman" w:hAnsi="Times New Roman"/>
                <w:color w:val="1a1a1a"/>
                <w:sz w:val="18"/>
                <w:szCs w:val="18"/>
              </w:rPr>
              <w:t xml:space="preserve">Ablated (22 features)</w:t>
            </w:r>
          </w:p>
        </w:tc>
        <w:tc>
          <w:tcPr>
            <w:tcW w:type="dxa" w:w="900"/>
            <w:tcMar>
              <w:top w:type="dxa" w:w="40"/>
              <w:left w:type="dxa" w:w="90"/>
              <w:bottom w:type="dxa" w:w="40"/>
              <w:right w:type="dxa" w:w="90"/>
            </w:tcMar>
          </w:tcPr>
          <w:p>
            <w:pPr>
              <w:spacing w:after="0" w:line="240"/>
              <w:jc w:val="center"/>
            </w:pPr>
            <w:r>
              <w:rPr>
                <w:rFonts w:ascii="Times New Roman" w:cs="Times New Roman" w:eastAsia="Times New Roman" w:hAnsi="Times New Roman"/>
                <w:color w:val="1a1a1a"/>
                <w:sz w:val="18"/>
                <w:szCs w:val="18"/>
              </w:rPr>
              <w:t xml:space="preserve">29,794</w:t>
            </w:r>
          </w:p>
        </w:tc>
        <w:tc>
          <w:tcPr>
            <w:tcW w:type="dxa" w:w="1200"/>
            <w:tcMar>
              <w:top w:type="dxa" w:w="40"/>
              <w:left w:type="dxa" w:w="90"/>
              <w:bottom w:type="dxa" w:w="40"/>
              <w:right w:type="dxa" w:w="90"/>
            </w:tcMar>
          </w:tcPr>
          <w:p>
            <w:pPr>
              <w:spacing w:after="0" w:line="240"/>
              <w:jc w:val="center"/>
            </w:pPr>
            <w:r>
              <w:rPr>
                <w:rFonts w:ascii="Times New Roman" w:cs="Times New Roman" w:eastAsia="Times New Roman" w:hAnsi="Times New Roman"/>
                <w:color w:val="1a1a1a"/>
                <w:sz w:val="18"/>
                <w:szCs w:val="18"/>
              </w:rPr>
              <w:t xml:space="preserve">0.9920</w:t>
            </w:r>
          </w:p>
        </w:tc>
        <w:tc>
          <w:tcPr>
            <w:tcW w:type="dxa" w:w="1250"/>
            <w:tcMar>
              <w:top w:type="dxa" w:w="40"/>
              <w:left w:type="dxa" w:w="90"/>
              <w:bottom w:type="dxa" w:w="40"/>
              <w:right w:type="dxa" w:w="90"/>
            </w:tcMar>
          </w:tcPr>
          <w:p>
            <w:pPr>
              <w:spacing w:after="0" w:line="240"/>
              <w:jc w:val="center"/>
            </w:pPr>
            <w:r>
              <w:rPr>
                <w:rFonts w:ascii="Times New Roman" w:cs="Times New Roman" w:eastAsia="Times New Roman" w:hAnsi="Times New Roman"/>
                <w:color w:val="1a1a1a"/>
                <w:sz w:val="18"/>
                <w:szCs w:val="18"/>
              </w:rPr>
              <w:t xml:space="preserve">0.9854</w:t>
            </w:r>
          </w:p>
        </w:tc>
        <w:tc>
          <w:tcPr>
            <w:tcW w:type="dxa" w:w="1750"/>
            <w:tcMar>
              <w:top w:type="dxa" w:w="40"/>
              <w:left w:type="dxa" w:w="90"/>
              <w:bottom w:type="dxa" w:w="40"/>
              <w:right w:type="dxa" w:w="90"/>
            </w:tcMar>
          </w:tcPr>
          <w:p>
            <w:pPr>
              <w:spacing w:after="0" w:line="240"/>
              <w:jc w:val="center"/>
            </w:pPr>
            <w:r>
              <w:rPr>
                <w:rFonts w:ascii="Times New Roman" w:cs="Times New Roman" w:eastAsia="Times New Roman" w:hAnsi="Times New Roman"/>
                <w:color w:val="1a1a1a"/>
                <w:sz w:val="18"/>
                <w:szCs w:val="18"/>
              </w:rPr>
              <w:t xml:space="preserve">−0.0001 [−0.0003, +0.0001]</w:t>
            </w:r>
          </w:p>
        </w:tc>
        <w:tc>
          <w:tcPr>
            <w:tcW w:type="dxa" w:w="1400"/>
            <w:tcMar>
              <w:top w:type="dxa" w:w="40"/>
              <w:left w:type="dxa" w:w="90"/>
              <w:bottom w:type="dxa" w:w="40"/>
              <w:right w:type="dxa" w:w="90"/>
            </w:tcMar>
          </w:tcPr>
          <w:p>
            <w:pPr>
              <w:spacing w:after="0" w:line="240"/>
              <w:jc w:val="center"/>
            </w:pPr>
            <w:r>
              <w:rPr>
                <w:rFonts w:ascii="Times New Roman" w:cs="Times New Roman" w:eastAsia="Times New Roman" w:hAnsi="Times New Roman"/>
                <w:color w:val="1a1a1a"/>
                <w:sz w:val="18"/>
                <w:szCs w:val="18"/>
              </w:rPr>
              <w:t xml:space="preserve">0.508</w:t>
            </w:r>
          </w:p>
        </w:tc>
      </w:tr>
    </w:tbl>
    <w:p>
      <w:pPr>
        <w:spacing w:after="160" w:before="60"/>
        <w:jc w:val="center"/>
      </w:pPr>
      <w:r>
        <w:rPr>
          <w:rFonts w:ascii="Times New Roman" w:cs="Times New Roman" w:eastAsia="Times New Roman" w:hAnsi="Times New Roman"/>
          <w:i/>
          <w:iCs/>
          <w:color w:val="5f5f5f"/>
          <w:sz w:val="18"/>
          <w:szCs w:val="18"/>
        </w:rPr>
        <w:t xml:space="preserve">Table 2: Ablation of the four MFS knowledge features (brand_impersonation, financial_kw, free_hosting_tld, high_risk_tld) under the domain-disjoint protocol.</w:t>
      </w:r>
    </w:p>
    <w:p>
      <w:pPr>
        <w:spacing w:after="120" w:before="0" w:line="264"/>
        <w:jc w:val="both"/>
      </w:pPr>
      <w:r>
        <w:rPr>
          <w:rFonts w:ascii="Times New Roman" w:cs="Times New Roman" w:eastAsia="Times New Roman" w:hAnsi="Times New Roman"/>
          <w:color w:val="1a1a1a"/>
          <w:sz w:val="21"/>
          <w:szCs w:val="21"/>
        </w:rPr>
        <w:t xml:space="preserve">Removing the MFS features changes accuracy by −0.0001, with a 95% confidence interval spanning zero and a McNemar p-value of 0.508. There is no measurable accuracy benefit. We report this plainly because the alternative—citing SHAP attribution as though it established benefit—would have been an unsupported claim, and because the reason behind the null result turned out to be the more useful finding.</w:t>
      </w:r>
    </w:p>
    <w:p>
      <w:pPr>
        <w:pStyle w:val="Heading2"/>
        <w:spacing w:after="90" w:before="160"/>
      </w:pPr>
      <w:r>
        <w:rPr>
          <w:rFonts w:ascii="Times New Roman" w:cs="Times New Roman" w:eastAsia="Times New Roman" w:hAnsi="Times New Roman"/>
          <w:b/>
          <w:bCs/>
          <w:color w:val="1a1a1a"/>
          <w:sz w:val="23"/>
          <w:szCs w:val="23"/>
        </w:rPr>
        <w:t xml:space="preserve">4.3   Why the Ablation Was Null: A Corpus Audit</w:t>
      </w:r>
    </w:p>
    <w:p>
      <w:pPr>
        <w:spacing w:after="120" w:before="0" w:line="264"/>
        <w:jc w:val="both"/>
      </w:pPr>
      <w:r>
        <w:rPr>
          <w:rFonts w:ascii="Times New Roman" w:cs="Times New Roman" w:eastAsia="Times New Roman" w:hAnsi="Times New Roman"/>
          <w:color w:val="1a1a1a"/>
          <w:sz w:val="21"/>
          <w:szCs w:val="21"/>
        </w:rPr>
        <w:t xml:space="preserve">We audited the held-out test set for the presence of the attacks the MFS features were designed to catch. Of 29,794 test URLs, six contain an MFS brand token—bKash, Nagad, Rocket, Upay, or SureCash. That is 0.02% of the test set, too few to support any subgroup analysis and far too few for MFS-specific features to influence an aggregate metric.</w:t>
      </w:r>
    </w:p>
    <w:p>
      <w:pPr>
        <w:spacing w:after="120" w:before="0" w:line="264"/>
        <w:jc w:val="both"/>
      </w:pPr>
      <w:r>
        <w:rPr>
          <w:rFonts w:ascii="Times New Roman" w:cs="Times New Roman" w:eastAsia="Times New Roman" w:hAnsi="Times New Roman"/>
          <w:color w:val="1a1a1a"/>
          <w:sz w:val="21"/>
          <w:szCs w:val="21"/>
        </w:rPr>
        <w:t xml:space="preserve">This reframes the negative result. The MFS features are not ineffective; they are untested by this corpus, because MFS-targeted phishing is effectively absent from it. The implication extends beyond our system. StealthPhisher 2025 is among the most current large-scale phishing URL corpora available, and it contains almost no examples of the attack class that costs Bangladeshi MFS users an average of nine thousand taka per incident. Any detector for this threat, ours included, is presently evaluated on data that does not contain the threat. We regard establishing an MFS-specific phishing corpus as a prerequisite for progress in this area, and treat the present work’s inability to validate its MFS features as evidence for that claim rather than a defect to be concealed.</w:t>
      </w:r>
    </w:p>
    <w:p>
      <w:pPr>
        <w:spacing w:after="120" w:before="0" w:line="264"/>
        <w:jc w:val="both"/>
      </w:pPr>
      <w:r>
        <w:rPr>
          <w:rFonts w:ascii="Times New Roman" w:cs="Times New Roman" w:eastAsia="Times New Roman" w:hAnsi="Times New Roman"/>
          <w:color w:val="1a1a1a"/>
          <w:sz w:val="21"/>
          <w:szCs w:val="21"/>
        </w:rPr>
        <w:t xml:space="preserve">Accordingly, we make no accuracy claim for the MFS features. Their role in the system is interpretability: SHAP attribution over these named features is what allows a warning to state that a link uses a free .tk domain and contains an MFS brand token, rather than emitting a generic alert. That function does not depend on their contribution to aggregate accuracy, and it is what makes the bilingual warning specific enough to act on.</w:t>
      </w:r>
    </w:p>
    <w:p>
      <w:pPr>
        <w:pStyle w:val="Heading2"/>
        <w:spacing w:after="90" w:before="160"/>
      </w:pPr>
      <w:r>
        <w:rPr>
          <w:rFonts w:ascii="Times New Roman" w:cs="Times New Roman" w:eastAsia="Times New Roman" w:hAnsi="Times New Roman"/>
          <w:b/>
          <w:bCs/>
          <w:color w:val="1a1a1a"/>
          <w:sz w:val="23"/>
          <w:szCs w:val="23"/>
        </w:rPr>
        <w:t xml:space="preserve">4.4   Bangla/Banglish Smishing Detector</w:t>
      </w:r>
    </w:p>
    <w:p>
      <w:pPr>
        <w:spacing w:after="100" w:before="0" w:line="264"/>
        <w:jc w:val="both"/>
      </w:pPr>
      <w:r>
        <w:rPr>
          <w:rFonts w:ascii="Times New Roman" w:cs="Times New Roman" w:eastAsia="Times New Roman" w:hAnsi="Times New Roman"/>
          <w:color w:val="1a1a1a"/>
          <w:sz w:val="21"/>
          <w:szCs w:val="21"/>
        </w:rPr>
        <w:t xml:space="preserve">Table 3 reports the smishing detector on the BangalaBarta 2024 test set, alongside the strongest published result on the same corpus.</w:t>
      </w:r>
    </w:p>
    <w:tbl>
      <w:tblPr>
        <w:tblW w:type="dxa" w:w="8600"/>
        <w:tblBorders>
          <w:top w:val="none" w:color="FFFFFF" w:sz="0"/>
          <w:left w:val="none" w:color="FFFFFF" w:sz="0"/>
          <w:bottom w:val="none" w:color="FFFFFF" w:sz="0"/>
          <w:right w:val="none" w:color="FFFFFF" w:sz="0"/>
          <w:insideH w:val="none" w:color="FFFFFF" w:sz="0"/>
          <w:insideV w:val="none" w:color="FFFFFF" w:sz="0"/>
        </w:tblBorders>
      </w:tblPr>
      <w:tblGrid>
        <w:gridCol w:w="3450"/>
        <w:gridCol w:w="1400"/>
        <w:gridCol w:w="1400"/>
        <w:gridCol w:w="2350"/>
      </w:tblGrid>
      <w:tr>
        <w:trPr>
          <w:tblHeader/>
        </w:trPr>
        <w:tc>
          <w:tcPr>
            <w:tcW w:type="dxa" w:w="3450"/>
            <w:shd w:fill="f0f0f0" w:color="auto" w:val="clear"/>
            <w:tcMar>
              <w:top w:type="dxa" w:w="40"/>
              <w:left w:type="dxa" w:w="90"/>
              <w:bottom w:type="dxa" w:w="40"/>
              <w:right w:type="dxa" w:w="90"/>
            </w:tcMar>
          </w:tcPr>
          <w:p>
            <w:pPr>
              <w:spacing w:after="0" w:line="240"/>
              <w:jc w:val="left"/>
            </w:pPr>
            <w:r>
              <w:rPr>
                <w:rFonts w:ascii="Times New Roman" w:cs="Times New Roman" w:eastAsia="Times New Roman" w:hAnsi="Times New Roman"/>
                <w:b/>
                <w:bCs/>
                <w:color w:val="1a1a1a"/>
                <w:sz w:val="18"/>
                <w:szCs w:val="18"/>
              </w:rPr>
              <w:t xml:space="preserve">System</w:t>
            </w:r>
          </w:p>
        </w:tc>
        <w:tc>
          <w:tcPr>
            <w:tcW w:type="dxa" w:w="1400"/>
            <w:shd w:fill="f0f0f0" w:color="auto" w:val="clear"/>
            <w:tcMar>
              <w:top w:type="dxa" w:w="40"/>
              <w:left w:type="dxa" w:w="90"/>
              <w:bottom w:type="dxa" w:w="40"/>
              <w:right w:type="dxa" w:w="90"/>
            </w:tcMar>
          </w:tcPr>
          <w:p>
            <w:pPr>
              <w:spacing w:after="0" w:line="240"/>
              <w:jc w:val="center"/>
            </w:pPr>
            <w:r>
              <w:rPr>
                <w:rFonts w:ascii="Times New Roman" w:cs="Times New Roman" w:eastAsia="Times New Roman" w:hAnsi="Times New Roman"/>
                <w:b/>
                <w:bCs/>
                <w:color w:val="1a1a1a"/>
                <w:sz w:val="18"/>
                <w:szCs w:val="18"/>
              </w:rPr>
              <w:t xml:space="preserve">Accuracy</w:t>
            </w:r>
          </w:p>
        </w:tc>
        <w:tc>
          <w:tcPr>
            <w:tcW w:type="dxa" w:w="1400"/>
            <w:shd w:fill="f0f0f0" w:color="auto" w:val="clear"/>
            <w:tcMar>
              <w:top w:type="dxa" w:w="40"/>
              <w:left w:type="dxa" w:w="90"/>
              <w:bottom w:type="dxa" w:w="40"/>
              <w:right w:type="dxa" w:w="90"/>
            </w:tcMar>
          </w:tcPr>
          <w:p>
            <w:pPr>
              <w:spacing w:after="0" w:line="240"/>
              <w:jc w:val="center"/>
            </w:pPr>
            <w:r>
              <w:rPr>
                <w:rFonts w:ascii="Times New Roman" w:cs="Times New Roman" w:eastAsia="Times New Roman" w:hAnsi="Times New Roman"/>
                <w:b/>
                <w:bCs/>
                <w:color w:val="1a1a1a"/>
                <w:sz w:val="18"/>
                <w:szCs w:val="18"/>
              </w:rPr>
              <w:t xml:space="preserve">ROC-AUC</w:t>
            </w:r>
          </w:p>
        </w:tc>
        <w:tc>
          <w:tcPr>
            <w:tcW w:type="dxa" w:w="2350"/>
            <w:shd w:fill="f0f0f0" w:color="auto" w:val="clear"/>
            <w:tcMar>
              <w:top w:type="dxa" w:w="40"/>
              <w:left w:type="dxa" w:w="90"/>
              <w:bottom w:type="dxa" w:w="40"/>
              <w:right w:type="dxa" w:w="90"/>
            </w:tcMar>
          </w:tcPr>
          <w:p>
            <w:pPr>
              <w:spacing w:after="0" w:line="240"/>
              <w:jc w:val="center"/>
            </w:pPr>
            <w:r>
              <w:rPr>
                <w:rFonts w:ascii="Times New Roman" w:cs="Times New Roman" w:eastAsia="Times New Roman" w:hAnsi="Times New Roman"/>
                <w:b/>
                <w:bCs/>
                <w:color w:val="1a1a1a"/>
                <w:sz w:val="18"/>
                <w:szCs w:val="18"/>
              </w:rPr>
              <w:t xml:space="preserve">Encoder</w:t>
            </w:r>
          </w:p>
        </w:tc>
      </w:tr>
      <w:tr>
        <w:tc>
          <w:tcPr>
            <w:tcW w:type="dxa" w:w="3450"/>
            <w:tcMar>
              <w:top w:type="dxa" w:w="40"/>
              <w:left w:type="dxa" w:w="90"/>
              <w:bottom w:type="dxa" w:w="40"/>
              <w:right w:type="dxa" w:w="90"/>
            </w:tcMar>
          </w:tcPr>
          <w:p>
            <w:pPr>
              <w:spacing w:after="0" w:line="240"/>
              <w:jc w:val="left"/>
            </w:pPr>
            <w:r>
              <w:rPr>
                <w:rFonts w:ascii="Times New Roman" w:cs="Times New Roman" w:eastAsia="Times New Roman" w:hAnsi="Times New Roman"/>
                <w:color w:val="1a1a1a"/>
                <w:sz w:val="18"/>
                <w:szCs w:val="18"/>
              </w:rPr>
              <w:t xml:space="preserve">Tanbhir et al. [19]</w:t>
            </w:r>
          </w:p>
        </w:tc>
        <w:tc>
          <w:tcPr>
            <w:tcW w:type="dxa" w:w="1400"/>
            <w:tcMar>
              <w:top w:type="dxa" w:w="40"/>
              <w:left w:type="dxa" w:w="90"/>
              <w:bottom w:type="dxa" w:w="40"/>
              <w:right w:type="dxa" w:w="90"/>
            </w:tcMar>
          </w:tcPr>
          <w:p>
            <w:pPr>
              <w:spacing w:after="0" w:line="240"/>
              <w:jc w:val="center"/>
            </w:pPr>
            <w:r>
              <w:rPr>
                <w:rFonts w:ascii="Times New Roman" w:cs="Times New Roman" w:eastAsia="Times New Roman" w:hAnsi="Times New Roman"/>
                <w:color w:val="1a1a1a"/>
                <w:sz w:val="18"/>
                <w:szCs w:val="18"/>
              </w:rPr>
              <w:t xml:space="preserve">0.9847</w:t>
            </w:r>
          </w:p>
        </w:tc>
        <w:tc>
          <w:tcPr>
            <w:tcW w:type="dxa" w:w="1400"/>
            <w:tcMar>
              <w:top w:type="dxa" w:w="40"/>
              <w:left w:type="dxa" w:w="90"/>
              <w:bottom w:type="dxa" w:w="40"/>
              <w:right w:type="dxa" w:w="90"/>
            </w:tcMar>
          </w:tcPr>
          <w:p>
            <w:pPr>
              <w:spacing w:after="0" w:line="240"/>
              <w:jc w:val="center"/>
            </w:pPr>
            <w:r>
              <w:rPr>
                <w:rFonts w:ascii="Times New Roman" w:cs="Times New Roman" w:eastAsia="Times New Roman" w:hAnsi="Times New Roman"/>
                <w:color w:val="1a1a1a"/>
                <w:sz w:val="18"/>
                <w:szCs w:val="18"/>
              </w:rPr>
              <w:t xml:space="preserve">—</w:t>
            </w:r>
          </w:p>
        </w:tc>
        <w:tc>
          <w:tcPr>
            <w:tcW w:type="dxa" w:w="2350"/>
            <w:tcMar>
              <w:top w:type="dxa" w:w="40"/>
              <w:left w:type="dxa" w:w="90"/>
              <w:bottom w:type="dxa" w:w="40"/>
              <w:right w:type="dxa" w:w="90"/>
            </w:tcMar>
          </w:tcPr>
          <w:p>
            <w:pPr>
              <w:spacing w:after="0" w:line="240"/>
              <w:jc w:val="center"/>
            </w:pPr>
            <w:r>
              <w:rPr>
                <w:rFonts w:ascii="Times New Roman" w:cs="Times New Roman" w:eastAsia="Times New Roman" w:hAnsi="Times New Roman"/>
                <w:color w:val="1a1a1a"/>
                <w:sz w:val="18"/>
                <w:szCs w:val="18"/>
              </w:rPr>
              <w:t xml:space="preserve">BERT + char-CNN + attention</w:t>
            </w:r>
          </w:p>
        </w:tc>
      </w:tr>
      <w:tr>
        <w:tc>
          <w:tcPr>
            <w:tcW w:type="dxa" w:w="3450"/>
            <w:tcMar>
              <w:top w:type="dxa" w:w="40"/>
              <w:left w:type="dxa" w:w="90"/>
              <w:bottom w:type="dxa" w:w="40"/>
              <w:right w:type="dxa" w:w="90"/>
            </w:tcMar>
          </w:tcPr>
          <w:p>
            <w:pPr>
              <w:spacing w:after="0" w:line="240"/>
              <w:jc w:val="left"/>
            </w:pPr>
            <w:r>
              <w:rPr>
                <w:rFonts w:ascii="Times New Roman" w:cs="Times New Roman" w:eastAsia="Times New Roman" w:hAnsi="Times New Roman"/>
                <w:b/>
                <w:bCs/>
                <w:color w:val="1a1a1a"/>
                <w:sz w:val="18"/>
                <w:szCs w:val="18"/>
              </w:rPr>
              <w:t xml:space="preserve">SecureSpeak (this work)</w:t>
            </w:r>
          </w:p>
        </w:tc>
        <w:tc>
          <w:tcPr>
            <w:tcW w:type="dxa" w:w="1400"/>
            <w:tcMar>
              <w:top w:type="dxa" w:w="40"/>
              <w:left w:type="dxa" w:w="90"/>
              <w:bottom w:type="dxa" w:w="40"/>
              <w:right w:type="dxa" w:w="90"/>
            </w:tcMar>
          </w:tcPr>
          <w:p>
            <w:pPr>
              <w:spacing w:after="0" w:line="240"/>
              <w:jc w:val="center"/>
            </w:pPr>
            <w:r>
              <w:rPr>
                <w:rFonts w:ascii="Times New Roman" w:cs="Times New Roman" w:eastAsia="Times New Roman" w:hAnsi="Times New Roman"/>
                <w:b/>
                <w:bCs/>
                <w:color w:val="1a1a1a"/>
                <w:sz w:val="18"/>
                <w:szCs w:val="18"/>
              </w:rPr>
              <w:t xml:space="preserve">0.9820</w:t>
            </w:r>
          </w:p>
        </w:tc>
        <w:tc>
          <w:tcPr>
            <w:tcW w:type="dxa" w:w="1400"/>
            <w:tcMar>
              <w:top w:type="dxa" w:w="40"/>
              <w:left w:type="dxa" w:w="90"/>
              <w:bottom w:type="dxa" w:w="40"/>
              <w:right w:type="dxa" w:w="90"/>
            </w:tcMar>
          </w:tcPr>
          <w:p>
            <w:pPr>
              <w:spacing w:after="0" w:line="240"/>
              <w:jc w:val="center"/>
            </w:pPr>
            <w:r>
              <w:rPr>
                <w:rFonts w:ascii="Times New Roman" w:cs="Times New Roman" w:eastAsia="Times New Roman" w:hAnsi="Times New Roman"/>
                <w:b/>
                <w:bCs/>
                <w:color w:val="1a1a1a"/>
                <w:sz w:val="18"/>
                <w:szCs w:val="18"/>
              </w:rPr>
              <w:t xml:space="preserve">0.9982</w:t>
            </w:r>
          </w:p>
        </w:tc>
        <w:tc>
          <w:tcPr>
            <w:tcW w:type="dxa" w:w="2350"/>
            <w:tcMar>
              <w:top w:type="dxa" w:w="40"/>
              <w:left w:type="dxa" w:w="90"/>
              <w:bottom w:type="dxa" w:w="40"/>
              <w:right w:type="dxa" w:w="90"/>
            </w:tcMar>
          </w:tcPr>
          <w:p>
            <w:pPr>
              <w:spacing w:after="0" w:line="240"/>
              <w:jc w:val="center"/>
            </w:pPr>
            <w:r>
              <w:rPr>
                <w:rFonts w:ascii="Times New Roman" w:cs="Times New Roman" w:eastAsia="Times New Roman" w:hAnsi="Times New Roman"/>
                <w:color w:val="1a1a1a"/>
                <w:sz w:val="18"/>
                <w:szCs w:val="18"/>
              </w:rPr>
              <w:t xml:space="preserve">MiniLM-L12 + LR</w:t>
            </w:r>
          </w:p>
        </w:tc>
      </w:tr>
    </w:tbl>
    <w:p>
      <w:pPr>
        <w:spacing w:after="160" w:before="60"/>
        <w:jc w:val="center"/>
      </w:pPr>
      <w:r>
        <w:rPr>
          <w:rFonts w:ascii="Times New Roman" w:cs="Times New Roman" w:eastAsia="Times New Roman" w:hAnsi="Times New Roman"/>
          <w:i/>
          <w:iCs/>
          <w:color w:val="5f5f5f"/>
          <w:sz w:val="18"/>
          <w:szCs w:val="18"/>
        </w:rPr>
        <w:t xml:space="preserve">Table 3: Bangla smishing detection on BangalaBarta 2024. Weighted F1 for SecureSpeak is 0.9820.</w:t>
      </w:r>
    </w:p>
    <w:p>
      <w:pPr>
        <w:spacing w:after="120" w:before="0" w:line="264"/>
        <w:jc w:val="both"/>
      </w:pPr>
      <w:r>
        <w:rPr>
          <w:rFonts w:ascii="Times New Roman" w:cs="Times New Roman" w:eastAsia="Times New Roman" w:hAnsi="Times New Roman"/>
          <w:color w:val="1a1a1a"/>
          <w:sz w:val="21"/>
          <w:szCs w:val="21"/>
        </w:rPr>
        <w:t xml:space="preserve">SecureSpeak reaches 98.20% accuracy and 0.9982 ROC-AUC. Tanbhir et al. [19], the team that constructed the corpus, report 98.47% using BERT with a character-level CNN and an attention mechanism. Our result is 0.27 points below theirs, and we do not claim to improve on it. The relevant difference is cost: a distilled 384-dimensional sentence encoder with logistic regression is viable on the mid-range Android hardware our target users own, whereas a BERT-plus-CNN hybrid with attention is not. For a system whose value depends on running on the phone of an elderly pensioner in a rural district, comparable accuracy at substantially lower inference cost is the operationally meaningful comparison.</w:t>
      </w:r>
    </w:p>
    <w:p>
      <w:pPr>
        <w:pStyle w:val="Heading2"/>
        <w:spacing w:after="90" w:before="160"/>
      </w:pPr>
      <w:r>
        <w:rPr>
          <w:rFonts w:ascii="Times New Roman" w:cs="Times New Roman" w:eastAsia="Times New Roman" w:hAnsi="Times New Roman"/>
          <w:b/>
          <w:bCs/>
          <w:color w:val="1a1a1a"/>
          <w:sz w:val="23"/>
          <w:szCs w:val="23"/>
        </w:rPr>
        <w:t xml:space="preserve">4.5   Network Anomaly Detector</w:t>
      </w:r>
    </w:p>
    <w:p>
      <w:pPr>
        <w:spacing w:after="100" w:before="0" w:line="264"/>
        <w:jc w:val="both"/>
      </w:pPr>
      <w:r>
        <w:rPr>
          <w:rFonts w:ascii="Times New Roman" w:cs="Times New Roman" w:eastAsia="Times New Roman" w:hAnsi="Times New Roman"/>
          <w:color w:val="1a1a1a"/>
          <w:sz w:val="21"/>
          <w:szCs w:val="21"/>
        </w:rPr>
        <w:t xml:space="preserve">Table 4 reports the supervised classifier on the balanced CICMalAnal2017 set with the SCAREWARE family withheld.</w:t>
      </w:r>
    </w:p>
    <w:tbl>
      <w:tblPr>
        <w:tblW w:type="dxa" w:w="8250"/>
        <w:tblBorders>
          <w:top w:val="none" w:color="FFFFFF" w:sz="0"/>
          <w:left w:val="none" w:color="FFFFFF" w:sz="0"/>
          <w:bottom w:val="none" w:color="FFFFFF" w:sz="0"/>
          <w:right w:val="none" w:color="FFFFFF" w:sz="0"/>
          <w:insideH w:val="none" w:color="FFFFFF" w:sz="0"/>
          <w:insideV w:val="none" w:color="FFFFFF" w:sz="0"/>
        </w:tblBorders>
      </w:tblPr>
      <w:tblGrid>
        <w:gridCol w:w="3400"/>
        <w:gridCol w:w="2400"/>
        <w:gridCol w:w="2450"/>
      </w:tblGrid>
      <w:tr>
        <w:trPr>
          <w:tblHeader/>
        </w:trPr>
        <w:tc>
          <w:tcPr>
            <w:tcW w:type="dxa" w:w="3400"/>
            <w:shd w:fill="f0f0f0" w:color="auto" w:val="clear"/>
            <w:tcMar>
              <w:top w:type="dxa" w:w="40"/>
              <w:left w:type="dxa" w:w="90"/>
              <w:bottom w:type="dxa" w:w="40"/>
              <w:right w:type="dxa" w:w="90"/>
            </w:tcMar>
          </w:tcPr>
          <w:p>
            <w:pPr>
              <w:spacing w:after="0" w:line="240"/>
              <w:jc w:val="left"/>
            </w:pPr>
            <w:r>
              <w:rPr>
                <w:rFonts w:ascii="Times New Roman" w:cs="Times New Roman" w:eastAsia="Times New Roman" w:hAnsi="Times New Roman"/>
                <w:b/>
                <w:bCs/>
                <w:color w:val="1a1a1a"/>
                <w:sz w:val="18"/>
                <w:szCs w:val="18"/>
              </w:rPr>
              <w:t xml:space="preserve">Model</w:t>
            </w:r>
          </w:p>
        </w:tc>
        <w:tc>
          <w:tcPr>
            <w:tcW w:type="dxa" w:w="2400"/>
            <w:shd w:fill="f0f0f0" w:color="auto" w:val="clear"/>
            <w:tcMar>
              <w:top w:type="dxa" w:w="40"/>
              <w:left w:type="dxa" w:w="90"/>
              <w:bottom w:type="dxa" w:w="40"/>
              <w:right w:type="dxa" w:w="90"/>
            </w:tcMar>
          </w:tcPr>
          <w:p>
            <w:pPr>
              <w:spacing w:after="0" w:line="240"/>
              <w:jc w:val="center"/>
            </w:pPr>
            <w:r>
              <w:rPr>
                <w:rFonts w:ascii="Times New Roman" w:cs="Times New Roman" w:eastAsia="Times New Roman" w:hAnsi="Times New Roman"/>
                <w:b/>
                <w:bCs/>
                <w:color w:val="1a1a1a"/>
                <w:sz w:val="18"/>
                <w:szCs w:val="18"/>
              </w:rPr>
              <w:t xml:space="preserve">Test accuracy</w:t>
            </w:r>
          </w:p>
        </w:tc>
        <w:tc>
          <w:tcPr>
            <w:tcW w:type="dxa" w:w="2450"/>
            <w:shd w:fill="f0f0f0" w:color="auto" w:val="clear"/>
            <w:tcMar>
              <w:top w:type="dxa" w:w="40"/>
              <w:left w:type="dxa" w:w="90"/>
              <w:bottom w:type="dxa" w:w="40"/>
              <w:right w:type="dxa" w:w="90"/>
            </w:tcMar>
          </w:tcPr>
          <w:p>
            <w:pPr>
              <w:spacing w:after="0" w:line="240"/>
              <w:jc w:val="center"/>
            </w:pPr>
            <w:r>
              <w:rPr>
                <w:rFonts w:ascii="Times New Roman" w:cs="Times New Roman" w:eastAsia="Times New Roman" w:hAnsi="Times New Roman"/>
                <w:b/>
                <w:bCs/>
                <w:color w:val="1a1a1a"/>
                <w:sz w:val="18"/>
                <w:szCs w:val="18"/>
              </w:rPr>
              <w:t xml:space="preserve">ROC-AUC</w:t>
            </w:r>
          </w:p>
        </w:tc>
      </w:tr>
      <w:tr>
        <w:tc>
          <w:tcPr>
            <w:tcW w:type="dxa" w:w="3400"/>
            <w:tcMar>
              <w:top w:type="dxa" w:w="40"/>
              <w:left w:type="dxa" w:w="90"/>
              <w:bottom w:type="dxa" w:w="40"/>
              <w:right w:type="dxa" w:w="90"/>
            </w:tcMar>
          </w:tcPr>
          <w:p>
            <w:pPr>
              <w:spacing w:after="0" w:line="240"/>
              <w:jc w:val="left"/>
            </w:pPr>
            <w:r>
              <w:rPr>
                <w:rFonts w:ascii="Times New Roman" w:cs="Times New Roman" w:eastAsia="Times New Roman" w:hAnsi="Times New Roman"/>
                <w:b/>
                <w:bCs/>
                <w:color w:val="1a1a1a"/>
                <w:sz w:val="18"/>
                <w:szCs w:val="18"/>
              </w:rPr>
              <w:t xml:space="preserve">Random Forest (selected)</w:t>
            </w:r>
          </w:p>
        </w:tc>
        <w:tc>
          <w:tcPr>
            <w:tcW w:type="dxa" w:w="2400"/>
            <w:tcMar>
              <w:top w:type="dxa" w:w="40"/>
              <w:left w:type="dxa" w:w="90"/>
              <w:bottom w:type="dxa" w:w="40"/>
              <w:right w:type="dxa" w:w="90"/>
            </w:tcMar>
          </w:tcPr>
          <w:p>
            <w:pPr>
              <w:spacing w:after="0" w:line="240"/>
              <w:jc w:val="center"/>
            </w:pPr>
            <w:r>
              <w:rPr>
                <w:rFonts w:ascii="Times New Roman" w:cs="Times New Roman" w:eastAsia="Times New Roman" w:hAnsi="Times New Roman"/>
                <w:b/>
                <w:bCs/>
                <w:color w:val="1a1a1a"/>
                <w:sz w:val="18"/>
                <w:szCs w:val="18"/>
              </w:rPr>
              <w:t xml:space="preserve">0.7984</w:t>
            </w:r>
          </w:p>
        </w:tc>
        <w:tc>
          <w:tcPr>
            <w:tcW w:type="dxa" w:w="2450"/>
            <w:tcMar>
              <w:top w:type="dxa" w:w="40"/>
              <w:left w:type="dxa" w:w="90"/>
              <w:bottom w:type="dxa" w:w="40"/>
              <w:right w:type="dxa" w:w="90"/>
            </w:tcMar>
          </w:tcPr>
          <w:p>
            <w:pPr>
              <w:spacing w:after="0" w:line="240"/>
              <w:jc w:val="center"/>
            </w:pPr>
            <w:r>
              <w:rPr>
                <w:rFonts w:ascii="Times New Roman" w:cs="Times New Roman" w:eastAsia="Times New Roman" w:hAnsi="Times New Roman"/>
                <w:b/>
                <w:bCs/>
                <w:color w:val="1a1a1a"/>
                <w:sz w:val="18"/>
                <w:szCs w:val="18"/>
              </w:rPr>
              <w:t xml:space="preserve">0.8421</w:t>
            </w:r>
          </w:p>
        </w:tc>
      </w:tr>
      <w:tr>
        <w:tc>
          <w:tcPr>
            <w:tcW w:type="dxa" w:w="3400"/>
            <w:tcMar>
              <w:top w:type="dxa" w:w="40"/>
              <w:left w:type="dxa" w:w="90"/>
              <w:bottom w:type="dxa" w:w="40"/>
              <w:right w:type="dxa" w:w="90"/>
            </w:tcMar>
          </w:tcPr>
          <w:p>
            <w:pPr>
              <w:spacing w:after="0" w:line="240"/>
              <w:jc w:val="left"/>
            </w:pPr>
            <w:r>
              <w:rPr>
                <w:rFonts w:ascii="Times New Roman" w:cs="Times New Roman" w:eastAsia="Times New Roman" w:hAnsi="Times New Roman"/>
                <w:color w:val="1a1a1a"/>
                <w:sz w:val="18"/>
                <w:szCs w:val="18"/>
              </w:rPr>
              <w:t xml:space="preserve">XGBoost</w:t>
            </w:r>
          </w:p>
        </w:tc>
        <w:tc>
          <w:tcPr>
            <w:tcW w:type="dxa" w:w="2400"/>
            <w:tcMar>
              <w:top w:type="dxa" w:w="40"/>
              <w:left w:type="dxa" w:w="90"/>
              <w:bottom w:type="dxa" w:w="40"/>
              <w:right w:type="dxa" w:w="90"/>
            </w:tcMar>
          </w:tcPr>
          <w:p>
            <w:pPr>
              <w:spacing w:after="0" w:line="240"/>
              <w:jc w:val="center"/>
            </w:pPr>
            <w:r>
              <w:rPr>
                <w:rFonts w:ascii="Times New Roman" w:cs="Times New Roman" w:eastAsia="Times New Roman" w:hAnsi="Times New Roman"/>
                <w:color w:val="1a1a1a"/>
                <w:sz w:val="18"/>
                <w:szCs w:val="18"/>
              </w:rPr>
              <w:t xml:space="preserve">0.7062</w:t>
            </w:r>
          </w:p>
        </w:tc>
        <w:tc>
          <w:tcPr>
            <w:tcW w:type="dxa" w:w="2450"/>
            <w:tcMar>
              <w:top w:type="dxa" w:w="40"/>
              <w:left w:type="dxa" w:w="90"/>
              <w:bottom w:type="dxa" w:w="40"/>
              <w:right w:type="dxa" w:w="90"/>
            </w:tcMar>
          </w:tcPr>
          <w:p>
            <w:pPr>
              <w:spacing w:after="0" w:line="240"/>
              <w:jc w:val="center"/>
            </w:pPr>
            <w:r>
              <w:rPr>
                <w:rFonts w:ascii="Times New Roman" w:cs="Times New Roman" w:eastAsia="Times New Roman" w:hAnsi="Times New Roman"/>
                <w:color w:val="1a1a1a"/>
                <w:sz w:val="18"/>
                <w:szCs w:val="18"/>
              </w:rPr>
              <w:t xml:space="preserve">0.8105</w:t>
            </w:r>
          </w:p>
        </w:tc>
      </w:tr>
      <w:tr>
        <w:tc>
          <w:tcPr>
            <w:tcW w:type="dxa" w:w="3400"/>
            <w:tcMar>
              <w:top w:type="dxa" w:w="40"/>
              <w:left w:type="dxa" w:w="90"/>
              <w:bottom w:type="dxa" w:w="40"/>
              <w:right w:type="dxa" w:w="90"/>
            </w:tcMar>
          </w:tcPr>
          <w:p>
            <w:pPr>
              <w:spacing w:after="0" w:line="240"/>
              <w:jc w:val="left"/>
            </w:pPr>
            <w:r>
              <w:rPr>
                <w:rFonts w:ascii="Times New Roman" w:cs="Times New Roman" w:eastAsia="Times New Roman" w:hAnsi="Times New Roman"/>
                <w:color w:val="1a1a1a"/>
                <w:sz w:val="18"/>
                <w:szCs w:val="18"/>
              </w:rPr>
              <w:t xml:space="preserve">LightGBM</w:t>
            </w:r>
          </w:p>
        </w:tc>
        <w:tc>
          <w:tcPr>
            <w:tcW w:type="dxa" w:w="2400"/>
            <w:tcMar>
              <w:top w:type="dxa" w:w="40"/>
              <w:left w:type="dxa" w:w="90"/>
              <w:bottom w:type="dxa" w:w="40"/>
              <w:right w:type="dxa" w:w="90"/>
            </w:tcMar>
          </w:tcPr>
          <w:p>
            <w:pPr>
              <w:spacing w:after="0" w:line="240"/>
              <w:jc w:val="center"/>
            </w:pPr>
            <w:r>
              <w:rPr>
                <w:rFonts w:ascii="Times New Roman" w:cs="Times New Roman" w:eastAsia="Times New Roman" w:hAnsi="Times New Roman"/>
                <w:color w:val="1a1a1a"/>
                <w:sz w:val="18"/>
                <w:szCs w:val="18"/>
              </w:rPr>
              <w:t xml:space="preserve">0.6765</w:t>
            </w:r>
          </w:p>
        </w:tc>
        <w:tc>
          <w:tcPr>
            <w:tcW w:type="dxa" w:w="2450"/>
            <w:tcMar>
              <w:top w:type="dxa" w:w="40"/>
              <w:left w:type="dxa" w:w="90"/>
              <w:bottom w:type="dxa" w:w="40"/>
              <w:right w:type="dxa" w:w="90"/>
            </w:tcMar>
          </w:tcPr>
          <w:p>
            <w:pPr>
              <w:spacing w:after="0" w:line="240"/>
              <w:jc w:val="center"/>
            </w:pPr>
            <w:r>
              <w:rPr>
                <w:rFonts w:ascii="Times New Roman" w:cs="Times New Roman" w:eastAsia="Times New Roman" w:hAnsi="Times New Roman"/>
                <w:color w:val="1a1a1a"/>
                <w:sz w:val="18"/>
                <w:szCs w:val="18"/>
              </w:rPr>
              <w:t xml:space="preserve">0.7843</w:t>
            </w:r>
          </w:p>
        </w:tc>
      </w:tr>
    </w:tbl>
    <w:p>
      <w:pPr>
        <w:spacing w:after="160" w:before="60"/>
        <w:jc w:val="center"/>
      </w:pPr>
      <w:r>
        <w:rPr>
          <w:rFonts w:ascii="Times New Roman" w:cs="Times New Roman" w:eastAsia="Times New Roman" w:hAnsi="Times New Roman"/>
          <w:i/>
          <w:iCs/>
          <w:color w:val="5f5f5f"/>
          <w:sz w:val="18"/>
          <w:szCs w:val="18"/>
        </w:rPr>
        <w:t xml:space="preserve">Table 4: Network classifier on CICMalAnal2017 (balanced, SCAREWARE family withheld from all training).</w:t>
      </w:r>
    </w:p>
    <w:p>
      <w:pPr>
        <w:spacing w:after="120" w:before="0" w:line="264"/>
        <w:jc w:val="both"/>
      </w:pPr>
      <w:r>
        <w:rPr>
          <w:rFonts w:ascii="Times New Roman" w:cs="Times New Roman" w:eastAsia="Times New Roman" w:hAnsi="Times New Roman"/>
          <w:color w:val="1a1a1a"/>
          <w:sz w:val="21"/>
          <w:szCs w:val="21"/>
        </w:rPr>
        <w:t xml:space="preserve">The selected Random Forest reaches 79.84% accuracy and 0.8421 AUC, with a 5-fold cross-validated F1 of 0.8611 ± 0.0009 on the training split. These figures are modest by design: they reflect a genuine family-level holdout rather than a random split, which would have placed samples of every family in both partitions and produced a misleadingly high number. On the withheld SCAREWARE family the reconstruction-error detector recovers only a small fraction of unseen samples, because scareware traffic mimics ordinary HTTPS and is nearly indistinguishable from benign flows on flow statistics alone. Pure flow-based anomaly detection has a real ceiling on zero-day families, which is why the network signal contributes to the decision layer rather than acting as an authority.</w:t>
      </w:r>
    </w:p>
    <w:p>
      <w:pPr>
        <w:pStyle w:val="Heading2"/>
        <w:spacing w:after="90" w:before="160"/>
      </w:pPr>
      <w:r>
        <w:rPr>
          <w:rFonts w:ascii="Times New Roman" w:cs="Times New Roman" w:eastAsia="Times New Roman" w:hAnsi="Times New Roman"/>
          <w:b/>
          <w:bCs/>
          <w:color w:val="1a1a1a"/>
          <w:sz w:val="23"/>
          <w:szCs w:val="23"/>
        </w:rPr>
        <w:t xml:space="preserve">4.6   Domain Shift on Real Bangladeshi Device Traffic</w:t>
      </w:r>
    </w:p>
    <w:p>
      <w:pPr>
        <w:spacing w:after="140" w:before="0" w:line="264"/>
        <w:jc w:val="both"/>
      </w:pPr>
      <w:r>
        <w:rPr>
          <w:rFonts w:ascii="Times New Roman" w:cs="Times New Roman" w:eastAsia="Times New Roman" w:hAnsi="Times New Roman"/>
          <w:color w:val="1a1a1a"/>
          <w:sz w:val="21"/>
          <w:szCs w:val="21"/>
        </w:rPr>
        <w:t xml:space="preserve">Applying the supervised detector, trained on the Western CICMalAnal2017 corpus, to 52,118 flows captured with PCAPdroid from six volunteer Bangladeshi smartphones during ordinary daily use exposes a domain-shift problem. The feature distributions of legitimate local traffic—bKash, Facebook, WhatsApp, local news applications—differ from the training corpus’s benign class, and the two capture pipelines do not expose an identically aligned feature space. Raw supervised scores consequently do not transfer in a way that supports a real-world false-positive claim, and we deliberately report no false-positive rate on this set: a score that is constant or uninterpretable across real flows would be meaningless regardless of how favourable it appeared. We treat this as a limitation with two mitigations: the decision layer down-weights network evidence for trusted applications, so a domain-shifted score cannot by itself raise an alarm on a known-good app; and feature-space alignment between the capture tools, together with on-device fine-tuning, is the primary future-work item for this component.</w:t>
      </w:r>
    </w:p>
    <w:p>
      <w:pPr>
        <w:pStyle w:val="Heading1"/>
        <w:spacing w:after="120" w:before="260"/>
      </w:pPr>
      <w:r>
        <w:rPr>
          <w:rFonts w:ascii="Times New Roman" w:cs="Times New Roman" w:eastAsia="Times New Roman" w:hAnsi="Times New Roman"/>
          <w:b/>
          <w:bCs/>
          <w:color w:val="1a1a1a"/>
          <w:sz w:val="26"/>
          <w:szCs w:val="26"/>
        </w:rPr>
        <w:t xml:space="preserve">5   Discussion</w:t>
      </w:r>
    </w:p>
    <w:p>
      <w:pPr>
        <w:pStyle w:val="Heading2"/>
        <w:spacing w:after="90" w:before="160"/>
      </w:pPr>
      <w:r>
        <w:rPr>
          <w:rFonts w:ascii="Times New Roman" w:cs="Times New Roman" w:eastAsia="Times New Roman" w:hAnsi="Times New Roman"/>
          <w:b/>
          <w:bCs/>
          <w:color w:val="1a1a1a"/>
          <w:sz w:val="23"/>
          <w:szCs w:val="23"/>
        </w:rPr>
        <w:t xml:space="preserve">5.1   What the Negative Results Mean</w:t>
      </w:r>
    </w:p>
    <w:p>
      <w:pPr>
        <w:spacing w:after="120" w:before="0" w:line="264"/>
        <w:jc w:val="both"/>
      </w:pPr>
      <w:r>
        <w:rPr>
          <w:rFonts w:ascii="Times New Roman" w:cs="Times New Roman" w:eastAsia="Times New Roman" w:hAnsi="Times New Roman"/>
          <w:color w:val="1a1a1a"/>
          <w:sz w:val="21"/>
          <w:szCs w:val="21"/>
        </w:rPr>
        <w:t xml:space="preserve">Two of our findings are negative, and they are related. The MFS knowledge features produce no measurable accuracy gain, and the corpus on which that was measured contains six MFS-brand URLs in 29,794. The second explains the first, and together they say something we did not set out to demonstrate: the field currently evaluates phishing detection for South Asian financial services on corpora in which such attacks barely appear.</w:t>
      </w:r>
    </w:p>
    <w:p>
      <w:pPr>
        <w:spacing w:after="120" w:before="0" w:line="264"/>
        <w:jc w:val="both"/>
      </w:pPr>
      <w:r>
        <w:rPr>
          <w:rFonts w:ascii="Times New Roman" w:cs="Times New Roman" w:eastAsia="Times New Roman" w:hAnsi="Times New Roman"/>
          <w:color w:val="1a1a1a"/>
          <w:sz w:val="21"/>
          <w:szCs w:val="21"/>
        </w:rPr>
        <w:t xml:space="preserve">The temptation in this situation is to report the SHAP attribution—which does show the model attending to brand and financial-keyword signals—and let a reader infer benefit. We think that inference would be unsupported. Attribution describes what a model does with the features it has; it says nothing about whether performance would degrade without them. Our ablation answers that question directly, and the answer on this corpus is no. Stating this costs the paper a claim and gains it a finding, and we consider the exchange favourable.</w:t>
      </w:r>
    </w:p>
    <w:p>
      <w:pPr>
        <w:pStyle w:val="Heading2"/>
        <w:spacing w:after="90" w:before="160"/>
      </w:pPr>
      <w:r>
        <w:rPr>
          <w:rFonts w:ascii="Times New Roman" w:cs="Times New Roman" w:eastAsia="Times New Roman" w:hAnsi="Times New Roman"/>
          <w:b/>
          <w:bCs/>
          <w:color w:val="1a1a1a"/>
          <w:sz w:val="23"/>
          <w:szCs w:val="23"/>
        </w:rPr>
        <w:t xml:space="preserve">5.2   Interpretability as the Defensible Contribution</w:t>
      </w:r>
    </w:p>
    <w:p>
      <w:pPr>
        <w:spacing w:after="120" w:before="0" w:line="264"/>
        <w:jc w:val="both"/>
      </w:pPr>
      <w:r>
        <w:rPr>
          <w:rFonts w:ascii="Times New Roman" w:cs="Times New Roman" w:eastAsia="Times New Roman" w:hAnsi="Times New Roman"/>
          <w:color w:val="1a1a1a"/>
          <w:sz w:val="21"/>
          <w:szCs w:val="21"/>
        </w:rPr>
        <w:t xml:space="preserve">The MFS features retain a role that does not depend on accuracy. A warning that tells a first-time smartphone owner that a link is dangerous is weaker than one that tells them the link uses a free .tk domain and contains the word bKash, because the second is checkable against something the user already knows. Producing that second warning requires named, semantically meaningful features and per-decision attribution over them. A character-level neural model with superior aggregate accuracy could not produce it. This is why the system uses engineered features with SHAP rather than a learned representation, and it is a design justification that survives the ablation result intact.</w:t>
      </w:r>
    </w:p>
    <w:p>
      <w:pPr>
        <w:pStyle w:val="Heading2"/>
        <w:spacing w:after="90" w:before="160"/>
      </w:pPr>
      <w:r>
        <w:rPr>
          <w:rFonts w:ascii="Times New Roman" w:cs="Times New Roman" w:eastAsia="Times New Roman" w:hAnsi="Times New Roman"/>
          <w:b/>
          <w:bCs/>
          <w:color w:val="1a1a1a"/>
          <w:sz w:val="23"/>
          <w:szCs w:val="23"/>
        </w:rPr>
        <w:t xml:space="preserve">5.3   Limitations</w:t>
      </w:r>
    </w:p>
    <w:p>
      <w:pPr>
        <w:pStyle w:val="ListParagraph"/>
        <w:numPr>
          <w:ilvl w:val="0"/>
          <w:numId w:val="1"/>
        </w:numPr>
        <w:spacing w:after="70" w:line="260"/>
        <w:jc w:val="both"/>
      </w:pPr>
      <w:r>
        <w:rPr>
          <w:rFonts w:ascii="Times New Roman" w:cs="Times New Roman" w:eastAsia="Times New Roman" w:hAnsi="Times New Roman"/>
          <w:color w:val="1a1a1a"/>
          <w:sz w:val="21"/>
          <w:szCs w:val="21"/>
        </w:rPr>
        <w:t xml:space="preserve">The MFS knowledge features are unvalidated for detection benefit. No corpus currently available contains enough MFS-targeted phishing to test them.</w:t>
      </w:r>
    </w:p>
    <w:p>
      <w:pPr>
        <w:pStyle w:val="ListParagraph"/>
        <w:numPr>
          <w:ilvl w:val="0"/>
          <w:numId w:val="1"/>
        </w:numPr>
        <w:spacing w:after="70" w:line="260"/>
        <w:jc w:val="both"/>
      </w:pPr>
      <w:r>
        <w:rPr>
          <w:rFonts w:ascii="Times New Roman" w:cs="Times New Roman" w:eastAsia="Times New Roman" w:hAnsi="Times New Roman"/>
          <w:color w:val="1a1a1a"/>
          <w:sz w:val="21"/>
          <w:szCs w:val="21"/>
        </w:rPr>
        <w:t xml:space="preserve">The brand-impersonation feature checks brand tokens against the registrable domain without an official-domain whitelist, so it does not distinguish authorized from unauthorized use of a brand name.</w:t>
      </w:r>
    </w:p>
    <w:p>
      <w:pPr>
        <w:pStyle w:val="ListParagraph"/>
        <w:numPr>
          <w:ilvl w:val="0"/>
          <w:numId w:val="1"/>
        </w:numPr>
        <w:spacing w:after="70" w:line="260"/>
        <w:jc w:val="both"/>
      </w:pPr>
      <w:r>
        <w:rPr>
          <w:rFonts w:ascii="Times New Roman" w:cs="Times New Roman" w:eastAsia="Times New Roman" w:hAnsi="Times New Roman"/>
          <w:color w:val="1a1a1a"/>
          <w:sz w:val="21"/>
          <w:szCs w:val="21"/>
        </w:rPr>
        <w:t xml:space="preserve">The network detector faces domain shift and a feature-space mismatch on real device traffic, and pure flow statistics have a demonstrated ceiling on unseen malware families.</w:t>
      </w:r>
    </w:p>
    <w:p>
      <w:pPr>
        <w:pStyle w:val="ListParagraph"/>
        <w:numPr>
          <w:ilvl w:val="0"/>
          <w:numId w:val="1"/>
        </w:numPr>
        <w:spacing w:after="70" w:line="260"/>
        <w:jc w:val="both"/>
      </w:pPr>
      <w:r>
        <w:rPr>
          <w:rFonts w:ascii="Times New Roman" w:cs="Times New Roman" w:eastAsia="Times New Roman" w:hAnsi="Times New Roman"/>
          <w:color w:val="1a1a1a"/>
          <w:sz w:val="21"/>
          <w:szCs w:val="21"/>
        </w:rPr>
        <w:t xml:space="preserve">The decision layer’s updatability property is argued but not yet quantified.</w:t>
      </w:r>
    </w:p>
    <w:p>
      <w:pPr>
        <w:pStyle w:val="ListParagraph"/>
        <w:numPr>
          <w:ilvl w:val="0"/>
          <w:numId w:val="1"/>
        </w:numPr>
        <w:spacing w:after="70" w:line="260"/>
        <w:jc w:val="both"/>
      </w:pPr>
      <w:r>
        <w:rPr>
          <w:rFonts w:ascii="Times New Roman" w:cs="Times New Roman" w:eastAsia="Times New Roman" w:hAnsi="Times New Roman"/>
          <w:color w:val="1a1a1a"/>
          <w:sz w:val="21"/>
          <w:szCs w:val="21"/>
        </w:rPr>
        <w:t xml:space="preserve">All evaluation is on collected and public data. The comprehension and protective value of the bilingual warnings has not been measured with users, and no claim of warning effectiveness is made anywhere in this paper.</w:t>
      </w:r>
    </w:p>
    <w:p>
      <w:pPr>
        <w:pStyle w:val="ListParagraph"/>
        <w:numPr>
          <w:ilvl w:val="0"/>
          <w:numId w:val="1"/>
        </w:numPr>
        <w:spacing w:after="70" w:line="260"/>
        <w:jc w:val="both"/>
      </w:pPr>
      <w:r>
        <w:rPr>
          <w:rFonts w:ascii="Times New Roman" w:cs="Times New Roman" w:eastAsia="Times New Roman" w:hAnsi="Times New Roman"/>
          <w:color w:val="1a1a1a"/>
          <w:sz w:val="21"/>
          <w:szCs w:val="21"/>
        </w:rPr>
        <w:t xml:space="preserve">The Bangla corpus, while MFS-targeted, comprises 2,772 messages; broader dialectal and Banglish coverage would strengthen generalization.</w:t>
      </w:r>
    </w:p>
    <w:p>
      <w:pPr>
        <w:pStyle w:val="Heading2"/>
        <w:spacing w:after="90" w:before="160"/>
      </w:pPr>
      <w:r>
        <w:rPr>
          <w:rFonts w:ascii="Times New Roman" w:cs="Times New Roman" w:eastAsia="Times New Roman" w:hAnsi="Times New Roman"/>
          <w:b/>
          <w:bCs/>
          <w:color w:val="1a1a1a"/>
          <w:sz w:val="23"/>
          <w:szCs w:val="23"/>
        </w:rPr>
        <w:t xml:space="preserve">5.4   Ongoing and Future Work</w:t>
      </w:r>
    </w:p>
    <w:p>
      <w:pPr>
        <w:spacing w:after="120" w:before="0" w:line="264"/>
        <w:jc w:val="both"/>
      </w:pPr>
      <w:r>
        <w:rPr>
          <w:rFonts w:ascii="Times New Roman" w:cs="Times New Roman" w:eastAsia="Times New Roman" w:hAnsi="Times New Roman"/>
          <w:color w:val="1a1a1a"/>
          <w:sz w:val="21"/>
          <w:szCs w:val="21"/>
        </w:rPr>
        <w:t xml:space="preserve">The corpus gap is the first priority. We are assembling a dedicated MFS-brand phishing URL set from threat feeds, reported fraud SMS, and operator disclosures, sufficient to support a subgroup evaluation of the MFS features and a dedicated knowledge-based brand-impersonation layer using an official-domain whitelist, brand-token detection in unauthorized domains, and edit-distance lookalike matching. Until such a set exists, no meaningful claim about MFS-specific detection can be made by anyone, and we would encourage the community to treat its construction as shared infrastructure.</w:t>
      </w:r>
    </w:p>
    <w:p>
      <w:pPr>
        <w:spacing w:after="140" w:before="0" w:line="264"/>
        <w:jc w:val="both"/>
      </w:pPr>
      <w:r>
        <w:rPr>
          <w:rFonts w:ascii="Times New Roman" w:cs="Times New Roman" w:eastAsia="Times New Roman" w:hAnsi="Times New Roman"/>
          <w:color w:val="1a1a1a"/>
          <w:sz w:val="21"/>
          <w:szCs w:val="21"/>
        </w:rPr>
        <w:t xml:space="preserve">The second priority is a user study with elderly, low-literacy, and first-time MFS users, evaluating whether the bilingual warnings are understood and acted upon. This is the component that would convert a systems contribution into a human-centered one, and it is the appropriate venue for claims about warning effectiveness. Remaining items include a quantitative evaluation of the decision layer’s update-without-retraining property against a learned fusion baseline, reporting both the coverage gain and its false-positive cost; feature-space alignment and on-device fine-tuning for the network detector; and a temporal-split evaluation of the URL detector once a timestamped corpus is available.</w:t>
      </w:r>
    </w:p>
    <w:p>
      <w:pPr>
        <w:pStyle w:val="Heading1"/>
        <w:spacing w:after="120" w:before="260"/>
      </w:pPr>
      <w:r>
        <w:rPr>
          <w:rFonts w:ascii="Times New Roman" w:cs="Times New Roman" w:eastAsia="Times New Roman" w:hAnsi="Times New Roman"/>
          <w:b/>
          <w:bCs/>
          <w:color w:val="1a1a1a"/>
          <w:sz w:val="26"/>
          <w:szCs w:val="26"/>
        </w:rPr>
        <w:t xml:space="preserve">6   Related Work</w:t>
      </w:r>
    </w:p>
    <w:p>
      <w:pPr>
        <w:spacing w:after="120" w:before="0" w:line="264"/>
        <w:jc w:val="both"/>
      </w:pPr>
      <w:r>
        <w:rPr>
          <w:rFonts w:ascii="Times New Roman" w:cs="Times New Roman" w:eastAsia="Times New Roman" w:hAnsi="Times New Roman"/>
          <w:color w:val="1a1a1a"/>
          <w:sz w:val="21"/>
          <w:szCs w:val="21"/>
        </w:rPr>
        <w:t xml:space="preserve">URL phishing detection has moved from hand-engineered features on the 2012 UCI corpus [4], through character-level neural models that trade interpretability for raw performance [5], to recent work on current corpora such as StealthPhisher 2025 [6]. Our methodological position follows the evaluation-integrity literature: Pendlebury et al. [13] show that random splits systematically overestimate malware classifier performance and argue for temporal and family-aware protocols, and Taheri et al. [12] apply family-level classification to network flows. We apply the same reasoning to URL classification through registered-domain-disjoint splitting, and use SHAP [17] for per-decision attribution.</w:t>
      </w:r>
    </w:p>
    <w:p>
      <w:pPr>
        <w:spacing w:after="120" w:before="0" w:line="264"/>
        <w:jc w:val="both"/>
      </w:pPr>
      <w:r>
        <w:rPr>
          <w:rFonts w:ascii="Times New Roman" w:cs="Times New Roman" w:eastAsia="Times New Roman" w:hAnsi="Times New Roman"/>
          <w:color w:val="1a1a1a"/>
          <w:sz w:val="21"/>
          <w:szCs w:val="21"/>
        </w:rPr>
        <w:t xml:space="preserve">For Bangla SMS, work has progressed from classical classifiers on promotional-spam corpora [7] to transformer-based approaches [8], at inference costs that preclude on-device deployment. Efficient multilingual sentence encoders produced through knowledge distillation [9] make cheap cross-lingual embedding possible, which SecureSpeak exploits. The most directly comparable work is Tanbhir et al. [19], who introduce the BangalaBarta corpus [18] and report 98.47% with a BERT and character-level CNN hybrid; we evaluate on the same corpus and position our result against theirs in Section 4.4. Khushbu et al. [3] address MFS-specific text fraud with a CNN-LSTM-BiLSTM model on a smaller Bengali corpus. SecureSpeak extends beyond SMS to URLs and network traffic and couples detection with an actionable warning layer.</w:t>
      </w:r>
    </w:p>
    <w:p>
      <w:pPr>
        <w:spacing w:after="140" w:before="0" w:line="264"/>
        <w:jc w:val="both"/>
      </w:pPr>
      <w:r>
        <w:rPr>
          <w:rFonts w:ascii="Times New Roman" w:cs="Times New Roman" w:eastAsia="Times New Roman" w:hAnsi="Times New Roman"/>
          <w:color w:val="1a1a1a"/>
          <w:sz w:val="21"/>
          <w:szCs w:val="21"/>
        </w:rPr>
        <w:t xml:space="preserve">Network-level Android malware detection has been studied on the CICMalAnal2017 and CICMalDroid2020 families [10, 11], where random-split evaluation leaks family knowledge and overstates zero-day performance. Reconstruction-based anomaly detection [14] and intrusion datasets such as UNSW-NB15 [15] inform the zero-day component, and Isolation Forest [16] remains a standard unsupervised baseline. Across all of these, our position is to treat each signal as one contributor to an interpretable, updatable decision rather than to claim a single dominant model.</w:t>
      </w:r>
    </w:p>
    <w:p>
      <w:pPr>
        <w:pStyle w:val="Heading1"/>
        <w:spacing w:after="120" w:before="260"/>
      </w:pPr>
      <w:r>
        <w:rPr>
          <w:rFonts w:ascii="Times New Roman" w:cs="Times New Roman" w:eastAsia="Times New Roman" w:hAnsi="Times New Roman"/>
          <w:b/>
          <w:bCs/>
          <w:color w:val="1a1a1a"/>
          <w:sz w:val="26"/>
          <w:szCs w:val="26"/>
        </w:rPr>
        <w:t xml:space="preserve">7   Conclusion</w:t>
      </w:r>
    </w:p>
    <w:p>
      <w:pPr>
        <w:spacing w:after="120" w:before="0" w:line="264"/>
        <w:jc w:val="both"/>
      </w:pPr>
      <w:r>
        <w:rPr>
          <w:rFonts w:ascii="Times New Roman" w:cs="Times New Roman" w:eastAsia="Times New Roman" w:hAnsi="Times New Roman"/>
          <w:color w:val="1a1a1a"/>
          <w:sz w:val="21"/>
          <w:szCs w:val="21"/>
        </w:rPr>
        <w:t xml:space="preserve">SecureSpeak is a layered detection system built for the Bangladeshi MFS threat context. Its URL detector reaches 99.19% accuracy and 0.9976 ROC-AUC under a registered-domain-disjoint split with zero domain overlap, a protocol that establishes generalization rather than sibling recognition. Its Bangla smishing detector reaches 98.20% accuracy, within 0.27 points of the strongest published result on the same corpus at a fraction of the inference cost. Its network detector is reported honestly, including a domain-shift limitation on real device traffic that we decline to convert into a favourable-looking number.</w:t>
      </w:r>
    </w:p>
    <w:p>
      <w:pPr>
        <w:spacing w:after="140" w:before="0" w:line="264"/>
        <w:jc w:val="both"/>
      </w:pPr>
      <w:r>
        <w:rPr>
          <w:rFonts w:ascii="Times New Roman" w:cs="Times New Roman" w:eastAsia="Times New Roman" w:hAnsi="Times New Roman"/>
          <w:color w:val="1a1a1a"/>
          <w:sz w:val="21"/>
          <w:szCs w:val="21"/>
        </w:rPr>
        <w:t xml:space="preserve">The findings we expect to matter most are the negative ones. The MFS-specific features that motivated the system produce no measurable accuracy benefit, and the reason is that the corpus the field evaluates on contains six MFS-brand URLs in a test set of nearly thirty thousand. The threat that costs Bangladeshi MFS users an average of nine thousand taka per incident is almost absent from the data used to build defences against it. Closing that gap is a precondition for progress, and we would rather report it than paper over it. For elderly pensioners, first-time smartphone owners, and rural remittance recipients, a warning that is both correct and understandable is the difference between a blocked scam and a lost month’s income—and it has to be built on evaluation that would survive a sceptical reading.</w:t>
      </w:r>
    </w:p>
    <w:p>
      <w:pPr>
        <w:pStyle w:val="Heading1"/>
        <w:spacing w:after="120" w:before="260"/>
      </w:pPr>
      <w:r>
        <w:rPr>
          <w:rFonts w:ascii="Times New Roman" w:cs="Times New Roman" w:eastAsia="Times New Roman" w:hAnsi="Times New Roman"/>
          <w:b/>
          <w:bCs/>
          <w:color w:val="1a1a1a"/>
          <w:sz w:val="26"/>
          <w:szCs w:val="26"/>
        </w:rPr>
        <w:t xml:space="preserve">Ethics and Data</w:t>
      </w:r>
    </w:p>
    <w:p>
      <w:pPr>
        <w:spacing w:after="140" w:before="0" w:line="264"/>
        <w:jc w:val="both"/>
      </w:pPr>
      <w:r>
        <w:rPr>
          <w:rFonts w:ascii="Times New Roman" w:cs="Times New Roman" w:eastAsia="Times New Roman" w:hAnsi="Times New Roman"/>
          <w:color w:val="1a1a1a"/>
          <w:sz w:val="21"/>
          <w:szCs w:val="21"/>
        </w:rPr>
        <w:t xml:space="preserve">All phishing URLs and SMS messages used in this work were obtained from public threat feeds and published datasets. The PCAPdroid network traffic was captured from six volunteers during ordinary device use with their informed consent; no personally identifying content was extracted or retained, and only flow-level statistics were analyzed. No personally identifying user data was collected for this paper.</w:t>
      </w:r>
    </w:p>
    <w:p>
      <w:pPr>
        <w:pStyle w:val="Heading1"/>
        <w:spacing w:after="120" w:before="260"/>
      </w:pPr>
      <w:r>
        <w:rPr>
          <w:rFonts w:ascii="Times New Roman" w:cs="Times New Roman" w:eastAsia="Times New Roman" w:hAnsi="Times New Roman"/>
          <w:b/>
          <w:bCs/>
          <w:color w:val="1a1a1a"/>
          <w:sz w:val="26"/>
          <w:szCs w:val="26"/>
        </w:rPr>
        <w:t xml:space="preserve">References</w:t>
      </w:r>
    </w:p>
    <w:p>
      <w:pPr>
        <w:spacing w:after="60" w:line="240"/>
        <w:ind w:left="360" w:hanging="360"/>
        <w:jc w:val="both"/>
      </w:pPr>
      <w:r>
        <w:rPr>
          <w:rFonts w:ascii="Times New Roman" w:cs="Times New Roman" w:eastAsia="Times New Roman" w:hAnsi="Times New Roman"/>
          <w:color w:val="1a1a1a"/>
          <w:sz w:val="18"/>
          <w:szCs w:val="18"/>
        </w:rPr>
        <w:t xml:space="preserve">[1]  Policy Research Institute of Bangladesh (A. Rahman and A. Rede), "The State of DFS Consumer Protection in Bangladesh," 2022.</w:t>
      </w:r>
    </w:p>
    <w:p>
      <w:pPr>
        <w:spacing w:after="60" w:line="240"/>
        <w:ind w:left="360" w:hanging="360"/>
        <w:jc w:val="both"/>
      </w:pPr>
      <w:r>
        <w:rPr>
          <w:rFonts w:ascii="Times New Roman" w:cs="Times New Roman" w:eastAsia="Times New Roman" w:hAnsi="Times New Roman"/>
          <w:color w:val="1a1a1a"/>
          <w:sz w:val="18"/>
          <w:szCs w:val="18"/>
        </w:rPr>
        <w:t xml:space="preserve">[2]  Cyble Research and Intelligence Labs (CRIL), "SikkahBot: An Android malware campaign targeting students and mobile financial services users in Bangladesh," Threat Intelligence Report (campaign active since July 2024).</w:t>
      </w:r>
    </w:p>
    <w:p>
      <w:pPr>
        <w:spacing w:after="60" w:line="240"/>
        <w:ind w:left="360" w:hanging="360"/>
        <w:jc w:val="both"/>
      </w:pPr>
      <w:r>
        <w:rPr>
          <w:rFonts w:ascii="Times New Roman" w:cs="Times New Roman" w:eastAsia="Times New Roman" w:hAnsi="Times New Roman"/>
          <w:color w:val="1a1a1a"/>
          <w:sz w:val="18"/>
          <w:szCs w:val="18"/>
        </w:rPr>
        <w:t xml:space="preserve">[3]  S. A. Khushbu, F. T. Jaigirdar, A. Anwar, and Ohidujjaman, "Be Aware of Your Text Messages: Fraud Attempts Identification Based on Semantic Sequential Learning for Financial Transactions through Mobile Services in Bangladesh," 2024.</w:t>
      </w:r>
    </w:p>
    <w:p>
      <w:pPr>
        <w:spacing w:after="60" w:line="240"/>
        <w:ind w:left="360" w:hanging="360"/>
        <w:jc w:val="both"/>
      </w:pPr>
      <w:r>
        <w:rPr>
          <w:rFonts w:ascii="Times New Roman" w:cs="Times New Roman" w:eastAsia="Times New Roman" w:hAnsi="Times New Roman"/>
          <w:color w:val="1a1a1a"/>
          <w:sz w:val="18"/>
          <w:szCs w:val="18"/>
        </w:rPr>
        <w:t xml:space="preserve">[4]  R. M. Mohammad, F. Thabtah, and L. McCluskey, "Predicting phishing websites based on self-structuring neural network," Neural Computing and Applications, vol. 25, no. 2, pp. 443-458, 2014.</w:t>
      </w:r>
    </w:p>
    <w:p>
      <w:pPr>
        <w:spacing w:after="60" w:line="240"/>
        <w:ind w:left="360" w:hanging="360"/>
        <w:jc w:val="both"/>
      </w:pPr>
      <w:r>
        <w:rPr>
          <w:rFonts w:ascii="Times New Roman" w:cs="Times New Roman" w:eastAsia="Times New Roman" w:hAnsi="Times New Roman"/>
          <w:color w:val="1a1a1a"/>
          <w:sz w:val="18"/>
          <w:szCs w:val="18"/>
        </w:rPr>
        <w:t xml:space="preserve">[5]  O. K. Sahingoz, E. Buber, O. Demir, and B. Diri, "Machine learning based phishing detection from URLs," Expert Systems with Applications, vol. 117, pp. 345-357, 2019.</w:t>
      </w:r>
    </w:p>
    <w:p>
      <w:pPr>
        <w:spacing w:after="60" w:line="240"/>
        <w:ind w:left="360" w:hanging="360"/>
        <w:jc w:val="both"/>
      </w:pPr>
      <w:r>
        <w:rPr>
          <w:rFonts w:ascii="Times New Roman" w:cs="Times New Roman" w:eastAsia="Times New Roman" w:hAnsi="Times New Roman"/>
          <w:color w:val="1a1a1a"/>
          <w:sz w:val="18"/>
          <w:szCs w:val="18"/>
        </w:rPr>
        <w:t xml:space="preserve">[6]  StealthPhisher 2025, "A large-scale corpus of modern phishing URLs with current evasion patterns," dataset, 2025.</w:t>
      </w:r>
    </w:p>
    <w:p>
      <w:pPr>
        <w:spacing w:after="60" w:line="240"/>
        <w:ind w:left="360" w:hanging="360"/>
        <w:jc w:val="both"/>
      </w:pPr>
      <w:r>
        <w:rPr>
          <w:rFonts w:ascii="Times New Roman" w:cs="Times New Roman" w:eastAsia="Times New Roman" w:hAnsi="Times New Roman"/>
          <w:color w:val="1a1a1a"/>
          <w:sz w:val="18"/>
          <w:szCs w:val="18"/>
        </w:rPr>
        <w:t xml:space="preserve">[7]  F. Khan, R. Mustafa, F. Tasnim, T. Mahmud, M. S. Hossain, and K. Andersson, "Exploring BERT and ELMo for Bangla Spam SMS Dataset Creation and Detection," in Proc. 26th Int. Conf. on Computer and Information Technology (ICCIT), 2023.</w:t>
      </w:r>
    </w:p>
    <w:p>
      <w:pPr>
        <w:spacing w:after="60" w:line="240"/>
        <w:ind w:left="360" w:hanging="360"/>
        <w:jc w:val="both"/>
      </w:pPr>
      <w:r>
        <w:rPr>
          <w:rFonts w:ascii="Times New Roman" w:cs="Times New Roman" w:eastAsia="Times New Roman" w:hAnsi="Times New Roman"/>
          <w:color w:val="1a1a1a"/>
          <w:sz w:val="18"/>
          <w:szCs w:val="18"/>
        </w:rPr>
        <w:t xml:space="preserve">[8]  M. M. R. Foysal and M. S. Rahman, "Bangla SMS Spam Classification Using LLMs: Evaluating the Performance of BanglaBERT and XLM-RoBERTa," 2025.</w:t>
      </w:r>
    </w:p>
    <w:p>
      <w:pPr>
        <w:spacing w:after="60" w:line="240"/>
        <w:ind w:left="360" w:hanging="360"/>
        <w:jc w:val="both"/>
      </w:pPr>
      <w:r>
        <w:rPr>
          <w:rFonts w:ascii="Times New Roman" w:cs="Times New Roman" w:eastAsia="Times New Roman" w:hAnsi="Times New Roman"/>
          <w:color w:val="1a1a1a"/>
          <w:sz w:val="18"/>
          <w:szCs w:val="18"/>
        </w:rPr>
        <w:t xml:space="preserve">[9]  N. Reimers and I. Gurevych, "Making Monolingual Sentence Embeddings Multilingual using Knowledge Distillation," in Proc. EMNLP, 2020.</w:t>
      </w:r>
    </w:p>
    <w:p>
      <w:pPr>
        <w:spacing w:after="60" w:line="240"/>
        <w:ind w:left="360" w:hanging="360"/>
        <w:jc w:val="both"/>
      </w:pPr>
      <w:r>
        <w:rPr>
          <w:rFonts w:ascii="Times New Roman" w:cs="Times New Roman" w:eastAsia="Times New Roman" w:hAnsi="Times New Roman"/>
          <w:color w:val="1a1a1a"/>
          <w:sz w:val="18"/>
          <w:szCs w:val="18"/>
        </w:rPr>
        <w:t xml:space="preserve">[10]  A. H. Lashkari, A. F. A. Kadir, L. Taheri, and A. A. Ghorbani, "Toward developing a systematic approach to generate benchmark Android malware datasets and classification," in Proc. Int. Carnahan Conf. on Security Technology (ICCST), 2018.</w:t>
      </w:r>
    </w:p>
    <w:p>
      <w:pPr>
        <w:spacing w:after="60" w:line="240"/>
        <w:ind w:left="360" w:hanging="360"/>
        <w:jc w:val="both"/>
      </w:pPr>
      <w:r>
        <w:rPr>
          <w:rFonts w:ascii="Times New Roman" w:cs="Times New Roman" w:eastAsia="Times New Roman" w:hAnsi="Times New Roman"/>
          <w:color w:val="1a1a1a"/>
          <w:sz w:val="18"/>
          <w:szCs w:val="18"/>
        </w:rPr>
        <w:t xml:space="preserve">[11]  S. Mahdavifar, A. F. A. Kadir, R. Mahdikhani, H. Ghorbani, and A. A. Ghorbani, "Dynamic Android malware category classification using semi-supervised deep learning," in Proc. IEEE DASC, 2020.</w:t>
      </w:r>
    </w:p>
    <w:p>
      <w:pPr>
        <w:spacing w:after="60" w:line="240"/>
        <w:ind w:left="360" w:hanging="360"/>
        <w:jc w:val="both"/>
      </w:pPr>
      <w:r>
        <w:rPr>
          <w:rFonts w:ascii="Times New Roman" w:cs="Times New Roman" w:eastAsia="Times New Roman" w:hAnsi="Times New Roman"/>
          <w:color w:val="1a1a1a"/>
          <w:sz w:val="18"/>
          <w:szCs w:val="18"/>
        </w:rPr>
        <w:t xml:space="preserve">[12]  L. Taheri, A. F. A. Kadir, and A. H. Lashkari, "Extensible Android Malware Detection and Family Classification Using Network-Flows and API-Calls," in Proc. Int. Carnahan Conf. on Security Technology (ICCST), 2019.</w:t>
      </w:r>
    </w:p>
    <w:p>
      <w:pPr>
        <w:spacing w:after="60" w:line="240"/>
        <w:ind w:left="360" w:hanging="360"/>
        <w:jc w:val="both"/>
      </w:pPr>
      <w:r>
        <w:rPr>
          <w:rFonts w:ascii="Times New Roman" w:cs="Times New Roman" w:eastAsia="Times New Roman" w:hAnsi="Times New Roman"/>
          <w:color w:val="1a1a1a"/>
          <w:sz w:val="18"/>
          <w:szCs w:val="18"/>
        </w:rPr>
        <w:t xml:space="preserve">[13]  F. Pendlebury, F. Pierazzi, R. Jordaney, J. Kinder, and L. Cavallaro, "TESSERACT: Eliminating experimental bias in malware classification across space and time," in Proc. USENIX Security Symposium, 2019.</w:t>
      </w:r>
    </w:p>
    <w:p>
      <w:pPr>
        <w:spacing w:after="60" w:line="240"/>
        <w:ind w:left="360" w:hanging="360"/>
        <w:jc w:val="both"/>
      </w:pPr>
      <w:r>
        <w:rPr>
          <w:rFonts w:ascii="Times New Roman" w:cs="Times New Roman" w:eastAsia="Times New Roman" w:hAnsi="Times New Roman"/>
          <w:color w:val="1a1a1a"/>
          <w:sz w:val="18"/>
          <w:szCs w:val="18"/>
        </w:rPr>
        <w:t xml:space="preserve">[14]  M. Sakurada and T. Yairi, "Anomaly detection using autoencoders with nonlinear dimensionality reduction," in Proc. MLSDA Workshop, 2014.</w:t>
      </w:r>
    </w:p>
    <w:p>
      <w:pPr>
        <w:spacing w:after="60" w:line="240"/>
        <w:ind w:left="360" w:hanging="360"/>
        <w:jc w:val="both"/>
      </w:pPr>
      <w:r>
        <w:rPr>
          <w:rFonts w:ascii="Times New Roman" w:cs="Times New Roman" w:eastAsia="Times New Roman" w:hAnsi="Times New Roman"/>
          <w:color w:val="1a1a1a"/>
          <w:sz w:val="18"/>
          <w:szCs w:val="18"/>
        </w:rPr>
        <w:t xml:space="preserve">[15]  N. Moustafa and J. Slay, "UNSW-NB15: a comprehensive data set for network intrusion detection systems," in Proc. MilCIS, 2015.</w:t>
      </w:r>
    </w:p>
    <w:p>
      <w:pPr>
        <w:spacing w:after="60" w:line="240"/>
        <w:ind w:left="360" w:hanging="360"/>
        <w:jc w:val="both"/>
      </w:pPr>
      <w:r>
        <w:rPr>
          <w:rFonts w:ascii="Times New Roman" w:cs="Times New Roman" w:eastAsia="Times New Roman" w:hAnsi="Times New Roman"/>
          <w:color w:val="1a1a1a"/>
          <w:sz w:val="18"/>
          <w:szCs w:val="18"/>
        </w:rPr>
        <w:t xml:space="preserve">[16]  F. T. Liu, K. M. Ting, and Z.-H. Zhou, "Isolation Forest," in Proc. IEEE Int. Conf. on Data Mining (ICDM), 2008.</w:t>
      </w:r>
    </w:p>
    <w:p>
      <w:pPr>
        <w:spacing w:after="60" w:line="240"/>
        <w:ind w:left="360" w:hanging="360"/>
        <w:jc w:val="both"/>
      </w:pPr>
      <w:r>
        <w:rPr>
          <w:rFonts w:ascii="Times New Roman" w:cs="Times New Roman" w:eastAsia="Times New Roman" w:hAnsi="Times New Roman"/>
          <w:color w:val="1a1a1a"/>
          <w:sz w:val="18"/>
          <w:szCs w:val="18"/>
        </w:rPr>
        <w:t xml:space="preserve">[17]  S. M. Lundberg and S.-I. Lee, "A Unified Approach to Interpreting Model Predictions," in Proc. NeurIPS, 2017.</w:t>
      </w:r>
    </w:p>
    <w:p>
      <w:pPr>
        <w:spacing w:after="60" w:line="240"/>
        <w:ind w:left="360" w:hanging="360"/>
        <w:jc w:val="both"/>
      </w:pPr>
      <w:r>
        <w:rPr>
          <w:rFonts w:ascii="Times New Roman" w:cs="Times New Roman" w:eastAsia="Times New Roman" w:hAnsi="Times New Roman"/>
          <w:color w:val="1a1a1a"/>
          <w:sz w:val="18"/>
          <w:szCs w:val="18"/>
        </w:rPr>
        <w:t xml:space="preserve">[18]  BangalaBarta: A Benchmark Dataset for Spam and Smishing SMS Detection in Mobile Communication, 2,772 Bangla SMS messages, 2024.</w:t>
      </w:r>
    </w:p>
    <w:p>
      <w:pPr>
        <w:spacing w:after="60" w:line="240"/>
        <w:ind w:left="360" w:hanging="360"/>
        <w:jc w:val="both"/>
      </w:pPr>
      <w:r>
        <w:rPr>
          <w:rFonts w:ascii="Times New Roman" w:cs="Times New Roman" w:eastAsia="Times New Roman" w:hAnsi="Times New Roman"/>
          <w:color w:val="1a1a1a"/>
          <w:sz w:val="18"/>
          <w:szCs w:val="18"/>
        </w:rPr>
        <w:t xml:space="preserve">[19]  G. Tanbhir, M. F. Shahriyar, K. Shahed, A. M. R. Chy, and M. Al Adnan, "Hybrid Machine Learning Model for Detecting Bangla Smishing Text Using BERT and Character-Level CNN," in Proc. 13th Int. Conf. on Electrical and Computer Engineering (ICECE), pp. 57-62, IEEE, 2024.</w:t>
      </w:r>
    </w:p>
    <w:sectPr>
      <w:pgSz w:w="12240" w:h="15840"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33a401a2baac6b299aeac317653dbb5abaff4d68.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SecureSpeak Paper 1 v2</dc:title>
  <dc:creator>SecureSpeak Team</dc:creator>
  <cp:lastModifiedBy>Un-named</cp:lastModifiedBy>
  <cp:revision>1</cp:revision>
  <dcterms:created xsi:type="dcterms:W3CDTF">2026-07-22T18:48:23.010Z</dcterms:created>
  <dcterms:modified xsi:type="dcterms:W3CDTF">2026-07-22T18:48:23.020Z</dcterms:modified>
</cp:coreProperties>
</file>

<file path=docProps/custom.xml><?xml version="1.0" encoding="utf-8"?>
<Properties xmlns="http://schemas.openxmlformats.org/officeDocument/2006/custom-properties" xmlns:vt="http://schemas.openxmlformats.org/officeDocument/2006/docPropsVTypes"/>
</file>