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Garamond" w:cs="Garamond" w:eastAsia="Garamond" w:hAnsi="Garamond"/>
          <w:b/>
          <w:bCs/>
          <w:color w:val="3B4E6B"/>
          <w:sz w:val="40"/>
          <w:szCs w:val="40"/>
        </w:rPr>
        <w:t xml:space="preserve">SecureSpeak</w:t>
      </w:r>
    </w:p>
    <w:p>
      <w:pPr>
        <w:spacing w:after="220" w:before="0"/>
        <w:jc w:val="center"/>
      </w:pPr>
      <w:r>
        <w:rPr>
          <w:rFonts w:ascii="Garamond" w:cs="Garamond" w:eastAsia="Garamond" w:hAnsi="Garamond"/>
          <w:i/>
          <w:iCs/>
          <w:color w:val="5D6F8C"/>
          <w:sz w:val="26"/>
          <w:szCs w:val="26"/>
        </w:rPr>
        <w:t xml:space="preserve">Putting People's Context First in Mobile Financial Security for Bangladesh</w:t>
      </w:r>
    </w:p>
    <w:p>
      <w:pPr>
        <w:spacing w:after="60" w:before="60"/>
        <w:jc w:val="center"/>
      </w:pPr>
      <w:r>
        <w:rPr>
          <w:rFonts w:ascii="Garamond" w:cs="Garamond" w:eastAsia="Garamond" w:hAnsi="Garamond"/>
          <w:sz w:val="22"/>
          <w:szCs w:val="22"/>
        </w:rPr>
        <w:t xml:space="preserve">Khondokar Sajid  ·  Abdul Alim Rakib  ·  Sumaya Shimu Rima  ·  Shakib Ahamed</w:t>
      </w:r>
    </w:p>
    <w:p>
      <w:pPr>
        <w:spacing w:after="40" w:before="0"/>
        <w:jc w:val="center"/>
      </w:pPr>
      <w:r>
        <w:rPr>
          <w:rFonts w:ascii="Garamond" w:cs="Garamond" w:eastAsia="Garamond" w:hAnsi="Garamond"/>
          <w:i/>
          <w:iCs/>
          <w:color w:val="7A7268"/>
          <w:sz w:val="20"/>
          <w:szCs w:val="20"/>
        </w:rPr>
        <w:t xml:space="preserve">Department of Electrical and Computer Engineering, North South University, Dhaka, Bangladesh</w:t>
      </w:r>
    </w:p>
    <w:p>
      <w:pPr>
        <w:spacing w:after="200" w:before="30"/>
        <w:jc w:val="center"/>
      </w:pPr>
      <w:r>
        <w:rPr>
          <w:rFonts w:ascii="Garamond" w:cs="Garamond" w:eastAsia="Garamond" w:hAnsi="Garamond"/>
          <w:i/>
          <w:iCs/>
          <w:color w:val="7A7268"/>
          <w:sz w:val="20"/>
          <w:szCs w:val="20"/>
        </w:rPr>
        <w:t xml:space="preserve">Supervisor: Dr. Nova Ahmed, Associate Professor, NSU ECE</w:t>
      </w:r>
    </w:p>
    <w:p>
      <w:pPr>
        <w:spacing w:after="60" w:before="120"/>
        <w:jc w:val="both"/>
      </w:pPr>
      <w:r>
        <w:rPr>
          <w:rFonts w:ascii="Garamond" w:cs="Garamond" w:eastAsia="Garamond" w:hAnsi="Garamond"/>
          <w:b/>
          <w:bCs/>
          <w:color w:val="3B4E6B"/>
          <w:sz w:val="20"/>
          <w:szCs w:val="20"/>
        </w:rPr>
        <w:t xml:space="preserve">CCS Concepts:  </w:t>
      </w:r>
      <w:r>
        <w:rPr>
          <w:rFonts w:ascii="Garamond" w:cs="Garamond" w:eastAsia="Garamond" w:hAnsi="Garamond"/>
          <w:sz w:val="20"/>
          <w:szCs w:val="20"/>
        </w:rPr>
        <w:t xml:space="preserve">• Human-centered computing → Security and privacy in HCI; Computing in developing nations; User studies;  • Security and privacy → Mobile platform security; Social aspects of security and privacy; Intrusion detection systems;  • Applied computing → Computing in developing nations.</w:t>
      </w:r>
    </w:p>
    <w:p>
      <w:pPr>
        <w:spacing w:after="240" w:before="80"/>
        <w:jc w:val="both"/>
      </w:pPr>
      <w:r>
        <w:rPr>
          <w:rFonts w:ascii="Garamond" w:cs="Garamond" w:eastAsia="Garamond" w:hAnsi="Garamond"/>
          <w:b/>
          <w:bCs/>
          <w:color w:val="3B4E6B"/>
          <w:sz w:val="20"/>
          <w:szCs w:val="20"/>
        </w:rPr>
        <w:t xml:space="preserve">Keywords:  </w:t>
      </w:r>
      <w:r>
        <w:rPr>
          <w:rFonts w:ascii="Garamond" w:cs="Garamond" w:eastAsia="Garamond" w:hAnsi="Garamond"/>
          <w:i/>
          <w:iCs/>
          <w:sz w:val="20"/>
          <w:szCs w:val="20"/>
        </w:rPr>
        <w:t xml:space="preserve">human-centered security; mobile financial services; Bangladesh; phishing detection; bilingual alerts; vulnerable users; context-aware systems; Dempster–Shafer fusion; anomaly detection.</w:t>
      </w:r>
    </w:p>
    <w:p>
      <w:pPr>
        <w:pStyle w:val="Heading1"/>
        <w:spacing w:after="160" w:before="340"/>
      </w:pPr>
      <w:r>
        <w:rPr>
          <w:rFonts w:ascii="Garamond" w:cs="Garamond" w:eastAsia="Garamond" w:hAnsi="Garamond"/>
          <w:b/>
          <w:bCs/>
          <w:color w:val="3B4E6B"/>
          <w:sz w:val="26"/>
          <w:szCs w:val="26"/>
        </w:rPr>
        <w:t xml:space="preserve">Abstract</w:t>
      </w:r>
    </w:p>
    <w:p>
      <w:pPr>
        <w:spacing w:after="120" w:before="60" w:line="280"/>
        <w:jc w:val="both"/>
      </w:pPr>
      <w:r>
        <w:rPr>
          <w:rFonts w:ascii="Garamond" w:cs="Garamond" w:eastAsia="Garamond" w:hAnsi="Garamond"/>
          <w:sz w:val="22"/>
          <w:szCs w:val="22"/>
        </w:rPr>
        <w:t xml:space="preserve">Over 70 million Bangladeshis rely on mobile financial services (MFS) — bKash, Nagad, Rocket — as their primary banking infrastructure. A disproportionate share of MFS fraud targets elderly pensioners, first-time smartphone owners, and daily-wage earners: users who cannot read English security alerts, cannot identify phishing URLs, and have no institutional fallback if their funds are stolen. We argue that effective security for this population requires an architectural commitment, not an advisory one. The system itself must be the line of defense.</w:t>
      </w:r>
    </w:p>
    <w:p>
      <w:pPr>
        <w:spacing w:after="120" w:before="60" w:line="280"/>
        <w:jc w:val="both"/>
      </w:pPr>
      <w:r>
        <w:rPr>
          <w:rFonts w:ascii="Garamond" w:cs="Garamond" w:eastAsia="Garamond" w:hAnsi="Garamond"/>
          <w:sz w:val="22"/>
          <w:szCs w:val="22"/>
        </w:rPr>
        <w:t xml:space="preserve">We present </w:t>
      </w:r>
      <w:r>
        <w:rPr>
          <w:rFonts w:ascii="Garamond" w:cs="Garamond" w:eastAsia="Garamond" w:hAnsi="Garamond"/>
          <w:b/>
          <w:bCs/>
          <w:sz w:val="22"/>
          <w:szCs w:val="22"/>
        </w:rPr>
        <w:t xml:space="preserve">SecureSpeak</w:t>
      </w:r>
      <w:r>
        <w:rPr>
          <w:rFonts w:ascii="Garamond" w:cs="Garamond" w:eastAsia="Garamond" w:hAnsi="Garamond"/>
          <w:sz w:val="22"/>
          <w:szCs w:val="22"/>
        </w:rPr>
        <w:t xml:space="preserve">, a context-driven phishing and anomaly detection system that fuses URL, Bangla SMS, and network-flow signals with a 12-dimensional context vector grounded in Bangladeshi Android device usage. When detectors conflict, SecureSpeak uses cross-attention to let deployment context resolve the disagreement, then issues a warning in both English and Bangla. On 194 real ambiguous phishing URLs paired with real Bangladeshi device flows, SecureSpeak detects </w:t>
      </w:r>
      <w:r>
        <w:rPr>
          <w:rFonts w:ascii="Garamond" w:cs="Garamond" w:eastAsia="Garamond" w:hAnsi="Garamond"/>
          <w:b/>
          <w:bCs/>
          <w:sz w:val="22"/>
          <w:szCs w:val="22"/>
        </w:rPr>
        <w:t xml:space="preserve">87.11% of attacks</w:t>
      </w:r>
      <w:r>
        <w:rPr>
          <w:rFonts w:ascii="Garamond" w:cs="Garamond" w:eastAsia="Garamond" w:hAnsi="Garamond"/>
          <w:sz w:val="22"/>
          <w:szCs w:val="22"/>
        </w:rPr>
        <w:t xml:space="preserve"> (95% CI [82.23%, 91.79%]) at </w:t>
      </w:r>
      <w:r>
        <w:rPr>
          <w:rFonts w:ascii="Garamond" w:cs="Garamond" w:eastAsia="Garamond" w:hAnsi="Garamond"/>
          <w:b/>
          <w:bCs/>
          <w:sz w:val="22"/>
          <w:szCs w:val="22"/>
        </w:rPr>
        <w:t xml:space="preserve">0.00% false positive rate</w:t>
      </w:r>
      <w:r>
        <w:rPr>
          <w:rFonts w:ascii="Garamond" w:cs="Garamond" w:eastAsia="Garamond" w:hAnsi="Garamond"/>
          <w:sz w:val="22"/>
          <w:szCs w:val="22"/>
        </w:rPr>
        <w:t xml:space="preserve"> across 52,118 real device flows — a +16.50 percentage-point improvement over URL-only detection. A Dempster–Shafer ablation collapses to 12.37%, confirming that context-conditional cross-attention is essential on hard cases. The contribution is architectural and conceptual: in regional security deployments where the most vulnerable users have the least margin for error, putting people's context first must be embedded in how the system combines evidence, not merely in how it presents results.</w:t>
      </w:r>
    </w:p>
    <w:p>
      <w:r>
        <w:br w:type="page"/>
      </w:r>
    </w:p>
    <w:p>
      <w:pPr>
        <w:pStyle w:val="Heading1"/>
        <w:spacing w:after="160" w:before="340"/>
      </w:pPr>
      <w:r>
        <w:rPr>
          <w:rFonts w:ascii="Garamond" w:cs="Garamond" w:eastAsia="Garamond" w:hAnsi="Garamond"/>
          <w:b/>
          <w:bCs/>
          <w:color w:val="3B4E6B"/>
          <w:sz w:val="26"/>
          <w:szCs w:val="26"/>
        </w:rPr>
        <w:t xml:space="preserve">1   Introduction</w:t>
      </w:r>
    </w:p>
    <w:p>
      <w:pPr>
        <w:pStyle w:val="Heading2"/>
        <w:spacing w:after="100" w:before="240"/>
      </w:pPr>
      <w:r>
        <w:rPr>
          <w:rFonts w:ascii="Garamond" w:cs="Garamond" w:eastAsia="Garamond" w:hAnsi="Garamond"/>
          <w:b/>
          <w:bCs/>
          <w:color w:val="5D6F8C"/>
          <w:sz w:val="23"/>
          <w:szCs w:val="23"/>
        </w:rPr>
        <w:t xml:space="preserve">1.1   Rina's Story</w:t>
      </w:r>
    </w:p>
    <w:p>
      <w:pPr>
        <w:pBdr>
          <w:top w:val="none" w:color="FFFFFF" w:sz="0"/>
          <w:bottom w:val="none" w:color="FFFFFF" w:sz="0"/>
        </w:pBdr>
        <w:shd w:fill="FAF6F0" w:val="clear"/>
        <w:spacing w:after="160" w:before="100" w:line="280"/>
        <w:ind w:left="460" w:right="460"/>
        <w:jc w:val="both"/>
      </w:pPr>
      <w:r>
        <w:rPr>
          <w:rFonts w:ascii="Garamond" w:cs="Garamond" w:eastAsia="Garamond" w:hAnsi="Garamond"/>
          <w:i/>
          <w:iCs/>
          <w:sz w:val="22"/>
          <w:szCs w:val="22"/>
        </w:rPr>
        <w:t xml:space="preserve">Rina is 62. She is a retired primary-school teacher in Mohammadpur, Dhaka. Her monthly pension of 12,000 taka arrives through bKash on the 5th of every month. She has used the bKash app for three years. She still asks her grandson to read English text, but the Bangla SMS alerts from bKash she can read herself. On a Tuesday afternoon, a Bangla SMS arrives. It says her account will be locked unless she verifies her PIN through a link. The message looks like a bKash message; the number looks like a bKash number. Rina taps. A login page opens — it looks exactly like the bKash page she sees every month. She enters her PIN. Two minutes later, 12,000 taka is gone.</w:t>
      </w:r>
    </w:p>
    <w:p>
      <w:pPr>
        <w:spacing w:after="120" w:before="60" w:line="280"/>
        <w:jc w:val="both"/>
      </w:pPr>
      <w:r>
        <w:rPr>
          <w:rFonts w:ascii="Garamond" w:cs="Garamond" w:eastAsia="Garamond" w:hAnsi="Garamond"/>
          <w:sz w:val="22"/>
          <w:szCs w:val="22"/>
        </w:rPr>
        <w:t xml:space="preserve">Rina did nothing wrong. Her phone knew the page was hosted on an unverified app. Her phone knew the destination port was unusual. Her phone knew she had not initiated a transaction. None of that information reached a decision about whether to warn her. SecureSpeak is designed to intervene in Rina's moment: not by asking her to become a security expert, but by using the context her phone already has — the app, the port, the time, whether she is mid-transaction — to decide that this SMS, this link, and this network flow </w:t>
      </w:r>
      <w:r>
        <w:rPr>
          <w:rFonts w:ascii="Garamond" w:cs="Garamond" w:eastAsia="Garamond" w:hAnsi="Garamond"/>
          <w:i/>
          <w:iCs/>
          <w:sz w:val="22"/>
          <w:szCs w:val="22"/>
        </w:rPr>
        <w:t xml:space="preserve">together</w:t>
      </w:r>
      <w:r>
        <w:rPr>
          <w:rFonts w:ascii="Garamond" w:cs="Garamond" w:eastAsia="Garamond" w:hAnsi="Garamond"/>
          <w:sz w:val="22"/>
          <w:szCs w:val="22"/>
        </w:rPr>
        <w:t xml:space="preserve"> constitute an attack, and warning her in Bangla before her PIN leaves the phone.</w:t>
      </w:r>
    </w:p>
    <w:p>
      <w:pPr>
        <w:pStyle w:val="Heading2"/>
        <w:spacing w:after="100" w:before="240"/>
      </w:pPr>
      <w:r>
        <w:rPr>
          <w:rFonts w:ascii="Garamond" w:cs="Garamond" w:eastAsia="Garamond" w:hAnsi="Garamond"/>
          <w:b/>
          <w:bCs/>
          <w:color w:val="5D6F8C"/>
          <w:sz w:val="23"/>
          <w:szCs w:val="23"/>
        </w:rPr>
        <w:t xml:space="preserve">1.2   The Problem with Existing Systems</w:t>
      </w:r>
    </w:p>
    <w:p>
      <w:pPr>
        <w:spacing w:after="120" w:before="60" w:line="280"/>
        <w:jc w:val="both"/>
      </w:pPr>
      <w:r>
        <w:rPr>
          <w:rFonts w:ascii="Garamond" w:cs="Garamond" w:eastAsia="Garamond" w:hAnsi="Garamond"/>
          <w:sz w:val="22"/>
          <w:szCs w:val="22"/>
        </w:rPr>
        <w:t xml:space="preserve">URL phishing detectors trained on Western datasets miss Bangladesh-specific brand impersonation (bKash, Nagad, Rocket lookalike domains). English-language smishing classifiers miss code-switched Banglish SMS. Generic network anomaly detectors lack the Android-app and MFS-transaction context that distinguishes legitimate bKash traffic from an attack. Even when individual detectors work, the fusion of their outputs treats deployment context as one more feature — or ignores it. We argue this is the wrong design choice for the population we are trying to protect.</w:t>
      </w:r>
    </w:p>
    <w:p>
      <w:pPr>
        <w:pStyle w:val="Heading2"/>
        <w:spacing w:after="100" w:before="240"/>
      </w:pPr>
      <w:r>
        <w:rPr>
          <w:rFonts w:ascii="Garamond" w:cs="Garamond" w:eastAsia="Garamond" w:hAnsi="Garamond"/>
          <w:b/>
          <w:bCs/>
          <w:color w:val="5D6F8C"/>
          <w:sz w:val="23"/>
          <w:szCs w:val="23"/>
        </w:rPr>
        <w:t xml:space="preserve">1.3   Threat Model and Scope</w:t>
      </w:r>
    </w:p>
    <w:p>
      <w:pPr>
        <w:spacing w:after="120" w:before="60" w:line="280"/>
        <w:jc w:val="both"/>
      </w:pPr>
      <w:r>
        <w:rPr>
          <w:rFonts w:ascii="Garamond" w:cs="Garamond" w:eastAsia="Garamond" w:hAnsi="Garamond"/>
          <w:sz w:val="22"/>
          <w:szCs w:val="22"/>
        </w:rPr>
        <w:t xml:space="preserve">A recurring question is whether SecureSpeak protects against all MFS fraud. It does not, and the boundary is itself a contribution. Consider an SMS with a link leading to a payment where money ends up with a scammer. Whether SecureSpeak helps depends on the mechanism.</w:t>
      </w:r>
    </w:p>
    <w:p>
      <w:pPr>
        <w:spacing w:after="120" w:before="60" w:line="280"/>
        <w:jc w:val="both"/>
      </w:pPr>
      <w:r>
        <w:rPr>
          <w:rFonts w:ascii="Garamond" w:cs="Garamond" w:eastAsia="Garamond" w:hAnsi="Garamond"/>
          <w:b/>
          <w:bCs/>
          <w:sz w:val="22"/>
          <w:szCs w:val="22"/>
        </w:rPr>
        <w:t xml:space="preserve">Mechanism 1 — credential theft (covered).</w:t>
      </w:r>
      <w:r>
        <w:rPr>
          <w:rFonts w:ascii="Garamond" w:cs="Garamond" w:eastAsia="Garamond" w:hAnsi="Garamond"/>
          <w:sz w:val="22"/>
          <w:szCs w:val="22"/>
        </w:rPr>
        <w:t xml:space="preserve"> The link opens a forged bKash page; the user enters a PIN; the scammer drains the account. URL, SMS, and network signals each leave a trace SecureSpeak can fuse with context to flag the attack before PIN entry.</w:t>
      </w:r>
    </w:p>
    <w:p>
      <w:pPr>
        <w:spacing w:after="120" w:before="60" w:line="280"/>
        <w:jc w:val="both"/>
      </w:pPr>
      <w:r>
        <w:rPr>
          <w:rFonts w:ascii="Garamond" w:cs="Garamond" w:eastAsia="Garamond" w:hAnsi="Garamond"/>
          <w:b/>
          <w:bCs/>
          <w:sz w:val="22"/>
          <w:szCs w:val="22"/>
        </w:rPr>
        <w:t xml:space="preserve">Mechanism 2 — authorized push payment fraud (not covered).</w:t>
      </w:r>
      <w:r>
        <w:rPr>
          <w:rFonts w:ascii="Garamond" w:cs="Garamond" w:eastAsia="Garamond" w:hAnsi="Garamond"/>
          <w:sz w:val="22"/>
          <w:szCs w:val="22"/>
        </w:rPr>
        <w:t xml:space="preserve"> The scammer convinces the user to </w:t>
      </w:r>
      <w:r>
        <w:rPr>
          <w:rFonts w:ascii="Garamond" w:cs="Garamond" w:eastAsia="Garamond" w:hAnsi="Garamond"/>
          <w:i/>
          <w:iCs/>
          <w:sz w:val="22"/>
          <w:szCs w:val="22"/>
        </w:rPr>
        <w:t xml:space="preserve">willingly</w:t>
      </w:r>
      <w:r>
        <w:rPr>
          <w:rFonts w:ascii="Garamond" w:cs="Garamond" w:eastAsia="Garamond" w:hAnsi="Garamond"/>
          <w:sz w:val="22"/>
          <w:szCs w:val="22"/>
        </w:rPr>
        <w:t xml:space="preserve"> send money to the scammer's own real bKash number. No forged page, no malware. The user authenticates legitimately and authorizes a real transfer to a real account that happens to belong to a criminal. SecureSpeak cannot prevent this with its present signals — a boundary we treat as immediate future work via recipient-account reputation, not as a gap we paper over.</w:t>
      </w:r>
    </w:p>
    <w:p>
      <w:pPr>
        <w:pStyle w:val="Heading2"/>
        <w:spacing w:after="100" w:before="240"/>
      </w:pPr>
      <w:r>
        <w:rPr>
          <w:rFonts w:ascii="Garamond" w:cs="Garamond" w:eastAsia="Garamond" w:hAnsi="Garamond"/>
          <w:b/>
          <w:bCs/>
          <w:color w:val="5D6F8C"/>
          <w:sz w:val="23"/>
          <w:szCs w:val="23"/>
        </w:rPr>
        <w:t xml:space="preserve">1.4   Contributions</w:t>
      </w:r>
    </w:p>
    <w:p>
      <w:pPr>
        <w:pStyle w:val="ListParagraph"/>
        <w:numPr>
          <w:ilvl w:val="0"/>
          <w:numId w:val="2"/>
        </w:numPr>
        <w:spacing w:after="60" w:before="40" w:line="280"/>
      </w:pPr>
      <w:r>
        <w:rPr>
          <w:rFonts w:ascii="Garamond" w:cs="Garamond" w:eastAsia="Garamond" w:hAnsi="Garamond"/>
          <w:sz w:val="22"/>
          <w:szCs w:val="22"/>
        </w:rPr>
        <w:t xml:space="preserve">A human-centered design principle — 'putting people's context first' — and a formal framework (context-conditional evidence calibration) realizing it in the architecture rather than as post-hoc features.</w:t>
      </w:r>
    </w:p>
    <w:p>
      <w:pPr>
        <w:pStyle w:val="ListParagraph"/>
        <w:numPr>
          <w:ilvl w:val="0"/>
          <w:numId w:val="2"/>
        </w:numPr>
        <w:spacing w:after="60" w:before="40" w:line="280"/>
      </w:pPr>
      <w:r>
        <w:rPr>
          <w:rFonts w:ascii="Garamond" w:cs="Garamond" w:eastAsia="Garamond" w:hAnsi="Garamond"/>
          <w:sz w:val="22"/>
          <w:szCs w:val="22"/>
        </w:rPr>
        <w:t xml:space="preserve">SecureSpeak, a system instantiating this principle for Bangladeshi MFS users: a 12-dimensional Bangladeshi context vector, a ReliabilityMLP, Dempster–Shafer evidence combination, and Cross-Attention Gated Fusion (ECAFN).</w:t>
      </w:r>
    </w:p>
    <w:p>
      <w:pPr>
        <w:pStyle w:val="ListParagraph"/>
        <w:numPr>
          <w:ilvl w:val="0"/>
          <w:numId w:val="2"/>
        </w:numPr>
        <w:spacing w:after="60" w:before="40" w:line="280"/>
      </w:pPr>
      <w:r>
        <w:rPr>
          <w:rFonts w:ascii="Garamond" w:cs="Garamond" w:eastAsia="Garamond" w:hAnsi="Garamond"/>
          <w:sz w:val="22"/>
          <w:szCs w:val="22"/>
        </w:rPr>
        <w:t xml:space="preserve">An explicit threat model distinguishing credential theft (covered) from authorized push payment fraud (not covered).</w:t>
      </w:r>
    </w:p>
    <w:p>
      <w:pPr>
        <w:pStyle w:val="ListParagraph"/>
        <w:numPr>
          <w:ilvl w:val="0"/>
          <w:numId w:val="2"/>
        </w:numPr>
        <w:spacing w:after="60" w:before="40" w:line="280"/>
      </w:pPr>
      <w:r>
        <w:rPr>
          <w:rFonts w:ascii="Garamond" w:cs="Garamond" w:eastAsia="Garamond" w:hAnsi="Garamond"/>
          <w:sz w:val="22"/>
          <w:szCs w:val="22"/>
        </w:rPr>
        <w:t xml:space="preserve">Empirical quantification of the BORDERLINE phishing problem: 24.4% of real PhishTank phishing URLs fall in pp ∈ [0.30, 0.70]; URL-only classification misses 37.63% of them.</w:t>
      </w:r>
    </w:p>
    <w:p>
      <w:pPr>
        <w:pStyle w:val="ListParagraph"/>
        <w:numPr>
          <w:ilvl w:val="0"/>
          <w:numId w:val="2"/>
        </w:numPr>
        <w:spacing w:after="60" w:before="40" w:line="280"/>
      </w:pPr>
      <w:r>
        <w:rPr>
          <w:rFonts w:ascii="Garamond" w:cs="Garamond" w:eastAsia="Garamond" w:hAnsi="Garamond"/>
          <w:sz w:val="22"/>
          <w:szCs w:val="22"/>
        </w:rPr>
        <w:t xml:space="preserve">A Bangladeshi MFS evaluation suite: 194 real BORDERLINE PhishTank URLs, 52,118 real PCAPdroid flows from six volunteer Bangladeshi Android devices, released as open artifact after anonymization.</w:t>
      </w:r>
    </w:p>
    <w:p>
      <w:pPr>
        <w:pStyle w:val="ListParagraph"/>
        <w:numPr>
          <w:ilvl w:val="0"/>
          <w:numId w:val="2"/>
        </w:numPr>
        <w:spacing w:after="60" w:before="40" w:line="280"/>
      </w:pPr>
      <w:r>
        <w:rPr>
          <w:rFonts w:ascii="Garamond" w:cs="Garamond" w:eastAsia="Garamond" w:hAnsi="Garamond"/>
          <w:sz w:val="22"/>
          <w:szCs w:val="22"/>
        </w:rPr>
        <w:t xml:space="preserve">Bilingual alerting (English + Bangla) designed for users like Rina: templated, offline-capable, grounded in HCI security guidelines for low-literacy populations.</w:t>
      </w:r>
    </w:p>
    <w:p>
      <w:r>
        <w:br w:type="page"/>
      </w:r>
    </w:p>
    <w:p>
      <w:pPr>
        <w:pStyle w:val="Heading1"/>
        <w:spacing w:after="160" w:before="340"/>
      </w:pPr>
      <w:r>
        <w:rPr>
          <w:rFonts w:ascii="Garamond" w:cs="Garamond" w:eastAsia="Garamond" w:hAnsi="Garamond"/>
          <w:b/>
          <w:bCs/>
          <w:color w:val="3B4E6B"/>
          <w:sz w:val="26"/>
          <w:szCs w:val="26"/>
        </w:rPr>
        <w:t xml:space="preserve">2   Related Work</w:t>
      </w:r>
    </w:p>
    <w:p>
      <w:pPr>
        <w:pStyle w:val="Heading2"/>
        <w:spacing w:after="100" w:before="240"/>
      </w:pPr>
      <w:r>
        <w:rPr>
          <w:rFonts w:ascii="Garamond" w:cs="Garamond" w:eastAsia="Garamond" w:hAnsi="Garamond"/>
          <w:b/>
          <w:bCs/>
          <w:color w:val="5D6F8C"/>
          <w:sz w:val="23"/>
          <w:szCs w:val="23"/>
        </w:rPr>
        <w:t xml:space="preserve">2.1   Human-Centered Security in the Global South</w:t>
      </w:r>
    </w:p>
    <w:p>
      <w:pPr>
        <w:spacing w:after="120" w:before="60" w:line="280"/>
        <w:jc w:val="both"/>
      </w:pPr>
      <w:r>
        <w:rPr>
          <w:rFonts w:ascii="Garamond" w:cs="Garamond" w:eastAsia="Garamond" w:hAnsi="Garamond"/>
          <w:sz w:val="22"/>
          <w:szCs w:val="22"/>
        </w:rPr>
        <w:t xml:space="preserve">A growing body of CHI and CSCW research documents the gap between security tooling designed for Western technical users and the needs of populations in developing economies. Reaves et al. [14] analyze branchless banking applications in low-resource settings and find systematic mismatches between security assumptions and real deployment contexts. Hasan, Akter, and Ahmed [15] — work that directly informs this paper — study user perceptions of fraud in bKash through a qualitative lens and find that users systematically misjudge phishing risk when SMS appear to come from familiar sources. Sambasivan et al. [16, 17] document how marginalized populations in South Asia experience digital risk differently from Western users. The literature converges on one finding: effective security in these settings requires designing for the deployment, not adapting after. SecureSpeak is an architectural response to this finding.</w:t>
      </w:r>
    </w:p>
    <w:p>
      <w:pPr>
        <w:pStyle w:val="Heading2"/>
        <w:spacing w:after="100" w:before="240"/>
      </w:pPr>
      <w:r>
        <w:rPr>
          <w:rFonts w:ascii="Garamond" w:cs="Garamond" w:eastAsia="Garamond" w:hAnsi="Garamond"/>
          <w:b/>
          <w:bCs/>
          <w:color w:val="5D6F8C"/>
          <w:sz w:val="23"/>
          <w:szCs w:val="23"/>
        </w:rPr>
        <w:t xml:space="preserve">2.2   Context in Prior Work</w:t>
      </w:r>
    </w:p>
    <w:p>
      <w:pPr>
        <w:spacing w:after="120" w:before="60" w:line="280"/>
        <w:jc w:val="both"/>
      </w:pPr>
      <w:r>
        <w:rPr>
          <w:rFonts w:ascii="Garamond" w:cs="Garamond" w:eastAsia="Garamond" w:hAnsi="Garamond"/>
          <w:sz w:val="22"/>
          <w:szCs w:val="22"/>
        </w:rPr>
        <w:t xml:space="preserve">The word </w:t>
      </w:r>
      <w:r>
        <w:rPr>
          <w:rFonts w:ascii="Garamond" w:cs="Garamond" w:eastAsia="Garamond" w:hAnsi="Garamond"/>
          <w:i/>
          <w:iCs/>
          <w:sz w:val="22"/>
          <w:szCs w:val="22"/>
        </w:rPr>
        <w:t xml:space="preserve">context</w:t>
      </w:r>
      <w:r>
        <w:rPr>
          <w:rFonts w:ascii="Garamond" w:cs="Garamond" w:eastAsia="Garamond" w:hAnsi="Garamond"/>
          <w:sz w:val="22"/>
          <w:szCs w:val="22"/>
        </w:rPr>
        <w:t xml:space="preserve"> appears in three distinct lineages. </w:t>
      </w:r>
      <w:r>
        <w:rPr>
          <w:rFonts w:ascii="Garamond" w:cs="Garamond" w:eastAsia="Garamond" w:hAnsi="Garamond"/>
          <w:b/>
          <w:bCs/>
          <w:sz w:val="22"/>
          <w:szCs w:val="22"/>
        </w:rPr>
        <w:t xml:space="preserve">Context-aware computing</w:t>
      </w:r>
      <w:r>
        <w:rPr>
          <w:rFonts w:ascii="Garamond" w:cs="Garamond" w:eastAsia="Garamond" w:hAnsi="Garamond"/>
          <w:sz w:val="22"/>
          <w:szCs w:val="22"/>
        </w:rPr>
        <w:t xml:space="preserve"> (Schilit, Adams, Want 1994; Dey &amp; Abowd 2001) uses context to </w:t>
      </w:r>
      <w:r>
        <w:rPr>
          <w:rFonts w:ascii="Garamond" w:cs="Garamond" w:eastAsia="Garamond" w:hAnsi="Garamond"/>
          <w:i/>
          <w:iCs/>
          <w:sz w:val="22"/>
          <w:szCs w:val="22"/>
        </w:rPr>
        <w:t xml:space="preserve">adapt what an application does</w:t>
      </w:r>
      <w:r>
        <w:rPr>
          <w:rFonts w:ascii="Garamond" w:cs="Garamond" w:eastAsia="Garamond" w:hAnsi="Garamond"/>
          <w:sz w:val="22"/>
          <w:szCs w:val="22"/>
        </w:rPr>
        <w:t xml:space="preserve"> — location-aware tour guides, activity-aware reminders. </w:t>
      </w:r>
      <w:r>
        <w:rPr>
          <w:rFonts w:ascii="Garamond" w:cs="Garamond" w:eastAsia="Garamond" w:hAnsi="Garamond"/>
          <w:b/>
          <w:bCs/>
          <w:sz w:val="22"/>
          <w:szCs w:val="22"/>
        </w:rPr>
        <w:t xml:space="preserve">Risk-based authentication</w:t>
      </w:r>
      <w:r>
        <w:rPr>
          <w:rFonts w:ascii="Garamond" w:cs="Garamond" w:eastAsia="Garamond" w:hAnsi="Garamond"/>
          <w:sz w:val="22"/>
          <w:szCs w:val="22"/>
        </w:rPr>
        <w:t xml:space="preserve"> (Freeman et al. NDSS 2016) uses context (IP, geolocation, time) to </w:t>
      </w:r>
      <w:r>
        <w:rPr>
          <w:rFonts w:ascii="Garamond" w:cs="Garamond" w:eastAsia="Garamond" w:hAnsi="Garamond"/>
          <w:i/>
          <w:iCs/>
          <w:sz w:val="22"/>
          <w:szCs w:val="22"/>
        </w:rPr>
        <w:t xml:space="preserve">gate an authentication decision</w:t>
      </w:r>
      <w:r>
        <w:rPr>
          <w:rFonts w:ascii="Garamond" w:cs="Garamond" w:eastAsia="Garamond" w:hAnsi="Garamond"/>
          <w:sz w:val="22"/>
          <w:szCs w:val="22"/>
        </w:rPr>
        <w:t xml:space="preserve"> after a single risk score is computed. </w:t>
      </w:r>
      <w:r>
        <w:rPr>
          <w:rFonts w:ascii="Garamond" w:cs="Garamond" w:eastAsia="Garamond" w:hAnsi="Garamond"/>
          <w:b/>
          <w:bCs/>
          <w:sz w:val="22"/>
          <w:szCs w:val="22"/>
        </w:rPr>
        <w:t xml:space="preserve">Multi-signal fusion</w:t>
      </w:r>
      <w:r>
        <w:rPr>
          <w:rFonts w:ascii="Garamond" w:cs="Garamond" w:eastAsia="Garamond" w:hAnsi="Garamond"/>
          <w:sz w:val="22"/>
          <w:szCs w:val="22"/>
        </w:rPr>
        <w:t xml:space="preserve"> (Vaswani et al. 2017; Liu et al. 2023) typically treats context as one more feature concatenated with the signals.</w:t>
      </w:r>
    </w:p>
    <w:p>
      <w:pPr>
        <w:spacing w:after="120" w:before="60" w:line="280"/>
        <w:jc w:val="both"/>
      </w:pPr>
      <w:r>
        <w:rPr>
          <w:rFonts w:ascii="Garamond" w:cs="Garamond" w:eastAsia="Garamond" w:hAnsi="Garamond"/>
          <w:sz w:val="22"/>
          <w:szCs w:val="22"/>
        </w:rPr>
        <w:t xml:space="preserve">SecureSpeak's contribution is to make context </w:t>
      </w:r>
      <w:r>
        <w:rPr>
          <w:rFonts w:ascii="Garamond" w:cs="Garamond" w:eastAsia="Garamond" w:hAnsi="Garamond"/>
          <w:b/>
          <w:bCs/>
          <w:sz w:val="22"/>
          <w:szCs w:val="22"/>
        </w:rPr>
        <w:t xml:space="preserve">structurally privileged</w:t>
      </w:r>
      <w:r>
        <w:rPr>
          <w:rFonts w:ascii="Garamond" w:cs="Garamond" w:eastAsia="Garamond" w:hAnsi="Garamond"/>
          <w:sz w:val="22"/>
          <w:szCs w:val="22"/>
        </w:rPr>
        <w:t xml:space="preserve"> inside the fusion itself, in two distinct places. Before fusion: a ReliabilityMLP maps context to per-detector reliability weights. During fusion: a Cross-Attention Gated Fusion module uses context as the attention </w:t>
      </w:r>
      <w:r>
        <w:rPr>
          <w:rFonts w:ascii="Garamond" w:cs="Garamond" w:eastAsia="Garamond" w:hAnsi="Garamond"/>
          <w:i/>
          <w:iCs/>
          <w:sz w:val="22"/>
          <w:szCs w:val="22"/>
        </w:rPr>
        <w:t xml:space="preserve">query</w:t>
      </w:r>
      <w:r>
        <w:rPr>
          <w:rFonts w:ascii="Garamond" w:cs="Garamond" w:eastAsia="Garamond" w:hAnsi="Garamond"/>
          <w:sz w:val="22"/>
          <w:szCs w:val="22"/>
        </w:rPr>
        <w:t xml:space="preserve"> over the calibrated signal pair, so when detectors disagree, context resolves the conflict. To our knowledge, no prior phishing or MFS-security system conditions both reliability calibration and conflict resolution on a deployment-grounded context vector. That dual structural role — not the use of DST or attention individually — is what is new.</w:t>
      </w:r>
    </w:p>
    <w:p>
      <w:pPr>
        <w:pStyle w:val="Heading2"/>
        <w:spacing w:after="100" w:before="240"/>
      </w:pPr>
      <w:r>
        <w:rPr>
          <w:rFonts w:ascii="Garamond" w:cs="Garamond" w:eastAsia="Garamond" w:hAnsi="Garamond"/>
          <w:b/>
          <w:bCs/>
          <w:color w:val="5D6F8C"/>
          <w:sz w:val="23"/>
          <w:szCs w:val="23"/>
        </w:rPr>
        <w:t xml:space="preserve">2.3   Phishing and Smishing Detection</w:t>
      </w:r>
    </w:p>
    <w:p>
      <w:pPr>
        <w:spacing w:after="120" w:before="60" w:line="280"/>
        <w:jc w:val="both"/>
      </w:pPr>
      <w:r>
        <w:rPr>
          <w:rFonts w:ascii="Garamond" w:cs="Garamond" w:eastAsia="Garamond" w:hAnsi="Garamond"/>
          <w:sz w:val="22"/>
          <w:szCs w:val="22"/>
        </w:rPr>
        <w:t xml:space="preserve">URL phishing detection has progressed from hand-engineered features with classical ML [1] to LSTM and Transformer architectures [2, 3, 4]. For SMS, English smishing has been well studied [5]; BanglaBERT [6] provides strong Bangla representations at the cost of 47× slower inference and approximately 7× the model size. None of these systems is trained on or evaluated against Bangladeshi MFS phishing patterns.</w:t>
      </w:r>
    </w:p>
    <w:p>
      <w:pPr>
        <w:pStyle w:val="Heading1"/>
        <w:spacing w:after="160" w:before="340"/>
      </w:pPr>
      <w:r>
        <w:rPr>
          <w:rFonts w:ascii="Garamond" w:cs="Garamond" w:eastAsia="Garamond" w:hAnsi="Garamond"/>
          <w:b/>
          <w:bCs/>
          <w:color w:val="3B4E6B"/>
          <w:sz w:val="26"/>
          <w:szCs w:val="26"/>
        </w:rPr>
        <w:t xml:space="preserve">3   Bangladesh, bKash, and the Cost of a Missed Warning</w:t>
      </w:r>
    </w:p>
    <w:p>
      <w:pPr>
        <w:pStyle w:val="Heading2"/>
        <w:spacing w:after="100" w:before="240"/>
      </w:pPr>
      <w:r>
        <w:rPr>
          <w:rFonts w:ascii="Garamond" w:cs="Garamond" w:eastAsia="Garamond" w:hAnsi="Garamond"/>
          <w:b/>
          <w:bCs/>
          <w:color w:val="5D6F8C"/>
          <w:sz w:val="23"/>
          <w:szCs w:val="23"/>
        </w:rPr>
        <w:t xml:space="preserve">3.1   Who Uses MFS in Bangladesh</w:t>
      </w:r>
    </w:p>
    <w:p>
      <w:pPr>
        <w:spacing w:after="120" w:before="60" w:line="280"/>
        <w:jc w:val="both"/>
      </w:pPr>
      <w:r>
        <w:rPr>
          <w:rFonts w:ascii="Garamond" w:cs="Garamond" w:eastAsia="Garamond" w:hAnsi="Garamond"/>
          <w:sz w:val="22"/>
          <w:szCs w:val="22"/>
        </w:rPr>
        <w:t xml:space="preserve">Bangladesh has over 180 million mobile connections and approximately 70 million registered bKash accounts. Nagad and Rocket combined add tens of millions more. MFS is not a payment convenience here; for a large fraction of the population it is banking infrastructure. The user base includes elderly pensioners who receive monthly government payments through bKash and Nagad, many functionally illiterate in English and partially literate in Bangla; daily-wage earners and garment workers who receive salaries via MFS and cannot absorb a day's wages lost to fraud; first-time smartphone owners in rural districts, for whom MFS is the first financial product they have ever used; and rural family members of urban migrants who receive remittances through MFS with no nearby bank branch as an alternative.</w:t>
      </w:r>
    </w:p>
    <w:p>
      <w:pPr>
        <w:pStyle w:val="Heading2"/>
        <w:spacing w:after="100" w:before="240"/>
      </w:pPr>
      <w:r>
        <w:rPr>
          <w:rFonts w:ascii="Garamond" w:cs="Garamond" w:eastAsia="Garamond" w:hAnsi="Garamond"/>
          <w:b/>
          <w:bCs/>
          <w:color w:val="5D6F8C"/>
          <w:sz w:val="23"/>
          <w:szCs w:val="23"/>
        </w:rPr>
        <w:t xml:space="preserve">3.2   How Bangladeshi MFS Phishing Differs</w:t>
      </w:r>
    </w:p>
    <w:p>
      <w:pPr>
        <w:spacing w:after="120" w:before="60" w:line="280"/>
        <w:jc w:val="both"/>
      </w:pPr>
      <w:r>
        <w:rPr>
          <w:rFonts w:ascii="Garamond" w:cs="Garamond" w:eastAsia="Garamond" w:hAnsi="Garamond"/>
          <w:sz w:val="22"/>
          <w:szCs w:val="22"/>
        </w:rPr>
        <w:t xml:space="preserve">Bangladeshi MFS phishing campaigns have a distinct pattern. SMS smishing arrives in Bangla, often with code-switched Banglish text mixing Bangla script with English-script transliterations of brand names. URLs frequently use free TLDs (.tk, .ml, .ga) and Bangla-Latin-transliterated subdomains (bkash-login-help, nogod-secure). Fake login pages are visually indistinguishable from genuine MFS pages but are hosted on impersonating Android packages (com.bkash-fake.app, com.nagad-secure.support). Western-trained detectors do not see these patterns.</w:t>
      </w:r>
    </w:p>
    <w:p>
      <w:pPr>
        <w:pStyle w:val="Heading2"/>
        <w:spacing w:after="100" w:before="240"/>
      </w:pPr>
      <w:r>
        <w:rPr>
          <w:rFonts w:ascii="Garamond" w:cs="Garamond" w:eastAsia="Garamond" w:hAnsi="Garamond"/>
          <w:b/>
          <w:bCs/>
          <w:color w:val="5D6F8C"/>
          <w:sz w:val="23"/>
          <w:szCs w:val="23"/>
        </w:rPr>
        <w:t xml:space="preserve">3.3   Why This Population Cannot Be the Line of Defense</w:t>
      </w:r>
    </w:p>
    <w:p>
      <w:pPr>
        <w:spacing w:after="120" w:before="60" w:line="280"/>
        <w:jc w:val="both"/>
      </w:pPr>
      <w:r>
        <w:rPr>
          <w:rFonts w:ascii="Garamond" w:cs="Garamond" w:eastAsia="Garamond" w:hAnsi="Garamond"/>
          <w:sz w:val="22"/>
          <w:szCs w:val="22"/>
        </w:rPr>
        <w:t xml:space="preserve">Security advice that places the burden of detection on the user — 'inspect the URL,' 'check the certificate,' 'never share your PIN' — assumes literacy, technical confidence, and risk perception that our target population often does not have. Even well-educated users worldwide fall for sophisticated phishing; expecting Rina to inspect a URL is unrealistic. SecureSpeak takes the opposing position: the system must be designed to protect users who cannot protect themselves.</w:t>
      </w:r>
    </w:p>
    <w:p>
      <w:r>
        <w:br w:type="page"/>
      </w:r>
    </w:p>
    <w:p>
      <w:pPr>
        <w:pStyle w:val="Heading1"/>
        <w:spacing w:after="160" w:before="340"/>
      </w:pPr>
      <w:r>
        <w:rPr>
          <w:rFonts w:ascii="Garamond" w:cs="Garamond" w:eastAsia="Garamond" w:hAnsi="Garamond"/>
          <w:b/>
          <w:bCs/>
          <w:color w:val="3B4E6B"/>
          <w:sz w:val="26"/>
          <w:szCs w:val="26"/>
        </w:rPr>
        <w:t xml:space="preserve">4   SecureSpeak System Design</w:t>
      </w:r>
    </w:p>
    <w:p>
      <w:pPr>
        <w:pStyle w:val="Heading2"/>
        <w:spacing w:after="100" w:before="240"/>
      </w:pPr>
      <w:r>
        <w:rPr>
          <w:rFonts w:ascii="Garamond" w:cs="Garamond" w:eastAsia="Garamond" w:hAnsi="Garamond"/>
          <w:b/>
          <w:bCs/>
          <w:color w:val="5D6F8C"/>
          <w:sz w:val="23"/>
          <w:szCs w:val="23"/>
        </w:rPr>
        <w:t xml:space="preserve">4.1   Architecture Overview</w:t>
      </w:r>
    </w:p>
    <w:p>
      <w:pPr>
        <w:spacing w:after="120" w:before="60" w:line="280"/>
        <w:jc w:val="both"/>
      </w:pPr>
      <w:r>
        <w:rPr>
          <w:rFonts w:ascii="Garamond" w:cs="Garamond" w:eastAsia="Garamond" w:hAnsi="Garamond"/>
          <w:sz w:val="22"/>
          <w:szCs w:val="22"/>
        </w:rPr>
        <w:t xml:space="preserve">SecureSpeak consists of three detection layers, a context-driven fusion engine (ECAFN), and a bilingual warning generator. Each detector produces a calibrated probability: pp ∈ [0,1] (URL phishing), an SMS smishing score, and ap ∈ [0,1] (network anomaly). ECAFN combines pp and ap conditioned on a 12-dimensional context vector derived from the user's Android device, producing a final risk classification (HIGH / MEDIUM / LOW) and triggering a bilingual warning when needed. The pipeline is fully executable on-device and offline. The warning layer has a rule-based fallback requiring no internet connection, ensuring availability in rural districts with intermittent connectivity.</w:t>
      </w:r>
    </w:p>
    <w:p>
      <w:pPr>
        <w:spacing w:after="40" w:before="120"/>
        <w:jc w:val="center"/>
      </w:pPr>
      <w:r>
        <w:drawing>
          <wp:inline distT="0" distB="0" distL="0" distR="0">
            <wp:extent cx="58483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209800"/>
                    </a:xfrm>
                    <a:prstGeom prst="rect">
                      <a:avLst/>
                    </a:prstGeom>
                  </pic:spPr>
                </pic:pic>
              </a:graphicData>
            </a:graphic>
          </wp:inline>
        </w:drawing>
      </w:r>
    </w:p>
    <w:p>
      <w:pPr>
        <w:spacing w:after="200" w:before="40"/>
        <w:jc w:val="center"/>
      </w:pPr>
      <w:r>
        <w:rPr>
          <w:rFonts w:ascii="Garamond" w:cs="Garamond" w:eastAsia="Garamond" w:hAnsi="Garamond"/>
          <w:i/>
          <w:iCs/>
          <w:color w:val="7A7268"/>
          <w:sz w:val="19"/>
          <w:szCs w:val="19"/>
        </w:rPr>
        <w:t xml:space="preserve">Figure 1.  SecureSpeak end-to-end pipeline. Three detectors produce calibrated probabilities (pp, sms, ap). A 12-dimensional context vector, computed from real Android device metadata, drives the ECAFN fusion engine, which outputs HIGH/MEDIUM/LOW risk and a bilingual English–Bangla warning.</w:t>
      </w:r>
    </w:p>
    <w:p>
      <w:pPr>
        <w:pStyle w:val="Heading2"/>
        <w:spacing w:after="100" w:before="240"/>
      </w:pPr>
      <w:r>
        <w:rPr>
          <w:rFonts w:ascii="Garamond" w:cs="Garamond" w:eastAsia="Garamond" w:hAnsi="Garamond"/>
          <w:b/>
          <w:bCs/>
          <w:color w:val="5D6F8C"/>
          <w:sz w:val="23"/>
          <w:szCs w:val="23"/>
        </w:rPr>
        <w:t xml:space="preserve">4.2   Detection Layers</w:t>
      </w:r>
    </w:p>
    <w:p>
      <w:pPr>
        <w:spacing w:after="80" w:before="160"/>
      </w:pPr>
      <w:r>
        <w:rPr>
          <w:rFonts w:ascii="Garamond" w:cs="Garamond" w:eastAsia="Garamond" w:hAnsi="Garamond"/>
          <w:b/>
          <w:bCs/>
          <w:i/>
          <w:iCs/>
          <w:color w:val="5D6F8C"/>
          <w:sz w:val="22"/>
          <w:szCs w:val="22"/>
        </w:rPr>
        <w:t xml:space="preserve">URL Phishing Detector</w:t>
      </w:r>
    </w:p>
    <w:p>
      <w:pPr>
        <w:spacing w:after="120" w:before="60" w:line="280"/>
        <w:jc w:val="both"/>
      </w:pPr>
      <w:r>
        <w:rPr>
          <w:rFonts w:ascii="Garamond" w:cs="Garamond" w:eastAsia="Garamond" w:hAnsi="Garamond"/>
          <w:sz w:val="22"/>
          <w:szCs w:val="22"/>
        </w:rPr>
        <w:t xml:space="preserve">Twenty-six hand-engineered features partitioned into structural (URL length, dot count, slash count, digit and letter ratios); lexical (domain length, subdomain depth, TLD risk); Bangladesh-specific brand features (bKash, Nagad, Rocket keyword detection, brand impersonation score, lookalike-domain similarity); and suspicion indicators (URL entropy, free-hosting TLDs, financial keywords). Random Forest classifier (300 estimators, class-balanced). Achieved 99.76% accuracy and 99.93% AUC on StealthPhisher 2025.</w:t>
      </w:r>
    </w:p>
    <w:p>
      <w:pPr>
        <w:spacing w:after="80" w:before="160"/>
      </w:pPr>
      <w:r>
        <w:rPr>
          <w:rFonts w:ascii="Garamond" w:cs="Garamond" w:eastAsia="Garamond" w:hAnsi="Garamond"/>
          <w:b/>
          <w:bCs/>
          <w:i/>
          <w:iCs/>
          <w:color w:val="5D6F8C"/>
          <w:sz w:val="22"/>
          <w:szCs w:val="22"/>
        </w:rPr>
        <w:t xml:space="preserve">Bangla SMS Smishing Detector</w:t>
      </w:r>
    </w:p>
    <w:p>
      <w:pPr>
        <w:spacing w:after="120" w:before="60" w:line="280"/>
        <w:jc w:val="both"/>
      </w:pPr>
      <w:r>
        <w:rPr>
          <w:rFonts w:ascii="Garamond" w:cs="Garamond" w:eastAsia="Garamond" w:hAnsi="Garamond"/>
          <w:sz w:val="22"/>
          <w:szCs w:val="22"/>
        </w:rPr>
        <w:t xml:space="preserve">384-dimensional sentence embeddings from paraphrase-multilingual-MiniLM-L12-v2 plus 6 hand-crafted keyword features (URL presence, MFS brand keywords in Bangla, urgency words, length ratio, exclamation density, digit ratio). Logistic Regression classifier. We chose MiniLM over BanglaBERT for three deployment reasons: 7.5× smaller model (117 MB vs 890 MB), 47× faster inference, and native calibrated probability outputs. On older Android devices common in our target population, BanglaBERT is impractical; MiniLM is feasible.</w:t>
      </w:r>
    </w:p>
    <w:p>
      <w:pPr>
        <w:spacing w:after="80" w:before="160"/>
      </w:pPr>
      <w:r>
        <w:rPr>
          <w:rFonts w:ascii="Garamond" w:cs="Garamond" w:eastAsia="Garamond" w:hAnsi="Garamond"/>
          <w:b/>
          <w:bCs/>
          <w:i/>
          <w:iCs/>
          <w:color w:val="5D6F8C"/>
          <w:sz w:val="22"/>
          <w:szCs w:val="22"/>
        </w:rPr>
        <w:t xml:space="preserve">Network Flow Anomaly Detector</w:t>
      </w:r>
    </w:p>
    <w:p>
      <w:pPr>
        <w:spacing w:after="120" w:before="60" w:line="280"/>
        <w:jc w:val="both"/>
      </w:pPr>
      <w:r>
        <w:rPr>
          <w:rFonts w:ascii="Garamond" w:cs="Garamond" w:eastAsia="Garamond" w:hAnsi="Garamond"/>
          <w:sz w:val="22"/>
          <w:szCs w:val="22"/>
        </w:rPr>
        <w:t xml:space="preserve">Operates on 80 CICFlowMeter features. Three components in parallel: (i) an XGBoost classifier trained on benign and three known malware families; (ii) FlowAE, a 128-dimensional symmetric autoencoder producing per-flow reconstruction error for zero-day detection; (iii) an IsolationForest producing the normalized anomaly probability ap. SCAREWARE flows are physically separated before training, providing a true zero-day evaluation.</w:t>
      </w:r>
    </w:p>
    <w:p>
      <w:pPr>
        <w:pStyle w:val="Heading2"/>
        <w:spacing w:after="100" w:before="240"/>
      </w:pPr>
      <w:r>
        <w:rPr>
          <w:rFonts w:ascii="Garamond" w:cs="Garamond" w:eastAsia="Garamond" w:hAnsi="Garamond"/>
          <w:b/>
          <w:bCs/>
          <w:color w:val="5D6F8C"/>
          <w:sz w:val="23"/>
          <w:szCs w:val="23"/>
        </w:rPr>
        <w:t xml:space="preserve">4.3   ECAFN: Context-Driven Fusion</w:t>
      </w:r>
    </w:p>
    <w:p>
      <w:pPr>
        <w:spacing w:after="120" w:before="60" w:line="280"/>
        <w:jc w:val="both"/>
      </w:pPr>
      <w:r>
        <w:rPr>
          <w:rFonts w:ascii="Garamond" w:cs="Garamond" w:eastAsia="Garamond" w:hAnsi="Garamond"/>
          <w:sz w:val="22"/>
          <w:szCs w:val="22"/>
        </w:rPr>
        <w:t xml:space="preserve">The 12-D context vector is grounded entirely in real Android device metadata available at inference time without any oracle information.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300"/>
        <w:gridCol w:w="3460"/>
      </w:tblGrid>
      <w:tr>
        <w:tc>
          <w:tcPr>
            <w:tcW w:type="dxa" w:w="4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w:t>
            </w:r>
          </w:p>
        </w:tc>
        <w:tc>
          <w:tcPr>
            <w:tcW w:type="dxa" w:w="18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Feature</w:t>
            </w:r>
          </w:p>
        </w:tc>
        <w:tc>
          <w:tcPr>
            <w:tcW w:type="dxa" w:w="33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What it captures</w:t>
            </w:r>
          </w:p>
        </w:tc>
        <w:tc>
          <w:tcPr>
            <w:tcW w:type="dxa" w:w="34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Why it matters for Rina</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app_trust</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Verified Bangladeshi app whitelist</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Real bKash = 0.0; com.bkash-fake.app = 0.90</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2</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port_trust</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Destination port risk</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HTTPS/443 = 0.0; Metasploit/4444 = 1.0</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3</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time_sin / cos</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Cyclical time-of-day encoding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3 am attacks more suspicious than 2 pm</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4</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bytes_lognorm</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Flow bytes (log)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Order-of-magnitude volume</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pkts_lognorm</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Packets per second (log)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Burst detection</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6</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duration_lognorm</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Flow duration (log)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Bursts vs sustained transfers</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proto_risk</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Protocol prior</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HTTPS 0.0, HTTP 0.3, ICMP 0.5</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mfs_context</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Transaction-in-progress flag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The most damaging window</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brand_impersonate</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MFS keyword in unverified pkg</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bKash-lookalike trigger</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10</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pp · ap</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Signal interaction</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Joint strength</w:t>
            </w:r>
          </w:p>
        </w:tc>
      </w:tr>
      <w:tr>
        <w:tc>
          <w:tcPr>
            <w:tcW w:type="dxa" w:w="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11</w:t>
            </w:r>
          </w:p>
        </w:tc>
        <w:tc>
          <w:tcPr>
            <w:tcW w:type="dxa" w:w="1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|pp − ap|</w:t>
            </w:r>
          </w:p>
        </w:tc>
        <w:tc>
          <w:tcPr>
            <w:tcW w:type="dxa" w:w="3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Signal conflict</w:t>
            </w:r>
          </w:p>
        </w:tc>
        <w:tc>
          <w:tcPr>
            <w:tcW w:type="dxa" w:w="34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Triggers context dominance</w:t>
            </w:r>
          </w:p>
        </w:tc>
      </w:tr>
    </w:tbl>
    <w:p>
      <w:pPr>
        <w:spacing w:after="200" w:before="60"/>
        <w:jc w:val="center"/>
      </w:pPr>
      <w:r>
        <w:rPr>
          <w:rFonts w:ascii="Garamond" w:cs="Garamond" w:eastAsia="Garamond" w:hAnsi="Garamond"/>
          <w:i/>
          <w:iCs/>
          <w:color w:val="7A7268"/>
          <w:sz w:val="19"/>
          <w:szCs w:val="19"/>
        </w:rPr>
        <w:t xml:space="preserve">Table 1.  The 12-dimensional context vector (dimensions 3–4 are paired sin/cos time encoding). Every dimension is computable from real PCAPdroid Android metadata.</w:t>
      </w:r>
    </w:p>
    <w:p>
      <w:pPr>
        <w:spacing w:after="80" w:before="160"/>
      </w:pPr>
      <w:r>
        <w:rPr>
          <w:rFonts w:ascii="Garamond" w:cs="Garamond" w:eastAsia="Garamond" w:hAnsi="Garamond"/>
          <w:b/>
          <w:bCs/>
          <w:i/>
          <w:iCs/>
          <w:color w:val="5D6F8C"/>
          <w:sz w:val="22"/>
          <w:szCs w:val="22"/>
        </w:rPr>
        <w:t xml:space="preserve">ReliabilityMLP — context before fusion</w:t>
      </w:r>
    </w:p>
    <w:p>
      <w:pPr>
        <w:spacing w:after="120" w:before="60" w:line="280"/>
        <w:jc w:val="both"/>
      </w:pPr>
      <w:r>
        <w:rPr>
          <w:rFonts w:ascii="Garamond" w:cs="Garamond" w:eastAsia="Garamond" w:hAnsi="Garamond"/>
          <w:sz w:val="22"/>
          <w:szCs w:val="22"/>
        </w:rPr>
        <w:t xml:space="preserve">A small network (1,946 parameters) maps the 12-D context to per-detector reliability weights: Linear(12,48) → LayerNorm → ReLU → Dropout(0.2) → Linear(48,24) → ReLU → Linear(24,2) → Sigmoid. This is the first point where context enters: trust in each detector is conditioned on deployment context. Calibrated signals are clipped: pp_c = clip(pp · r_pp, 0, 1) and ap_c = clip(ap · r_ap, 0, 1).</w:t>
      </w:r>
    </w:p>
    <w:p>
      <w:pPr>
        <w:spacing w:after="80" w:before="160"/>
      </w:pPr>
      <w:r>
        <w:rPr>
          <w:rFonts w:ascii="Garamond" w:cs="Garamond" w:eastAsia="Garamond" w:hAnsi="Garamond"/>
          <w:b/>
          <w:bCs/>
          <w:i/>
          <w:iCs/>
          <w:color w:val="5D6F8C"/>
          <w:sz w:val="22"/>
          <w:szCs w:val="22"/>
        </w:rPr>
        <w:t xml:space="preserve">Dempster–Shafer Evidence Combination</w:t>
      </w:r>
    </w:p>
    <w:p>
      <w:pPr>
        <w:spacing w:after="120" w:before="60" w:line="280"/>
        <w:jc w:val="both"/>
      </w:pPr>
      <w:r>
        <w:rPr>
          <w:rFonts w:ascii="Garamond" w:cs="Garamond" w:eastAsia="Garamond" w:hAnsi="Garamond"/>
          <w:sz w:val="22"/>
          <w:szCs w:val="22"/>
        </w:rPr>
        <w:t xml:space="preserve">DST combines calibrated detector beliefs under uncertainty. The conflict mass K quantifies disagreement. When K is low, detectors agree and belief bt is high; when K is high, disagreement is explicit and uncertainty propagates. Critically, DST alone is context-agnostic — the ablation in Section 6 establishes this is insufficient on hard cases.</w:t>
      </w:r>
    </w:p>
    <w:p>
      <w:pPr>
        <w:spacing w:after="80" w:before="160"/>
      </w:pPr>
      <w:r>
        <w:rPr>
          <w:rFonts w:ascii="Garamond" w:cs="Garamond" w:eastAsia="Garamond" w:hAnsi="Garamond"/>
          <w:b/>
          <w:bCs/>
          <w:i/>
          <w:iCs/>
          <w:color w:val="5D6F8C"/>
          <w:sz w:val="22"/>
          <w:szCs w:val="22"/>
        </w:rPr>
        <w:t xml:space="preserve">Cross-Attention Gated Fusion — context during fusion</w:t>
      </w:r>
    </w:p>
    <w:p>
      <w:pPr>
        <w:spacing w:after="120" w:before="60" w:line="280"/>
        <w:jc w:val="both"/>
      </w:pPr>
      <w:r>
        <w:rPr>
          <w:rFonts w:ascii="Garamond" w:cs="Garamond" w:eastAsia="Garamond" w:hAnsi="Garamond"/>
          <w:sz w:val="22"/>
          <w:szCs w:val="22"/>
        </w:rPr>
        <w:t xml:space="preserve">Context is the attention query; the (pp_c, ap_c) signal pair is the key and value. The attended output caf complements DST's belief. This is where context enters during fusion: when detectors disagree, context decides the outcome. The final decision uses a conflict-weighted blend — w = 1 − σ(5·|pp_c − ap_c|), final = w·bt + (1−w)·caf — so when signals agree, DST belief dominates; when they disagree, CGF takes over with full context access. Total CGF parameters: 561. Total ECAFN fusion overhead: 2,507 parameters, light enough for on-device deployment.</w:t>
      </w:r>
    </w:p>
    <w:p>
      <w:r>
        <w:br w:type="page"/>
      </w:r>
    </w:p>
    <w:p>
      <w:pPr>
        <w:pStyle w:val="Heading1"/>
        <w:spacing w:after="160" w:before="340"/>
      </w:pPr>
      <w:r>
        <w:rPr>
          <w:rFonts w:ascii="Garamond" w:cs="Garamond" w:eastAsia="Garamond" w:hAnsi="Garamond"/>
          <w:b/>
          <w:bCs/>
          <w:color w:val="3B4E6B"/>
          <w:sz w:val="26"/>
          <w:szCs w:val="26"/>
        </w:rPr>
        <w:t xml:space="preserve">5   Bilingual Alerting for Real Users</w:t>
      </w:r>
    </w:p>
    <w:p>
      <w:pPr>
        <w:pStyle w:val="Heading2"/>
        <w:spacing w:after="100" w:before="240"/>
      </w:pPr>
      <w:r>
        <w:rPr>
          <w:rFonts w:ascii="Garamond" w:cs="Garamond" w:eastAsia="Garamond" w:hAnsi="Garamond"/>
          <w:b/>
          <w:bCs/>
          <w:color w:val="5D6F8C"/>
          <w:sz w:val="23"/>
          <w:szCs w:val="23"/>
        </w:rPr>
        <w:t xml:space="preserve">5.1   Why Bangla Matters</w:t>
      </w:r>
    </w:p>
    <w:p>
      <w:pPr>
        <w:spacing w:after="120" w:before="60" w:line="280"/>
        <w:jc w:val="both"/>
      </w:pPr>
      <w:r>
        <w:rPr>
          <w:rFonts w:ascii="Garamond" w:cs="Garamond" w:eastAsia="Garamond" w:hAnsi="Garamond"/>
          <w:sz w:val="22"/>
          <w:szCs w:val="22"/>
        </w:rPr>
        <w:t xml:space="preserve">A technical English alert reading 'Warning: This URL has a high phishing probability score' is useless to Rina. The language is unfamiliar and the action she should take is unclear. SecureSpeak generates warnings in Bangla with short imperative language and iconography (red triangle, stop-hand icon) when risk is HIGH. English versions are produced in parallel for users who prefer English, for screen readers, and for log auditing.</w:t>
      </w:r>
    </w:p>
    <w:p>
      <w:pPr>
        <w:pStyle w:val="Heading2"/>
        <w:spacing w:after="100" w:before="240"/>
      </w:pPr>
      <w:r>
        <w:rPr>
          <w:rFonts w:ascii="Garamond" w:cs="Garamond" w:eastAsia="Garamond" w:hAnsi="Garamond"/>
          <w:b/>
          <w:bCs/>
          <w:color w:val="5D6F8C"/>
          <w:sz w:val="23"/>
          <w:szCs w:val="23"/>
        </w:rPr>
        <w:t xml:space="preserve">5.2   Warning Design</w:t>
      </w:r>
    </w:p>
    <w:p>
      <w:pPr>
        <w:spacing w:after="120" w:before="60" w:line="280"/>
        <w:jc w:val="both"/>
      </w:pPr>
      <w:r>
        <w:rPr>
          <w:rFonts w:ascii="Garamond" w:cs="Garamond" w:eastAsia="Garamond" w:hAnsi="Garamond"/>
          <w:sz w:val="22"/>
          <w:szCs w:val="22"/>
        </w:rPr>
        <w:t xml:space="preserve">The HIGH-risk Bangla template reads:</w:t>
      </w:r>
    </w:p>
    <w:p>
      <w:pPr>
        <w:pBdr>
          <w:top w:val="none" w:color="FFFFFF" w:sz="0"/>
          <w:bottom w:val="none" w:color="FFFFFF" w:sz="0"/>
        </w:pBdr>
        <w:shd w:fill="FAF6F0" w:val="clear"/>
        <w:spacing w:after="160" w:before="100" w:line="280"/>
        <w:ind w:left="460" w:right="460"/>
        <w:jc w:val="both"/>
      </w:pPr>
      <w:r>
        <w:rPr>
          <w:rFonts w:ascii="Garamond" w:cs="Garamond" w:eastAsia="Garamond" w:hAnsi="Garamond"/>
          <w:i/>
          <w:iCs/>
          <w:sz w:val="22"/>
          <w:szCs w:val="22"/>
        </w:rPr>
        <w:t xml:space="preserve">⚠️ সতর্কতা: এই লিংকটি ফিশিং হতে পারে। আপনার PIN দিবেন না। bKash এপে ফিরে যান।</w:t>
      </w:r>
    </w:p>
    <w:p>
      <w:pPr>
        <w:spacing w:after="120" w:before="60" w:line="280"/>
        <w:jc w:val="both"/>
      </w:pPr>
      <w:r>
        <w:rPr>
          <w:rFonts w:ascii="Garamond" w:cs="Garamond" w:eastAsia="Garamond" w:hAnsi="Garamond"/>
          <w:sz w:val="22"/>
          <w:szCs w:val="22"/>
        </w:rPr>
        <w:t xml:space="preserve">English equivalent: '⚠️ Caution: this link may be phishing. Do not give your PIN. Go back to the bKash app.' The Bangla version uses short imperative sentences and avoids security jargon. The MEDIUM-risk variant reframes prohibition ('do not') into caution ('be careful'). Key design choices: short imperatives rather than technical descriptions; MFS-brand specificity (references bKash, Nagad, Rocket by name, matching the user's mental model); cross-cultural iconography (red triangle for HIGH, yellow for MEDIUM); and offline-first rule-based templates covering all risk × MFS-context × attack-type combinations.</w:t>
      </w:r>
    </w:p>
    <w:p>
      <w:pPr>
        <w:pStyle w:val="Heading2"/>
        <w:spacing w:after="100" w:before="240"/>
      </w:pPr>
      <w:r>
        <w:rPr>
          <w:rFonts w:ascii="Garamond" w:cs="Garamond" w:eastAsia="Garamond" w:hAnsi="Garamond"/>
          <w:b/>
          <w:bCs/>
          <w:color w:val="5D6F8C"/>
          <w:sz w:val="23"/>
          <w:szCs w:val="23"/>
        </w:rPr>
        <w:t xml:space="preserve">5.3   Implementation</w:t>
      </w:r>
    </w:p>
    <w:p>
      <w:pPr>
        <w:spacing w:after="120" w:before="60" w:line="280"/>
        <w:jc w:val="both"/>
      </w:pPr>
      <w:r>
        <w:rPr>
          <w:rFonts w:ascii="Garamond" w:cs="Garamond" w:eastAsia="Garamond" w:hAnsi="Garamond"/>
          <w:sz w:val="22"/>
          <w:szCs w:val="22"/>
        </w:rPr>
        <w:t xml:space="preserve">The primary path uses Groq LLaMA 3.1-8B for context-specific phrasing ('you were about to enter your bKash PIN' vs 'you tapped a link from an SMS'). The offline fallback uses rule-based templates covering all critical scenarios. Both paths produce identical structure: icon + Bangla warning + recommended action.</w:t>
      </w:r>
    </w:p>
    <w:p>
      <w:pPr>
        <w:pStyle w:val="Heading2"/>
        <w:spacing w:after="100" w:before="240"/>
      </w:pPr>
      <w:r>
        <w:rPr>
          <w:rFonts w:ascii="Garamond" w:cs="Garamond" w:eastAsia="Garamond" w:hAnsi="Garamond"/>
          <w:b/>
          <w:bCs/>
          <w:color w:val="5D6F8C"/>
          <w:sz w:val="23"/>
          <w:szCs w:val="23"/>
        </w:rPr>
        <w:t xml:space="preserve">5.4   Limitation — No User Comprehension Study Yet</w:t>
      </w:r>
    </w:p>
    <w:p>
      <w:pPr>
        <w:spacing w:after="120" w:before="60" w:line="280"/>
        <w:jc w:val="both"/>
      </w:pPr>
      <w:r>
        <w:rPr>
          <w:rFonts w:ascii="Garamond" w:cs="Garamond" w:eastAsia="Garamond" w:hAnsi="Garamond"/>
          <w:sz w:val="22"/>
          <w:szCs w:val="22"/>
        </w:rPr>
        <w:t xml:space="preserve">This paper does not include a user comprehension study. We treat the user-facing layer as the natural subject of a parallel HCI study with formal IRB approval, recruitment from real bKash users in Dhaka neighborhoods, and qualitative assessment methodology under Dr. Nova Ahmed's HCI expertise. The warning design above is grounded in published HCI security guidelines for low-literacy populations [14, 16] and on Hasan et al.'s [15] findings on bKash user fraud perceptions. Empirical validation with Bangladeshi users is the immediate next step — the planned study design is detailed in Section 7.3.</w:t>
      </w:r>
    </w:p>
    <w:p>
      <w:r>
        <w:br w:type="page"/>
      </w:r>
    </w:p>
    <w:p>
      <w:pPr>
        <w:pStyle w:val="Heading1"/>
        <w:spacing w:after="160" w:before="340"/>
      </w:pPr>
      <w:r>
        <w:rPr>
          <w:rFonts w:ascii="Garamond" w:cs="Garamond" w:eastAsia="Garamond" w:hAnsi="Garamond"/>
          <w:b/>
          <w:bCs/>
          <w:color w:val="3B4E6B"/>
          <w:sz w:val="26"/>
          <w:szCs w:val="26"/>
        </w:rPr>
        <w:t xml:space="preserve">6   Evaluation</w:t>
      </w:r>
    </w:p>
    <w:p>
      <w:pPr>
        <w:pStyle w:val="Heading2"/>
        <w:spacing w:after="100" w:before="240"/>
      </w:pPr>
      <w:r>
        <w:rPr>
          <w:rFonts w:ascii="Garamond" w:cs="Garamond" w:eastAsia="Garamond" w:hAnsi="Garamond"/>
          <w:b/>
          <w:bCs/>
          <w:color w:val="5D6F8C"/>
          <w:sz w:val="23"/>
          <w:szCs w:val="23"/>
        </w:rPr>
        <w:t xml:space="preserve">6.1   Datasets and Leakage Protocol</w:t>
      </w:r>
    </w:p>
    <w:p>
      <w:pPr>
        <w:spacing w:after="120" w:before="60" w:line="280"/>
        <w:jc w:val="both"/>
      </w:pPr>
      <w:r>
        <w:rPr>
          <w:rFonts w:ascii="Garamond" w:cs="Garamond" w:eastAsia="Garamond" w:hAnsi="Garamond"/>
          <w:sz w:val="22"/>
          <w:szCs w:val="22"/>
        </w:rPr>
        <w:t xml:space="preserve">Table 2 summarizes the datasets. SCAREWARE flows are physically separated before any training; an assertion confirms zero overlap. PCAPdroid Bangladesh captures were collected under signed informed consent and anonymized before public release (hostnames SHA-256 hashed, IPv4 addresses masked to /24, packet payloads discarded at capture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60"/>
        <w:gridCol w:w="2300"/>
      </w:tblGrid>
      <w:tr>
        <w:tc>
          <w:tcPr>
            <w:tcW w:type="dxa" w:w="24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Dataset</w:t>
            </w:r>
          </w:p>
        </w:tc>
        <w:tc>
          <w:tcPr>
            <w:tcW w:type="dxa" w:w="28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Source</w:t>
            </w:r>
          </w:p>
        </w:tc>
        <w:tc>
          <w:tcPr>
            <w:tcW w:type="dxa" w:w="18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Size</w:t>
            </w:r>
          </w:p>
        </w:tc>
        <w:tc>
          <w:tcPr>
            <w:tcW w:type="dxa" w:w="23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Role</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StealthPhisher 2025</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Bangladesh-relevant phishing URLs</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~150,000 URLs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URL detector training</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BangalaBarta 2024</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Bangla SMS smishing corpus</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4,374 messages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SMS detector training</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CICMalAnal2017</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Android malware network flows</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400,000 flows (5 fams)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Network classifier + zero-day</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PCAPdroid Bangladesh</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6 volunteer Android devices, Dhaka</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52,118 real flows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Real-world FPR evaluation</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PhishTank BORDERLINE</w:t>
            </w:r>
          </w:p>
        </w:tc>
        <w:tc>
          <w:tcPr>
            <w:tcW w:type="dxa" w:w="28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Real ambiguous phishing, pp ∈ [0.30, 0.70]</w:t>
            </w:r>
          </w:p>
        </w:tc>
        <w:tc>
          <w:tcPr>
            <w:tcW w:type="dxa" w:w="18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194 URLs</w:t>
            </w:r>
          </w:p>
        </w:tc>
        <w:tc>
          <w:tcPr>
            <w:tcW w:type="dxa" w:w="2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Headline ECAFN evaluation</w:t>
            </w:r>
          </w:p>
        </w:tc>
      </w:tr>
    </w:tbl>
    <w:p>
      <w:pPr>
        <w:spacing w:after="200" w:before="60"/>
        <w:jc w:val="center"/>
      </w:pPr>
      <w:r>
        <w:rPr>
          <w:rFonts w:ascii="Garamond" w:cs="Garamond" w:eastAsia="Garamond" w:hAnsi="Garamond"/>
          <w:i/>
          <w:iCs/>
          <w:color w:val="7A7268"/>
          <w:sz w:val="19"/>
          <w:szCs w:val="19"/>
        </w:rPr>
        <w:t xml:space="preserve">Table 2.  Datasets. All evaluation uses real data — no synthetic score distributions.</w:t>
      </w:r>
    </w:p>
    <w:p>
      <w:pPr>
        <w:pStyle w:val="Heading2"/>
        <w:spacing w:after="100" w:before="240"/>
      </w:pPr>
      <w:r>
        <w:rPr>
          <w:rFonts w:ascii="Garamond" w:cs="Garamond" w:eastAsia="Garamond" w:hAnsi="Garamond"/>
          <w:b/>
          <w:bCs/>
          <w:color w:val="5D6F8C"/>
          <w:sz w:val="23"/>
          <w:szCs w:val="23"/>
        </w:rPr>
        <w:t xml:space="preserve">6.2   Component Detection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100"/>
        <w:gridCol w:w="1100"/>
        <w:gridCol w:w="1100"/>
        <w:gridCol w:w="1960"/>
      </w:tblGrid>
      <w:tr>
        <w:tc>
          <w:tcPr>
            <w:tcW w:type="dxa" w:w="17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Component</w:t>
            </w:r>
          </w:p>
        </w:tc>
        <w:tc>
          <w:tcPr>
            <w:tcW w:type="dxa" w:w="24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Dataset</w:t>
            </w:r>
          </w:p>
        </w:tc>
        <w:tc>
          <w:tcPr>
            <w:tcW w:type="dxa" w:w="11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Accuracy</w:t>
            </w:r>
          </w:p>
        </w:tc>
        <w:tc>
          <w:tcPr>
            <w:tcW w:type="dxa" w:w="11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F1</w:t>
            </w:r>
          </w:p>
        </w:tc>
        <w:tc>
          <w:tcPr>
            <w:tcW w:type="dxa" w:w="11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AUC</w:t>
            </w:r>
          </w:p>
        </w:tc>
        <w:tc>
          <w:tcPr>
            <w:tcW w:type="dxa" w:w="19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Validation</w:t>
            </w:r>
          </w:p>
        </w:tc>
      </w:tr>
      <w:tr>
        <w:tc>
          <w:tcPr>
            <w:tcW w:type="dxa" w:w="1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URL Phishing</w:t>
            </w:r>
          </w:p>
        </w:tc>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StealthPhisher 2025</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99.76%</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99.76%</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99.93%</w:t>
            </w:r>
          </w:p>
        </w:tc>
        <w:tc>
          <w:tcPr>
            <w:tcW w:type="dxa" w:w="19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5-fold F1: 99.64 ± 0.09%</w:t>
            </w:r>
          </w:p>
        </w:tc>
      </w:tr>
      <w:tr>
        <w:tc>
          <w:tcPr>
            <w:tcW w:type="dxa" w:w="17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Bangla SMS</w:t>
            </w:r>
          </w:p>
        </w:tc>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BangalaBarta 2024</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98.20%</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98.20%</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99.82%</w:t>
            </w:r>
          </w:p>
        </w:tc>
        <w:tc>
          <w:tcPr>
            <w:tcW w:type="dxa" w:w="19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MiniLM-L12 + LR</w:t>
            </w:r>
          </w:p>
        </w:tc>
      </w:tr>
    </w:tbl>
    <w:p>
      <w:pPr>
        <w:spacing w:after="200" w:before="60"/>
        <w:jc w:val="center"/>
      </w:pPr>
      <w:r>
        <w:rPr>
          <w:rFonts w:ascii="Garamond" w:cs="Garamond" w:eastAsia="Garamond" w:hAnsi="Garamond"/>
          <w:i/>
          <w:iCs/>
          <w:color w:val="7A7268"/>
          <w:sz w:val="19"/>
          <w:szCs w:val="19"/>
        </w:rPr>
        <w:t xml:space="preserve">Table 3.  Component-level metrics on held-out test splits.</w:t>
      </w:r>
    </w:p>
    <w:p>
      <w:pPr>
        <w:pStyle w:val="Heading2"/>
        <w:spacing w:after="100" w:before="240"/>
      </w:pPr>
      <w:r>
        <w:rPr>
          <w:rFonts w:ascii="Garamond" w:cs="Garamond" w:eastAsia="Garamond" w:hAnsi="Garamond"/>
          <w:b/>
          <w:bCs/>
          <w:color w:val="5D6F8C"/>
          <w:sz w:val="23"/>
          <w:szCs w:val="23"/>
        </w:rPr>
        <w:t xml:space="preserve">6.3   Real-World False Positive Rate</w:t>
      </w:r>
    </w:p>
    <w:p>
      <w:pPr>
        <w:spacing w:after="120" w:before="60" w:line="280"/>
        <w:jc w:val="both"/>
      </w:pPr>
      <w:r>
        <w:rPr>
          <w:rFonts w:ascii="Garamond" w:cs="Garamond" w:eastAsia="Garamond" w:hAnsi="Garamond"/>
          <w:sz w:val="22"/>
          <w:szCs w:val="22"/>
        </w:rPr>
        <w:t xml:space="preserve">SecureSpeak applied to all 52,118 real PCAPdroid Bangladesh flows produced </w:t>
      </w:r>
      <w:r>
        <w:rPr>
          <w:rFonts w:ascii="Garamond" w:cs="Garamond" w:eastAsia="Garamond" w:hAnsi="Garamond"/>
          <w:b/>
          <w:bCs/>
          <w:sz w:val="22"/>
          <w:szCs w:val="22"/>
        </w:rPr>
        <w:t xml:space="preserve">zero false positives</w:t>
      </w:r>
      <w:r>
        <w:rPr>
          <w:rFonts w:ascii="Garamond" w:cs="Garamond" w:eastAsia="Garamond" w:hAnsi="Garamond"/>
          <w:sz w:val="22"/>
          <w:szCs w:val="22"/>
        </w:rPr>
        <w:t xml:space="preserve"> (FPR = 0.00%). The Bangladesh-specific app_trust and port_trust dimensions correctly suppress legitimate bKash, Nagad, WhatsApp, Facebook, and YouTube traffic. </w:t>
      </w:r>
      <w:r>
        <w:rPr>
          <w:rFonts w:ascii="Garamond" w:cs="Garamond" w:eastAsia="Garamond" w:hAnsi="Garamond"/>
          <w:i/>
          <w:iCs/>
          <w:sz w:val="22"/>
          <w:szCs w:val="22"/>
        </w:rPr>
        <w:t xml:space="preserve">For Rina: during a full month of normal phone use — receiving her pension, calling her son, watching Bangla YouTube — SecureSpeak does not interrupt her once with a false alarm.</w:t>
      </w:r>
    </w:p>
    <w:p>
      <w:pPr>
        <w:pStyle w:val="Heading2"/>
        <w:spacing w:after="100" w:before="240"/>
      </w:pPr>
      <w:r>
        <w:rPr>
          <w:rFonts w:ascii="Garamond" w:cs="Garamond" w:eastAsia="Garamond" w:hAnsi="Garamond"/>
          <w:b/>
          <w:bCs/>
          <w:color w:val="5D6F8C"/>
          <w:sz w:val="23"/>
          <w:szCs w:val="23"/>
        </w:rPr>
        <w:t xml:space="preserve">6.4   BORDERLINE Evaluation (Headline)</w:t>
      </w:r>
    </w:p>
    <w:p>
      <w:pPr>
        <w:spacing w:after="120" w:before="60" w:line="280"/>
        <w:jc w:val="both"/>
      </w:pPr>
      <w:r>
        <w:rPr>
          <w:rFonts w:ascii="Garamond" w:cs="Garamond" w:eastAsia="Garamond" w:hAnsi="Garamond"/>
          <w:sz w:val="22"/>
          <w:szCs w:val="22"/>
        </w:rPr>
        <w:t xml:space="preserve">The central evaluation tests SecureSpeak on the hardest phishing cases: 194 real PhishTank URLs with ambiguous URL scores (pp ∈ [0.30, 0.70]), paired with real SCAREWARE network flows and 582 real PCAPdroid benign flows.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00"/>
        <w:gridCol w:w="1200"/>
        <w:gridCol w:w="1300"/>
        <w:gridCol w:w="2160"/>
      </w:tblGrid>
      <w:tr>
        <w:tc>
          <w:tcPr>
            <w:tcW w:type="dxa" w:w="24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Method</w:t>
            </w:r>
          </w:p>
        </w:tc>
        <w:tc>
          <w:tcPr>
            <w:tcW w:type="dxa" w:w="13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Detection</w:t>
            </w:r>
          </w:p>
        </w:tc>
        <w:tc>
          <w:tcPr>
            <w:tcW w:type="dxa" w:w="11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FPR</w:t>
            </w:r>
          </w:p>
        </w:tc>
        <w:tc>
          <w:tcPr>
            <w:tcW w:type="dxa" w:w="12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FNR</w:t>
            </w:r>
          </w:p>
        </w:tc>
        <w:tc>
          <w:tcPr>
            <w:tcW w:type="dxa" w:w="13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Accuracy</w:t>
            </w:r>
          </w:p>
        </w:tc>
        <w:tc>
          <w:tcPr>
            <w:tcW w:type="dxa" w:w="216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95% CI</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URL-only (pp ≥ 0.5)</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62.37%</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0.00%</w:t>
            </w:r>
          </w:p>
        </w:tc>
        <w:tc>
          <w:tcPr>
            <w:tcW w:type="dxa" w:w="1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37.63%</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w:t>
            </w:r>
          </w:p>
        </w:tc>
        <w:tc>
          <w:tcPr>
            <w:tcW w:type="dxa" w:w="21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[55.43%, 69.15%]</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DST-only (ablation)</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12.37%</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0.00%</w:t>
            </w:r>
          </w:p>
        </w:tc>
        <w:tc>
          <w:tcPr>
            <w:tcW w:type="dxa" w:w="1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87.63%</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78.09%</w:t>
            </w:r>
          </w:p>
        </w:tc>
        <w:tc>
          <w:tcPr>
            <w:tcW w:type="dxa" w:w="21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ECAFN learned fusion</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78.87%</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0.00%</w:t>
            </w:r>
          </w:p>
        </w:tc>
        <w:tc>
          <w:tcPr>
            <w:tcW w:type="dxa" w:w="1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21.13%</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w:t>
            </w:r>
          </w:p>
        </w:tc>
        <w:tc>
          <w:tcPr>
            <w:tcW w:type="dxa" w:w="21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[72.93%, 84.46%]</w:t>
            </w:r>
          </w:p>
        </w:tc>
      </w:tr>
      <w:tr>
        <w:tc>
          <w:tcPr>
            <w:tcW w:type="dxa" w:w="24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SecureSpeak full</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87.11%</w:t>
            </w:r>
          </w:p>
        </w:tc>
        <w:tc>
          <w:tcPr>
            <w:tcW w:type="dxa" w:w="11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0.00%</w:t>
            </w:r>
          </w:p>
        </w:tc>
        <w:tc>
          <w:tcPr>
            <w:tcW w:type="dxa" w:w="1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12.89%</w:t>
            </w:r>
          </w:p>
        </w:tc>
        <w:tc>
          <w:tcPr>
            <w:tcW w:type="dxa" w:w="13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96.78%</w:t>
            </w:r>
          </w:p>
        </w:tc>
        <w:tc>
          <w:tcPr>
            <w:tcW w:type="dxa" w:w="216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[82.23%, 91.79%]</w:t>
            </w:r>
          </w:p>
        </w:tc>
      </w:tr>
    </w:tbl>
    <w:p>
      <w:pPr>
        <w:spacing w:after="200" w:before="60"/>
        <w:jc w:val="center"/>
      </w:pPr>
      <w:r>
        <w:rPr>
          <w:rFonts w:ascii="Garamond" w:cs="Garamond" w:eastAsia="Garamond" w:hAnsi="Garamond"/>
          <w:i/>
          <w:iCs/>
          <w:color w:val="7A7268"/>
          <w:sz w:val="19"/>
          <w:szCs w:val="19"/>
        </w:rPr>
        <w:t xml:space="preserve">Table 4.  BORDERLINE evaluation. SecureSpeak full pipeline is the headline result. The DST-only ablation at 12.37% establishes that context-conditional cross-attention is essential.</w:t>
      </w:r>
    </w:p>
    <w:p>
      <w:pPr>
        <w:spacing w:after="120" w:before="60" w:line="280"/>
        <w:jc w:val="both"/>
      </w:pPr>
      <w:r>
        <w:rPr>
          <w:rFonts w:ascii="Garamond" w:cs="Garamond" w:eastAsia="Garamond" w:hAnsi="Garamond"/>
          <w:b/>
          <w:bCs/>
          <w:i/>
          <w:iCs/>
          <w:sz w:val="22"/>
          <w:szCs w:val="22"/>
        </w:rPr>
        <w:t xml:space="preserve">For Rina: </w:t>
      </w:r>
      <w:r>
        <w:rPr>
          <w:rFonts w:ascii="Garamond" w:cs="Garamond" w:eastAsia="Garamond" w:hAnsi="Garamond"/>
          <w:i/>
          <w:iCs/>
          <w:sz w:val="22"/>
          <w:szCs w:val="22"/>
        </w:rPr>
        <w:t xml:space="preserve">of 194 ambiguous phishing attacks that URL-only methods would have missed in 38% of cases, SecureSpeak would have warned her in 170 of them, while never falsely alarming her during normal bKash use. The 24 cases SecureSpeak misses are analyzed below.</w:t>
      </w:r>
    </w:p>
    <w:p>
      <w:pPr>
        <w:pStyle w:val="Heading2"/>
        <w:spacing w:after="100" w:before="240"/>
      </w:pPr>
      <w:r>
        <w:rPr>
          <w:rFonts w:ascii="Garamond" w:cs="Garamond" w:eastAsia="Garamond" w:hAnsi="Garamond"/>
          <w:b/>
          <w:bCs/>
          <w:color w:val="5D6F8C"/>
          <w:sz w:val="23"/>
          <w:szCs w:val="23"/>
        </w:rPr>
        <w:t xml:space="preserve">6.5   Conflict-Case Ablation</w:t>
      </w:r>
    </w:p>
    <w:p>
      <w:pPr>
        <w:spacing w:after="120" w:before="60" w:line="280"/>
        <w:jc w:val="both"/>
      </w:pPr>
      <w:r>
        <w:rPr>
          <w:rFonts w:ascii="Garamond" w:cs="Garamond" w:eastAsia="Garamond" w:hAnsi="Garamond"/>
          <w:sz w:val="22"/>
          <w:szCs w:val="22"/>
        </w:rPr>
        <w:t xml:space="preserve">To isolate the contribution of context-conditional cross-attention, we evaluate on conflict cases where URL and network signals are not both low (n=490):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c>
          <w:tcPr>
            <w:tcW w:type="dxa" w:w="32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Method</w:t>
            </w:r>
          </w:p>
        </w:tc>
        <w:tc>
          <w:tcPr>
            <w:tcW w:type="dxa" w:w="15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Accuracy</w:t>
            </w:r>
          </w:p>
        </w:tc>
        <w:tc>
          <w:tcPr>
            <w:tcW w:type="dxa" w:w="15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F1</w:t>
            </w:r>
          </w:p>
        </w:tc>
        <w:tc>
          <w:tcPr>
            <w:tcW w:type="dxa" w:w="15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FNR</w:t>
            </w:r>
          </w:p>
        </w:tc>
        <w:tc>
          <w:tcPr>
            <w:tcW w:type="dxa" w:w="1500"/>
            <w:tcBorders>
              <w:top w:val="single" w:color="C9C2B8" w:sz="1"/>
              <w:left w:val="single" w:color="C9C2B8" w:sz="1"/>
              <w:bottom w:val="single" w:color="C9C2B8" w:sz="1"/>
              <w:right w:val="single" w:color="C9C2B8" w:sz="1"/>
            </w:tcBorders>
            <w:shd w:fill="EFE8DC" w:val="clear"/>
            <w:tcMar>
              <w:top w:type="dxa" w:w="80"/>
              <w:left w:type="dxa" w:w="120"/>
              <w:bottom w:type="dxa" w:w="80"/>
              <w:right w:type="dxa" w:w="120"/>
            </w:tcMar>
          </w:tcPr>
          <w:p>
            <w:r>
              <w:rPr>
                <w:rFonts w:ascii="Garamond" w:cs="Garamond" w:eastAsia="Garamond" w:hAnsi="Garamond"/>
                <w:b/>
                <w:bCs/>
                <w:color w:val="3B4E6B"/>
                <w:sz w:val="19"/>
                <w:szCs w:val="19"/>
              </w:rPr>
              <w:t xml:space="preserve">FPR</w:t>
            </w:r>
          </w:p>
        </w:tc>
      </w:tr>
      <w:tr>
        <w:tc>
          <w:tcPr>
            <w:tcW w:type="dxa" w:w="3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DST-only</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15.3%</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26.6%</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84.7%</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w:t>
            </w:r>
          </w:p>
        </w:tc>
      </w:tr>
      <w:tr>
        <w:tc>
          <w:tcPr>
            <w:tcW w:type="dxa" w:w="3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Attention-Fusion only</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36.7%</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53.7%</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63.3%</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w:t>
            </w:r>
          </w:p>
        </w:tc>
      </w:tr>
      <w:tr>
        <w:tc>
          <w:tcPr>
            <w:tcW w:type="dxa" w:w="32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ECAFN (proposed)</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79.6%</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88.6%</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20.4%</w:t>
            </w:r>
          </w:p>
        </w:tc>
        <w:tc>
          <w:tcPr>
            <w:tcW w:type="dxa" w:w="1500"/>
            <w:tcBorders>
              <w:top w:val="single" w:color="C9C2B8" w:sz="1"/>
              <w:left w:val="single" w:color="C9C2B8" w:sz="1"/>
              <w:bottom w:val="single" w:color="C9C2B8" w:sz="1"/>
              <w:right w:val="single" w:color="C9C2B8" w:sz="1"/>
            </w:tcBorders>
            <w:tcMar>
              <w:top w:type="dxa" w:w="80"/>
              <w:left w:type="dxa" w:w="120"/>
              <w:bottom w:type="dxa" w:w="80"/>
              <w:right w:type="dxa" w:w="120"/>
            </w:tcMar>
          </w:tcPr>
          <w:p>
            <w:r>
              <w:rPr>
                <w:rFonts w:ascii="Garamond" w:cs="Garamond" w:eastAsia="Garamond" w:hAnsi="Garamond"/>
                <w:b w:val="false"/>
                <w:bCs w:val="false"/>
                <w:color w:val="1F1F1F"/>
                <w:sz w:val="19"/>
                <w:szCs w:val="19"/>
              </w:rPr>
              <w:t xml:space="preserve">0.0%</w:t>
            </w:r>
          </w:p>
        </w:tc>
      </w:tr>
    </w:tbl>
    <w:p>
      <w:pPr>
        <w:spacing w:after="200" w:before="60"/>
        <w:jc w:val="center"/>
      </w:pPr>
      <w:r>
        <w:rPr>
          <w:rFonts w:ascii="Garamond" w:cs="Garamond" w:eastAsia="Garamond" w:hAnsi="Garamond"/>
          <w:i/>
          <w:iCs/>
          <w:color w:val="7A7268"/>
          <w:sz w:val="19"/>
          <w:szCs w:val="19"/>
        </w:rPr>
        <w:t xml:space="preserve">Table 5.  Conflict-case ablation. Statistical significance versus both baselines: paired t-test and McNemar's test, p &lt; 0.001.</w:t>
      </w:r>
    </w:p>
    <w:p>
      <w:pPr>
        <w:spacing w:after="120" w:before="60" w:line="280"/>
        <w:jc w:val="both"/>
      </w:pPr>
      <w:r>
        <w:rPr>
          <w:rFonts w:ascii="Garamond" w:cs="Garamond" w:eastAsia="Garamond" w:hAnsi="Garamond"/>
          <w:sz w:val="22"/>
          <w:szCs w:val="22"/>
        </w:rPr>
        <w:t xml:space="preserve">The 79.6% → 15.3% gap between full ECAFN and DST-only is the technical proof of 'context first.' When URL and network signals are both inconclusive on BORDERLINE attacks, DST produces low belief without resolution. CGF, with access to the 12-D context vector, pushes attacks into the HIGH region even when </w:t>
      </w:r>
      <w:r>
        <w:rPr>
          <w:rFonts w:ascii="Garamond" w:cs="Garamond" w:eastAsia="Garamond" w:hAnsi="Garamond"/>
          <w:i/>
          <w:iCs/>
          <w:sz w:val="22"/>
          <w:szCs w:val="22"/>
        </w:rPr>
        <w:t xml:space="preserve">pp</w:t>
      </w:r>
      <w:r>
        <w:rPr>
          <w:rFonts w:ascii="Garamond" w:cs="Garamond" w:eastAsia="Garamond" w:hAnsi="Garamond"/>
          <w:sz w:val="22"/>
          <w:szCs w:val="22"/>
        </w:rPr>
        <w:t xml:space="preserve"> and </w:t>
      </w:r>
      <w:r>
        <w:rPr>
          <w:rFonts w:ascii="Garamond" w:cs="Garamond" w:eastAsia="Garamond" w:hAnsi="Garamond"/>
          <w:i/>
          <w:iCs/>
          <w:sz w:val="22"/>
          <w:szCs w:val="22"/>
        </w:rPr>
        <w:t xml:space="preserve">ap</w:t>
      </w:r>
      <w:r>
        <w:rPr>
          <w:rFonts w:ascii="Garamond" w:cs="Garamond" w:eastAsia="Garamond" w:hAnsi="Garamond"/>
          <w:sz w:val="22"/>
          <w:szCs w:val="22"/>
        </w:rPr>
        <w:t xml:space="preserve"> alone are inconclusive.</w:t>
      </w:r>
    </w:p>
    <w:p>
      <w:pPr>
        <w:pStyle w:val="Heading2"/>
        <w:spacing w:after="100" w:before="240"/>
      </w:pPr>
      <w:r>
        <w:rPr>
          <w:rFonts w:ascii="Garamond" w:cs="Garamond" w:eastAsia="Garamond" w:hAnsi="Garamond"/>
          <w:b/>
          <w:bCs/>
          <w:color w:val="5D6F8C"/>
          <w:sz w:val="23"/>
          <w:szCs w:val="23"/>
        </w:rPr>
        <w:t xml:space="preserve">6.6   SHAP Interpretability</w:t>
      </w:r>
    </w:p>
    <w:p>
      <w:pPr>
        <w:spacing w:after="120" w:before="60" w:line="280"/>
        <w:jc w:val="both"/>
      </w:pPr>
      <w:r>
        <w:rPr>
          <w:rFonts w:ascii="Garamond" w:cs="Garamond" w:eastAsia="Garamond" w:hAnsi="Garamond"/>
          <w:sz w:val="22"/>
          <w:szCs w:val="22"/>
        </w:rPr>
        <w:t xml:space="preserve">SHAP TreeExplainer on the 194 BORDERLINE URLs reveals that the top features driving URL classifier decisions are structural (slash_count 0.10, path_length 0.10, url_length 0.09, digit_ratio 0.08, url_entropy 0.08) rather than Bangladesh-specific brand keywords. This is expected and honest: BORDERLINE URLs are by definition the cases where brand keywords are absent or ambiguous. This finding motivates SecureSpeak's design — when URL features become generic-structural, the burden of disambiguation falls on the network signal and deployment context. ECAFN formalizes this division of labor architecturally.</w:t>
      </w:r>
    </w:p>
    <w:p>
      <w:pPr>
        <w:pStyle w:val="Heading2"/>
        <w:spacing w:after="100" w:before="240"/>
      </w:pPr>
      <w:r>
        <w:rPr>
          <w:rFonts w:ascii="Garamond" w:cs="Garamond" w:eastAsia="Garamond" w:hAnsi="Garamond"/>
          <w:b/>
          <w:bCs/>
          <w:color w:val="5D6F8C"/>
          <w:sz w:val="23"/>
          <w:szCs w:val="23"/>
        </w:rPr>
        <w:t xml:space="preserve">6.7   Zero-Day SCAREWARE Detection</w:t>
      </w:r>
    </w:p>
    <w:p>
      <w:pPr>
        <w:spacing w:after="120" w:before="60" w:line="280"/>
        <w:jc w:val="both"/>
      </w:pPr>
      <w:r>
        <w:rPr>
          <w:rFonts w:ascii="Garamond" w:cs="Garamond" w:eastAsia="Garamond" w:hAnsi="Garamond"/>
          <w:sz w:val="22"/>
          <w:szCs w:val="22"/>
        </w:rPr>
        <w:t xml:space="preserve">FlowAE applied to held-out SCAREWARE flows (never seen during training) achieved 3.01% detection at the 95th-percentile benign reconstruction threshold. Zero-day detection remains a limitation and future-work item — we report honestly rather than inflating through threshold optimization.</w:t>
      </w:r>
    </w:p>
    <w:p>
      <w:r>
        <w:br w:type="page"/>
      </w:r>
    </w:p>
    <w:p>
      <w:pPr>
        <w:pStyle w:val="Heading1"/>
        <w:spacing w:after="160" w:before="340"/>
      </w:pPr>
      <w:r>
        <w:rPr>
          <w:rFonts w:ascii="Garamond" w:cs="Garamond" w:eastAsia="Garamond" w:hAnsi="Garamond"/>
          <w:b/>
          <w:bCs/>
          <w:color w:val="3B4E6B"/>
          <w:sz w:val="26"/>
          <w:szCs w:val="26"/>
        </w:rPr>
        <w:t xml:space="preserve">7   Discussion</w:t>
      </w:r>
    </w:p>
    <w:p>
      <w:pPr>
        <w:pStyle w:val="Heading2"/>
        <w:spacing w:after="100" w:before="240"/>
      </w:pPr>
      <w:r>
        <w:rPr>
          <w:rFonts w:ascii="Garamond" w:cs="Garamond" w:eastAsia="Garamond" w:hAnsi="Garamond"/>
          <w:b/>
          <w:bCs/>
          <w:color w:val="5D6F8C"/>
          <w:sz w:val="23"/>
          <w:szCs w:val="23"/>
        </w:rPr>
        <w:t xml:space="preserve">7.1   Architecture as Values</w:t>
      </w:r>
    </w:p>
    <w:p>
      <w:pPr>
        <w:spacing w:after="120" w:before="60" w:line="280"/>
        <w:jc w:val="both"/>
      </w:pPr>
      <w:r>
        <w:rPr>
          <w:rFonts w:ascii="Garamond" w:cs="Garamond" w:eastAsia="Garamond" w:hAnsi="Garamond"/>
          <w:sz w:val="22"/>
          <w:szCs w:val="22"/>
        </w:rPr>
        <w:t xml:space="preserve">A phishing detector built without regard for who will use it encodes values by default: the population it was tested on, the metrics it optimizes, the deployment scenario it assumes. When that detector is deployed for Rina, those default values fail her in ways the deployer probably did not intend. SecureSpeak's architecture is an attempt to make those values explicit and choose them deliberately. Context is not auxiliary — it is the architecture. The user being protected is not a generic Western mobile user; she is Rina. The trade-off accepted is the engineering cost of a regional context vector for a population the global security market has systematically under-served. Whether this principle generalizes to other regional MFS ecosystems is an empirical question we have not yet answered, but the methodology of constructing a regional context vector is transferable.</w:t>
      </w:r>
    </w:p>
    <w:p>
      <w:pPr>
        <w:pStyle w:val="Heading2"/>
        <w:spacing w:after="100" w:before="240"/>
      </w:pPr>
      <w:r>
        <w:rPr>
          <w:rFonts w:ascii="Garamond" w:cs="Garamond" w:eastAsia="Garamond" w:hAnsi="Garamond"/>
          <w:b/>
          <w:bCs/>
          <w:color w:val="5D6F8C"/>
          <w:sz w:val="23"/>
          <w:szCs w:val="23"/>
        </w:rPr>
        <w:t xml:space="preserve">7.2   Limitations</w:t>
      </w:r>
    </w:p>
    <w:p>
      <w:pPr>
        <w:pStyle w:val="ListParagraph"/>
        <w:numPr>
          <w:ilvl w:val="0"/>
          <w:numId w:val="2"/>
        </w:numPr>
        <w:spacing w:after="60" w:before="40" w:line="280"/>
      </w:pPr>
      <w:r>
        <w:rPr>
          <w:rFonts w:ascii="Garamond" w:cs="Garamond" w:eastAsia="Garamond" w:hAnsi="Garamond"/>
          <w:b/>
          <w:bCs/>
          <w:sz w:val="22"/>
          <w:szCs w:val="22"/>
        </w:rPr>
        <w:t xml:space="preserve">No user comprehension study yet. </w:t>
      </w:r>
      <w:r>
        <w:rPr>
          <w:rFonts w:ascii="Garamond" w:cs="Garamond" w:eastAsia="Garamond" w:hAnsi="Garamond"/>
          <w:sz w:val="22"/>
          <w:szCs w:val="22"/>
        </w:rPr>
        <w:t xml:space="preserve">Warning design is grounded in published HCI guidelines but has not been empirically validated with Bangladeshi MFS users — the most significant gap relative to CHI standards.</w:t>
      </w:r>
    </w:p>
    <w:p>
      <w:pPr>
        <w:pStyle w:val="ListParagraph"/>
        <w:numPr>
          <w:ilvl w:val="0"/>
          <w:numId w:val="2"/>
        </w:numPr>
        <w:spacing w:after="60" w:before="40" w:line="280"/>
      </w:pPr>
      <w:r>
        <w:rPr>
          <w:rFonts w:ascii="Garamond" w:cs="Garamond" w:eastAsia="Garamond" w:hAnsi="Garamond"/>
          <w:b/>
          <w:bCs/>
          <w:sz w:val="22"/>
          <w:szCs w:val="22"/>
        </w:rPr>
        <w:t xml:space="preserve">Sample size. </w:t>
      </w:r>
      <w:r>
        <w:rPr>
          <w:rFonts w:ascii="Garamond" w:cs="Garamond" w:eastAsia="Garamond" w:hAnsi="Garamond"/>
          <w:sz w:val="22"/>
          <w:szCs w:val="22"/>
        </w:rPr>
        <w:t xml:space="preserve">194 BORDERLINE URLs is small for a headline result. Ongoing data collection targets 1,500+ via daily PhishTank scraping.</w:t>
      </w:r>
    </w:p>
    <w:p>
      <w:pPr>
        <w:pStyle w:val="ListParagraph"/>
        <w:numPr>
          <w:ilvl w:val="0"/>
          <w:numId w:val="2"/>
        </w:numPr>
        <w:spacing w:after="60" w:before="40" w:line="280"/>
      </w:pPr>
      <w:r>
        <w:rPr>
          <w:rFonts w:ascii="Garamond" w:cs="Garamond" w:eastAsia="Garamond" w:hAnsi="Garamond"/>
          <w:b/>
          <w:bCs/>
          <w:sz w:val="22"/>
          <w:szCs w:val="22"/>
        </w:rPr>
        <w:t xml:space="preserve">DST ablation conservatism. </w:t>
      </w:r>
      <w:r>
        <w:rPr>
          <w:rFonts w:ascii="Garamond" w:cs="Garamond" w:eastAsia="Garamond" w:hAnsi="Garamond"/>
          <w:sz w:val="22"/>
          <w:szCs w:val="22"/>
        </w:rPr>
        <w:t xml:space="preserve">The reported 12.37% reflects belief-only thresholding; a proper belief-plus-uncertainty grid search is expected to yield 50–65%. Even at the upper bound, the ECAFN contribution remains 14–29 pp.</w:t>
      </w:r>
    </w:p>
    <w:p>
      <w:pPr>
        <w:pStyle w:val="ListParagraph"/>
        <w:numPr>
          <w:ilvl w:val="0"/>
          <w:numId w:val="2"/>
        </w:numPr>
        <w:spacing w:after="60" w:before="40" w:line="280"/>
      </w:pPr>
      <w:r>
        <w:rPr>
          <w:rFonts w:ascii="Garamond" w:cs="Garamond" w:eastAsia="Garamond" w:hAnsi="Garamond"/>
          <w:b/>
          <w:bCs/>
          <w:sz w:val="22"/>
          <w:szCs w:val="22"/>
        </w:rPr>
        <w:t xml:space="preserve">SMS tier not yet fused. </w:t>
      </w:r>
      <w:r>
        <w:rPr>
          <w:rFonts w:ascii="Garamond" w:cs="Garamond" w:eastAsia="Garamond" w:hAnsi="Garamond"/>
          <w:sz w:val="22"/>
          <w:szCs w:val="22"/>
        </w:rPr>
        <w:t xml:space="preserve">The Bangla smishing detector is trained and evaluated independently but not yet integrated into the ECAFN fusion evaluation.</w:t>
      </w:r>
    </w:p>
    <w:p>
      <w:pPr>
        <w:pStyle w:val="ListParagraph"/>
        <w:numPr>
          <w:ilvl w:val="0"/>
          <w:numId w:val="2"/>
        </w:numPr>
        <w:spacing w:after="60" w:before="40" w:line="280"/>
      </w:pPr>
      <w:r>
        <w:rPr>
          <w:rFonts w:ascii="Garamond" w:cs="Garamond" w:eastAsia="Garamond" w:hAnsi="Garamond"/>
          <w:b/>
          <w:bCs/>
          <w:sz w:val="22"/>
          <w:szCs w:val="22"/>
        </w:rPr>
        <w:t xml:space="preserve">No external SOTA baselines. </w:t>
      </w:r>
      <w:r>
        <w:rPr>
          <w:rFonts w:ascii="Garamond" w:cs="Garamond" w:eastAsia="Garamond" w:hAnsi="Garamond"/>
          <w:sz w:val="22"/>
          <w:szCs w:val="22"/>
        </w:rPr>
        <w:t xml:space="preserve">URLTran, BanglaBERT smishing, and a Context-as-Features MLP baseline are planned. The last is the critical test of whether architectural treatment of context is necessary.</w:t>
      </w:r>
    </w:p>
    <w:p>
      <w:pPr>
        <w:pStyle w:val="ListParagraph"/>
        <w:numPr>
          <w:ilvl w:val="0"/>
          <w:numId w:val="2"/>
        </w:numPr>
        <w:spacing w:after="60" w:before="40" w:line="280"/>
      </w:pPr>
      <w:r>
        <w:rPr>
          <w:rFonts w:ascii="Garamond" w:cs="Garamond" w:eastAsia="Garamond" w:hAnsi="Garamond"/>
          <w:b/>
          <w:bCs/>
          <w:sz w:val="22"/>
          <w:szCs w:val="22"/>
        </w:rPr>
        <w:t xml:space="preserve">No deployed Android app. </w:t>
      </w:r>
      <w:r>
        <w:rPr>
          <w:rFonts w:ascii="Garamond" w:cs="Garamond" w:eastAsia="Garamond" w:hAnsi="Garamond"/>
          <w:sz w:val="22"/>
          <w:szCs w:val="22"/>
        </w:rPr>
        <w:t xml:space="preserve">The current work is a research pipeline; on-device latency and battery impact are unmeasured.</w:t>
      </w:r>
    </w:p>
    <w:p>
      <w:pPr>
        <w:pStyle w:val="Heading2"/>
        <w:spacing w:after="100" w:before="240"/>
      </w:pPr>
      <w:r>
        <w:rPr>
          <w:rFonts w:ascii="Garamond" w:cs="Garamond" w:eastAsia="Garamond" w:hAnsi="Garamond"/>
          <w:b/>
          <w:bCs/>
          <w:color w:val="5D6F8C"/>
          <w:sz w:val="23"/>
          <w:szCs w:val="23"/>
        </w:rPr>
        <w:t xml:space="preserve">7.3   Planned User Study</w:t>
      </w:r>
    </w:p>
    <w:p>
      <w:pPr>
        <w:pStyle w:val="ListParagraph"/>
        <w:numPr>
          <w:ilvl w:val="0"/>
          <w:numId w:val="2"/>
        </w:numPr>
        <w:spacing w:after="60" w:before="40" w:line="280"/>
      </w:pPr>
      <w:r>
        <w:rPr>
          <w:rFonts w:ascii="Garamond" w:cs="Garamond" w:eastAsia="Garamond" w:hAnsi="Garamond"/>
          <w:b/>
          <w:bCs/>
          <w:sz w:val="22"/>
          <w:szCs w:val="22"/>
        </w:rPr>
        <w:t xml:space="preserve">Participants: </w:t>
      </w:r>
      <w:r>
        <w:rPr>
          <w:rFonts w:ascii="Garamond" w:cs="Garamond" w:eastAsia="Garamond" w:hAnsi="Garamond"/>
          <w:sz w:val="22"/>
          <w:szCs w:val="22"/>
        </w:rPr>
        <w:t xml:space="preserve">20–30 Bangla-primary participants from Dhaka neighborhoods (Mohammadpur, Mirpur), including elderly bKash users and first-time smartphone owners, under NSU IRB approval.</w:t>
      </w:r>
    </w:p>
    <w:p>
      <w:pPr>
        <w:pStyle w:val="ListParagraph"/>
        <w:numPr>
          <w:ilvl w:val="0"/>
          <w:numId w:val="2"/>
        </w:numPr>
        <w:spacing w:after="60" w:before="40" w:line="280"/>
      </w:pPr>
      <w:r>
        <w:rPr>
          <w:rFonts w:ascii="Garamond" w:cs="Garamond" w:eastAsia="Garamond" w:hAnsi="Garamond"/>
          <w:b/>
          <w:bCs/>
          <w:sz w:val="22"/>
          <w:szCs w:val="22"/>
        </w:rPr>
        <w:t xml:space="preserve">Protocol: </w:t>
      </w:r>
      <w:r>
        <w:rPr>
          <w:rFonts w:ascii="Garamond" w:cs="Garamond" w:eastAsia="Garamond" w:hAnsi="Garamond"/>
          <w:sz w:val="22"/>
          <w:szCs w:val="22"/>
        </w:rPr>
        <w:t xml:space="preserve">8–10 warning scenarios (HIGH/MEDIUM/LOW risk; URL-only vs network-only vs both signals) on a representative Android device. Comprehension quiz, perceived urgency (1–7), intended action.</w:t>
      </w:r>
    </w:p>
    <w:p>
      <w:pPr>
        <w:pStyle w:val="ListParagraph"/>
        <w:numPr>
          <w:ilvl w:val="0"/>
          <w:numId w:val="2"/>
        </w:numPr>
        <w:spacing w:after="60" w:before="40" w:line="280"/>
      </w:pPr>
      <w:r>
        <w:rPr>
          <w:rFonts w:ascii="Garamond" w:cs="Garamond" w:eastAsia="Garamond" w:hAnsi="Garamond"/>
          <w:b/>
          <w:bCs/>
          <w:sz w:val="22"/>
          <w:szCs w:val="22"/>
        </w:rPr>
        <w:t xml:space="preserve">Measures: </w:t>
      </w:r>
      <w:r>
        <w:rPr>
          <w:rFonts w:ascii="Garamond" w:cs="Garamond" w:eastAsia="Garamond" w:hAnsi="Garamond"/>
          <w:sz w:val="22"/>
          <w:szCs w:val="22"/>
        </w:rPr>
        <w:t xml:space="preserve">Warning comprehension rate; false-alarm fatigue versus URL-only baseline; preference between LLM-generated and rule-based templates; think-aloud on Bangla wording choices.</w:t>
      </w:r>
    </w:p>
    <w:p>
      <w:pPr>
        <w:pStyle w:val="ListParagraph"/>
        <w:numPr>
          <w:ilvl w:val="0"/>
          <w:numId w:val="2"/>
        </w:numPr>
        <w:spacing w:after="60" w:before="40" w:line="280"/>
      </w:pPr>
      <w:r>
        <w:rPr>
          <w:rFonts w:ascii="Garamond" w:cs="Garamond" w:eastAsia="Garamond" w:hAnsi="Garamond"/>
          <w:b/>
          <w:bCs/>
          <w:sz w:val="22"/>
          <w:szCs w:val="22"/>
        </w:rPr>
        <w:t xml:space="preserve">Ethics: </w:t>
      </w:r>
      <w:r>
        <w:rPr>
          <w:rFonts w:ascii="Garamond" w:cs="Garamond" w:eastAsia="Garamond" w:hAnsi="Garamond"/>
          <w:sz w:val="22"/>
          <w:szCs w:val="22"/>
        </w:rPr>
        <w:t xml:space="preserve">Scenarios use fictional MFS-lookalike pages; no real credentials collected; all participants informed of study purpose.</w:t>
      </w:r>
    </w:p>
    <w:p>
      <w:pPr>
        <w:pStyle w:val="Heading2"/>
        <w:spacing w:after="100" w:before="240"/>
      </w:pPr>
      <w:r>
        <w:rPr>
          <w:rFonts w:ascii="Garamond" w:cs="Garamond" w:eastAsia="Garamond" w:hAnsi="Garamond"/>
          <w:b/>
          <w:bCs/>
          <w:color w:val="5D6F8C"/>
          <w:sz w:val="23"/>
          <w:szCs w:val="23"/>
        </w:rPr>
        <w:t xml:space="preserve">7.4   Design Implications</w:t>
      </w:r>
    </w:p>
    <w:p>
      <w:pPr>
        <w:pStyle w:val="ListParagraph"/>
        <w:numPr>
          <w:ilvl w:val="0"/>
          <w:numId w:val="2"/>
        </w:numPr>
        <w:spacing w:after="60" w:before="40" w:line="280"/>
      </w:pPr>
      <w:r>
        <w:rPr>
          <w:rFonts w:ascii="Garamond" w:cs="Garamond" w:eastAsia="Garamond" w:hAnsi="Garamond"/>
          <w:b/>
          <w:bCs/>
          <w:sz w:val="22"/>
          <w:szCs w:val="22"/>
        </w:rPr>
        <w:t xml:space="preserve">Design for the deployment, not the dataset. </w:t>
      </w:r>
      <w:r>
        <w:rPr>
          <w:rFonts w:ascii="Garamond" w:cs="Garamond" w:eastAsia="Garamond" w:hAnsi="Garamond"/>
          <w:sz w:val="22"/>
          <w:szCs w:val="22"/>
        </w:rPr>
        <w:t xml:space="preserve">Accuracy numbers measured on Western corpora do not predict performance for populations like Rina's. Regional context vectors are an engineering cost worth paying.</w:t>
      </w:r>
    </w:p>
    <w:p>
      <w:pPr>
        <w:pStyle w:val="ListParagraph"/>
        <w:numPr>
          <w:ilvl w:val="0"/>
          <w:numId w:val="2"/>
        </w:numPr>
        <w:spacing w:after="60" w:before="40" w:line="280"/>
      </w:pPr>
      <w:r>
        <w:rPr>
          <w:rFonts w:ascii="Garamond" w:cs="Garamond" w:eastAsia="Garamond" w:hAnsi="Garamond"/>
          <w:b/>
          <w:bCs/>
          <w:sz w:val="22"/>
          <w:szCs w:val="22"/>
        </w:rPr>
        <w:t xml:space="preserve">Bilingual is not a translation problem. </w:t>
      </w:r>
      <w:r>
        <w:rPr>
          <w:rFonts w:ascii="Garamond" w:cs="Garamond" w:eastAsia="Garamond" w:hAnsi="Garamond"/>
          <w:sz w:val="22"/>
          <w:szCs w:val="22"/>
        </w:rPr>
        <w:t xml:space="preserve">Warning effectiveness in Bangla requires rethinking language from scratch — not translating English security jargon.</w:t>
      </w:r>
    </w:p>
    <w:p>
      <w:pPr>
        <w:pStyle w:val="ListParagraph"/>
        <w:numPr>
          <w:ilvl w:val="0"/>
          <w:numId w:val="2"/>
        </w:numPr>
        <w:spacing w:after="60" w:before="40" w:line="280"/>
      </w:pPr>
      <w:r>
        <w:rPr>
          <w:rFonts w:ascii="Garamond" w:cs="Garamond" w:eastAsia="Garamond" w:hAnsi="Garamond"/>
          <w:b/>
          <w:bCs/>
          <w:sz w:val="22"/>
          <w:szCs w:val="22"/>
        </w:rPr>
        <w:t xml:space="preserve">False positive rate is the primary UX metric. </w:t>
      </w:r>
      <w:r>
        <w:rPr>
          <w:rFonts w:ascii="Garamond" w:cs="Garamond" w:eastAsia="Garamond" w:hAnsi="Garamond"/>
          <w:sz w:val="22"/>
          <w:szCs w:val="22"/>
        </w:rPr>
        <w:t xml:space="preserve">For daily-wage earners, a false alarm blocking a legitimate transaction is not friction — it is a barrier.</w:t>
      </w:r>
    </w:p>
    <w:p>
      <w:pPr>
        <w:pStyle w:val="ListParagraph"/>
        <w:numPr>
          <w:ilvl w:val="0"/>
          <w:numId w:val="2"/>
        </w:numPr>
        <w:spacing w:after="60" w:before="40" w:line="280"/>
      </w:pPr>
      <w:r>
        <w:rPr>
          <w:rFonts w:ascii="Garamond" w:cs="Garamond" w:eastAsia="Garamond" w:hAnsi="Garamond"/>
          <w:b/>
          <w:bCs/>
          <w:sz w:val="22"/>
          <w:szCs w:val="22"/>
        </w:rPr>
        <w:t xml:space="preserve">Architecture encodes who you are designing for. </w:t>
      </w:r>
      <w:r>
        <w:rPr>
          <w:rFonts w:ascii="Garamond" w:cs="Garamond" w:eastAsia="Garamond" w:hAnsi="Garamond"/>
          <w:sz w:val="22"/>
          <w:szCs w:val="22"/>
        </w:rPr>
        <w:t xml:space="preserve">If the most vulnerable users are not represented in how a system makes decisions, they will not be protected by it.</w:t>
      </w:r>
    </w:p>
    <w:p>
      <w:pPr>
        <w:pStyle w:val="Heading1"/>
        <w:spacing w:after="160" w:before="340"/>
      </w:pPr>
      <w:r>
        <w:rPr>
          <w:rFonts w:ascii="Garamond" w:cs="Garamond" w:eastAsia="Garamond" w:hAnsi="Garamond"/>
          <w:b/>
          <w:bCs/>
          <w:color w:val="3B4E6B"/>
          <w:sz w:val="26"/>
          <w:szCs w:val="26"/>
        </w:rPr>
        <w:t xml:space="preserve">8   Conclusion</w:t>
      </w:r>
    </w:p>
    <w:p>
      <w:pPr>
        <w:spacing w:after="120" w:before="60" w:line="280"/>
        <w:jc w:val="both"/>
      </w:pPr>
      <w:r>
        <w:rPr>
          <w:rFonts w:ascii="Garamond" w:cs="Garamond" w:eastAsia="Garamond" w:hAnsi="Garamond"/>
          <w:sz w:val="22"/>
          <w:szCs w:val="22"/>
        </w:rPr>
        <w:t xml:space="preserve">We presented SecureSpeak, a context-driven phishing and anomaly detection system for Bangladeshi MFS users, embodying a design principle we call putting people's context first. The principle is that a user's deployment context should drive how detector evidence is combined, not merely be folded in as features. SecureSpeak realizes this architecturally through ECAFN: a context-conditioned ReliabilityMLP, Dempster–Shafer evidence combination, and Cross-Attention Gated Fusion.</w:t>
      </w:r>
    </w:p>
    <w:p>
      <w:pPr>
        <w:spacing w:after="120" w:before="60" w:line="280"/>
        <w:jc w:val="both"/>
      </w:pPr>
      <w:r>
        <w:rPr>
          <w:rFonts w:ascii="Garamond" w:cs="Garamond" w:eastAsia="Garamond" w:hAnsi="Garamond"/>
          <w:sz w:val="22"/>
          <w:szCs w:val="22"/>
        </w:rPr>
        <w:t xml:space="preserve">Trained and evaluated on real data — real PhishTank phishing URLs, real CICMalAnal2017 malware flows, real PCAPdroid captures from six Bangladeshi volunteers — SecureSpeak achieves 87.11% detection at 0.00% FPR on the BORDERLINE evaluation (95% CI [82.23%, 91.79%]) and +16.50 percentage points over URL-only methods at the same zero false positive rate. A DST-only ablation establishes that context-conditional cross-attention is essential when detectors disagree.</w:t>
      </w:r>
    </w:p>
    <w:p>
      <w:pPr>
        <w:spacing w:after="120" w:before="60" w:line="280"/>
        <w:jc w:val="both"/>
      </w:pPr>
      <w:r>
        <w:rPr>
          <w:rFonts w:ascii="Garamond" w:cs="Garamond" w:eastAsia="Garamond" w:hAnsi="Garamond"/>
          <w:sz w:val="22"/>
          <w:szCs w:val="22"/>
        </w:rPr>
        <w:t xml:space="preserve">The missing piece is the user. The warning interface is designed for Rina, grounded in HCI security guidelines for low-literacy populations — but it has not yet been validated with Rina. That validation is the next step and the most important one.</w:t>
      </w:r>
    </w:p>
    <w:p>
      <w:pPr>
        <w:spacing w:after="120" w:before="60" w:line="280"/>
        <w:jc w:val="both"/>
      </w:pPr>
      <w:r>
        <w:rPr>
          <w:rFonts w:ascii="Garamond" w:cs="Garamond" w:eastAsia="Garamond" w:hAnsi="Garamond"/>
          <w:sz w:val="22"/>
          <w:szCs w:val="22"/>
        </w:rPr>
        <w:t xml:space="preserve">Beyond the numbers, the argument is conceptual: in regional security deployments where the most vulnerable users have the least margin for error, the architecture is a values statement. SecureSpeak is one principled answer for Bangladesh. We invite others to reinstantiate it for their own regional ecosystems and their own vulnerable users.</w:t>
      </w:r>
    </w:p>
    <w:p>
      <w:pPr>
        <w:pBdr>
          <w:top w:val="none" w:color="FFFFFF" w:sz="0"/>
          <w:bottom w:val="none" w:color="FFFFFF" w:sz="0"/>
        </w:pBdr>
        <w:shd w:fill="FAF6F0" w:val="clear"/>
        <w:spacing w:after="160" w:before="100" w:line="280"/>
        <w:ind w:left="460" w:right="460"/>
        <w:jc w:val="both"/>
      </w:pPr>
      <w:r>
        <w:rPr>
          <w:rFonts w:ascii="Garamond" w:cs="Garamond" w:eastAsia="Garamond" w:hAnsi="Garamond"/>
          <w:i/>
          <w:iCs/>
          <w:sz w:val="22"/>
          <w:szCs w:val="22"/>
        </w:rPr>
        <w:t xml:space="preserve">If SecureSpeak can prevent even one Rina — one pensioner, one daily-wage earner — from losing what she cannot afford to lose, that is the impact the architecture was designed to produce.</w:t>
      </w:r>
    </w:p>
    <w:p>
      <w:pPr>
        <w:pStyle w:val="Heading1"/>
        <w:spacing w:after="160" w:before="340"/>
      </w:pPr>
      <w:r>
        <w:rPr>
          <w:rFonts w:ascii="Garamond" w:cs="Garamond" w:eastAsia="Garamond" w:hAnsi="Garamond"/>
          <w:b/>
          <w:bCs/>
          <w:color w:val="3B4E6B"/>
          <w:sz w:val="26"/>
          <w:szCs w:val="26"/>
        </w:rPr>
        <w:t xml:space="preserve">Acknowledgments</w:t>
      </w:r>
    </w:p>
    <w:p>
      <w:pPr>
        <w:spacing w:after="120" w:before="60" w:line="280"/>
        <w:jc w:val="both"/>
      </w:pPr>
      <w:r>
        <w:rPr>
          <w:rFonts w:ascii="Garamond" w:cs="Garamond" w:eastAsia="Garamond" w:hAnsi="Garamond"/>
          <w:sz w:val="22"/>
          <w:szCs w:val="22"/>
        </w:rPr>
        <w:t xml:space="preserve">The authors thank Dr. Nova Ahmed for supervision of this CSE 498R Directed Research at North South University, and for the human-centered framing that shaped this work. We thank the six volunteer Bangladeshi Android device users who contributed PCAPdroid captures under informed consent. We thank the PhishTank community, the maintainers of CICMalAnal2017, and the BangalaBarta 2024 team for open dataset releases. We thank colleagues who provided multiple rounds of peer review that materially strengthened the framing, methodology, and honesty of this work.</w:t>
      </w:r>
    </w:p>
    <w:p>
      <w:pPr>
        <w:pStyle w:val="Heading1"/>
        <w:spacing w:after="160" w:before="340"/>
      </w:pPr>
      <w:r>
        <w:rPr>
          <w:rFonts w:ascii="Garamond" w:cs="Garamond" w:eastAsia="Garamond" w:hAnsi="Garamond"/>
          <w:b/>
          <w:bCs/>
          <w:color w:val="3B4E6B"/>
          <w:sz w:val="26"/>
          <w:szCs w:val="26"/>
        </w:rPr>
        <w:t xml:space="preserve">References</w:t>
      </w:r>
    </w:p>
    <w:p>
      <w:pPr>
        <w:spacing w:after="60" w:before="40" w:line="260"/>
        <w:ind w:left="360" w:hanging="360"/>
      </w:pPr>
      <w:r>
        <w:rPr>
          <w:rFonts w:ascii="Garamond" w:cs="Garamond" w:eastAsia="Garamond" w:hAnsi="Garamond"/>
          <w:sz w:val="20"/>
          <w:szCs w:val="20"/>
        </w:rPr>
        <w:t xml:space="preserve">[1] O. K. Sahingoz, E. Buber, O. Demir, and B. Diri. Machine learning based phishing detection from URLs. Expert Systems with Applications, 117:345–357, 2019.</w:t>
      </w:r>
    </w:p>
    <w:p>
      <w:pPr>
        <w:spacing w:after="60" w:before="40" w:line="260"/>
        <w:ind w:left="360" w:hanging="360"/>
      </w:pPr>
      <w:r>
        <w:rPr>
          <w:rFonts w:ascii="Garamond" w:cs="Garamond" w:eastAsia="Garamond" w:hAnsi="Garamond"/>
          <w:sz w:val="20"/>
          <w:szCs w:val="20"/>
        </w:rPr>
        <w:t xml:space="preserve">[2] H. Le, Q. Pham, D. Sahoo, and S. C. H. Hoi. URLNet: Learning a URL representation with deep learning for malicious URL detection. arXiv:1802.03162, 2018.</w:t>
      </w:r>
    </w:p>
    <w:p>
      <w:pPr>
        <w:spacing w:after="60" w:before="40" w:line="260"/>
        <w:ind w:left="360" w:hanging="360"/>
      </w:pPr>
      <w:r>
        <w:rPr>
          <w:rFonts w:ascii="Garamond" w:cs="Garamond" w:eastAsia="Garamond" w:hAnsi="Garamond"/>
          <w:sz w:val="20"/>
          <w:szCs w:val="20"/>
        </w:rPr>
        <w:t xml:space="preserve">[3] A. C. Bahnsen et al. Classifying phishing URLs using recurrent neural networks. In Proc. IEEE eCrime, 2017.</w:t>
      </w:r>
    </w:p>
    <w:p>
      <w:pPr>
        <w:spacing w:after="60" w:before="40" w:line="260"/>
        <w:ind w:left="360" w:hanging="360"/>
      </w:pPr>
      <w:r>
        <w:rPr>
          <w:rFonts w:ascii="Garamond" w:cs="Garamond" w:eastAsia="Garamond" w:hAnsi="Garamond"/>
          <w:sz w:val="20"/>
          <w:szCs w:val="20"/>
        </w:rPr>
        <w:t xml:space="preserve">[4] P. Maneriker et al. URLTran: Improving phishing URL detection using transformers. In Proc. IEEE MILCOM, 2021.</w:t>
      </w:r>
    </w:p>
    <w:p>
      <w:pPr>
        <w:spacing w:after="60" w:before="40" w:line="260"/>
        <w:ind w:left="360" w:hanging="360"/>
      </w:pPr>
      <w:r>
        <w:rPr>
          <w:rFonts w:ascii="Garamond" w:cs="Garamond" w:eastAsia="Garamond" w:hAnsi="Garamond"/>
          <w:sz w:val="20"/>
          <w:szCs w:val="20"/>
        </w:rPr>
        <w:t xml:space="preserve">[5] T. A. Almeida, J. M. G. Hidalgo, and A. Yamakami. Contributions to the study of SMS spam filtering. In Proc. ACM DocEng, 2011.</w:t>
      </w:r>
    </w:p>
    <w:p>
      <w:pPr>
        <w:spacing w:after="60" w:before="40" w:line="260"/>
        <w:ind w:left="360" w:hanging="360"/>
      </w:pPr>
      <w:r>
        <w:rPr>
          <w:rFonts w:ascii="Garamond" w:cs="Garamond" w:eastAsia="Garamond" w:hAnsi="Garamond"/>
          <w:sz w:val="20"/>
          <w:szCs w:val="20"/>
        </w:rPr>
        <w:t xml:space="preserve">[6] A. Bhattacharjee et al. BanglaBERT: Language model pretraining and benchmarks for low-resource language understanding in Bangla. In Proc. NAACL, 2022.</w:t>
      </w:r>
    </w:p>
    <w:p>
      <w:pPr>
        <w:spacing w:after="60" w:before="40" w:line="260"/>
        <w:ind w:left="360" w:hanging="360"/>
      </w:pPr>
      <w:r>
        <w:rPr>
          <w:rFonts w:ascii="Garamond" w:cs="Garamond" w:eastAsia="Garamond" w:hAnsi="Garamond"/>
          <w:sz w:val="20"/>
          <w:szCs w:val="20"/>
        </w:rPr>
        <w:t xml:space="preserve">[7] H. Sonowal and K. S. Kuppusamy. SmishX: A robust machine learning approach for SMS smishing detection. Computers &amp; Security, 2024.</w:t>
      </w:r>
    </w:p>
    <w:p>
      <w:pPr>
        <w:spacing w:after="60" w:before="40" w:line="260"/>
        <w:ind w:left="360" w:hanging="360"/>
      </w:pPr>
      <w:r>
        <w:rPr>
          <w:rFonts w:ascii="Garamond" w:cs="Garamond" w:eastAsia="Garamond" w:hAnsi="Garamond"/>
          <w:sz w:val="20"/>
          <w:szCs w:val="20"/>
        </w:rPr>
        <w:t xml:space="preserve">[8] G. Shafer. A Mathematical Theory of Evidence. Princeton University Press, 1976.</w:t>
      </w:r>
    </w:p>
    <w:p>
      <w:pPr>
        <w:spacing w:after="60" w:before="40" w:line="260"/>
        <w:ind w:left="360" w:hanging="360"/>
      </w:pPr>
      <w:r>
        <w:rPr>
          <w:rFonts w:ascii="Garamond" w:cs="Garamond" w:eastAsia="Garamond" w:hAnsi="Garamond"/>
          <w:sz w:val="20"/>
          <w:szCs w:val="20"/>
        </w:rPr>
        <w:t xml:space="preserve">[9] R. R. Yager. On the Dempster–Shafer framework and new combination rules. Information Sciences, 1987.</w:t>
      </w:r>
    </w:p>
    <w:p>
      <w:pPr>
        <w:spacing w:after="60" w:before="40" w:line="260"/>
        <w:ind w:left="360" w:hanging="360"/>
      </w:pPr>
      <w:r>
        <w:rPr>
          <w:rFonts w:ascii="Garamond" w:cs="Garamond" w:eastAsia="Garamond" w:hAnsi="Garamond"/>
          <w:sz w:val="20"/>
          <w:szCs w:val="20"/>
        </w:rPr>
        <w:t xml:space="preserve">[10] A. Vaswani et al. Attention is all you need. In Proc. NeurIPS, 2017.</w:t>
      </w:r>
    </w:p>
    <w:p>
      <w:pPr>
        <w:spacing w:after="60" w:before="40" w:line="260"/>
        <w:ind w:left="360" w:hanging="360"/>
      </w:pPr>
      <w:r>
        <w:rPr>
          <w:rFonts w:ascii="Garamond" w:cs="Garamond" w:eastAsia="Garamond" w:hAnsi="Garamond"/>
          <w:sz w:val="20"/>
          <w:szCs w:val="20"/>
        </w:rPr>
        <w:t xml:space="preserve">[11] Y.-H. Tsai et al. Multimodal Transformer for unaligned multimodal language sequences. In Proc. ACL, 2019.</w:t>
      </w:r>
    </w:p>
    <w:p>
      <w:pPr>
        <w:spacing w:after="60" w:before="40" w:line="260"/>
        <w:ind w:left="360" w:hanging="360"/>
      </w:pPr>
      <w:r>
        <w:rPr>
          <w:rFonts w:ascii="Garamond" w:cs="Garamond" w:eastAsia="Garamond" w:hAnsi="Garamond"/>
          <w:sz w:val="20"/>
          <w:szCs w:val="20"/>
        </w:rPr>
        <w:t xml:space="preserve">[12] M. Sakurada and T. Yairi. Anomaly detection using autoencoders with nonlinear dimensionality reduction. In Proc. ACM MLSDA, 2014.</w:t>
      </w:r>
    </w:p>
    <w:p>
      <w:pPr>
        <w:spacing w:after="60" w:before="40" w:line="260"/>
        <w:ind w:left="360" w:hanging="360"/>
      </w:pPr>
      <w:r>
        <w:rPr>
          <w:rFonts w:ascii="Garamond" w:cs="Garamond" w:eastAsia="Garamond" w:hAnsi="Garamond"/>
          <w:sz w:val="20"/>
          <w:szCs w:val="20"/>
        </w:rPr>
        <w:t xml:space="preserve">[13] A. H. Lashkari et al. Toward developing a systematic approach to generate benchmark Android malware datasets and classification. In Proc. IEEE ICCST, 2018.</w:t>
      </w:r>
    </w:p>
    <w:p>
      <w:pPr>
        <w:spacing w:after="60" w:before="40" w:line="260"/>
        <w:ind w:left="360" w:hanging="360"/>
      </w:pPr>
      <w:r>
        <w:rPr>
          <w:rFonts w:ascii="Garamond" w:cs="Garamond" w:eastAsia="Garamond" w:hAnsi="Garamond"/>
          <w:sz w:val="20"/>
          <w:szCs w:val="20"/>
        </w:rPr>
        <w:t xml:space="preserve">[14] B. Reaves et al. Mo(bile) money, mo(bile) problems: Analysis of branchless banking applications. In Proc. USENIX Security, 2017.</w:t>
      </w:r>
    </w:p>
    <w:p>
      <w:pPr>
        <w:spacing w:after="60" w:before="40" w:line="260"/>
        <w:ind w:left="360" w:hanging="360"/>
      </w:pPr>
      <w:r>
        <w:rPr>
          <w:rFonts w:ascii="Garamond" w:cs="Garamond" w:eastAsia="Garamond" w:hAnsi="Garamond"/>
          <w:sz w:val="20"/>
          <w:szCs w:val="20"/>
        </w:rPr>
        <w:t xml:space="preserve">[15] M. Hasan, S. Akter, and N. Ahmed. User perceptions of fraud in bKash: A qualitative study from Bangladesh. In Proc. ACM CHI Workshops, 2023.</w:t>
      </w:r>
    </w:p>
    <w:p>
      <w:pPr>
        <w:spacing w:after="60" w:before="40" w:line="260"/>
        <w:ind w:left="360" w:hanging="360"/>
      </w:pPr>
      <w:r>
        <w:rPr>
          <w:rFonts w:ascii="Garamond" w:cs="Garamond" w:eastAsia="Garamond" w:hAnsi="Garamond"/>
          <w:sz w:val="20"/>
          <w:szCs w:val="20"/>
        </w:rPr>
        <w:t xml:space="preserve">[16] N. Sambasivan et al. Privacy is not for me, it's for those rich women: Performative privacy practices on mobile phones by women in South Asia. In Proc. SOUPS, 2018.</w:t>
      </w:r>
    </w:p>
    <w:p>
      <w:pPr>
        <w:spacing w:after="60" w:before="40" w:line="260"/>
        <w:ind w:left="360" w:hanging="360"/>
      </w:pPr>
      <w:r>
        <w:rPr>
          <w:rFonts w:ascii="Garamond" w:cs="Garamond" w:eastAsia="Garamond" w:hAnsi="Garamond"/>
          <w:sz w:val="20"/>
          <w:szCs w:val="20"/>
        </w:rPr>
        <w:t xml:space="preserve">[17] N. Sambasivan et al. They don't leave us alone anywhere we go: Gender and digital abuse in South Asia. In Proc. CHI, 2019.</w:t>
      </w:r>
    </w:p>
    <w:p>
      <w:pPr>
        <w:spacing w:after="60" w:before="40" w:line="260"/>
        <w:ind w:left="360" w:hanging="360"/>
      </w:pPr>
      <w:r>
        <w:rPr>
          <w:rFonts w:ascii="Garamond" w:cs="Garamond" w:eastAsia="Garamond" w:hAnsi="Garamond"/>
          <w:sz w:val="20"/>
          <w:szCs w:val="20"/>
        </w:rPr>
        <w:t xml:space="preserve">[18] B. N. Schilit, N. Adams, and R. Want. Context-aware computing applications. In Proc. IEEE WMCSA, 1994.</w:t>
      </w:r>
    </w:p>
    <w:p>
      <w:pPr>
        <w:spacing w:after="60" w:before="40" w:line="260"/>
        <w:ind w:left="360" w:hanging="360"/>
      </w:pPr>
      <w:r>
        <w:rPr>
          <w:rFonts w:ascii="Garamond" w:cs="Garamond" w:eastAsia="Garamond" w:hAnsi="Garamond"/>
          <w:sz w:val="20"/>
          <w:szCs w:val="20"/>
        </w:rPr>
        <w:t xml:space="preserve">[19] A. K. Dey and G. D. Abowd. Towards a better understanding of context and context-awareness. In CHI Workshop on Context-Awareness, 2000.</w:t>
      </w:r>
    </w:p>
    <w:p>
      <w:pPr>
        <w:spacing w:after="60" w:before="40" w:line="260"/>
        <w:ind w:left="360" w:hanging="360"/>
      </w:pPr>
      <w:r>
        <w:rPr>
          <w:rFonts w:ascii="Garamond" w:cs="Garamond" w:eastAsia="Garamond" w:hAnsi="Garamond"/>
          <w:sz w:val="20"/>
          <w:szCs w:val="20"/>
        </w:rPr>
        <w:t xml:space="preserve">[20] D. Freeman et al. Who are you? A statistical approach to measuring user authenticity. In Proc. NDSS, 2016.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7A7268"/>
        <w:sz w:val="18"/>
        <w:szCs w:val="18"/>
      </w:rPr>
      <w:t xml:space="preserve">SecureSpeak — Draft  ·  </w:t>
    </w:r>
    <w:r>
      <w:rPr>
        <w:rFonts w:ascii="Garamond" w:cs="Garamond" w:eastAsia="Garamond" w:hAnsi="Garamond"/>
        <w:color w:val="7A72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80e042cd65778477f8dfc135424f324df36745.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2026-06-10T04:55:53.969Z</dcterms:created>
  <dcterms:modified xsi:type="dcterms:W3CDTF">2026-06-10T04:55:53.983Z</dcterms:modified>
</cp:coreProperties>
</file>

<file path=docProps/custom.xml><?xml version="1.0" encoding="utf-8"?>
<Properties xmlns="http://schemas.openxmlformats.org/officeDocument/2006/custom-properties" xmlns:vt="http://schemas.openxmlformats.org/officeDocument/2006/docPropsVTypes"/>
</file>