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Times New Roman" w:cs="Times New Roman" w:eastAsia="Times New Roman" w:hAnsi="Times New Roman"/>
          <w:b/>
          <w:bCs/>
          <w:color w:val="1a1a1a"/>
          <w:sz w:val="32"/>
          <w:szCs w:val="32"/>
        </w:rPr>
        <w:t xml:space="preserve">SecureSpeak: A Layered Detection System for Mobile Financial Service Fraud in Bangladesh, and What Its Evaluation Reveals About the Available Data</w:t>
      </w:r>
    </w:p>
    <w:p>
      <w:pPr>
        <w:spacing w:after="30"/>
        <w:jc w:val="center"/>
      </w:pPr>
      <w:r>
        <w:rPr>
          <w:rFonts w:ascii="Times New Roman" w:cs="Times New Roman" w:eastAsia="Times New Roman" w:hAnsi="Times New Roman"/>
          <w:color w:val="1a1a1a"/>
          <w:sz w:val="21"/>
          <w:szCs w:val="21"/>
        </w:rPr>
        <w:t xml:space="preserve">Khondokar Sajid, Abdul Alim Rakib, Sumaya Shimu Rima, Shakib Ahamed</w:t>
      </w:r>
    </w:p>
    <w:p>
      <w:pPr>
        <w:spacing w:after="20"/>
        <w:jc w:val="center"/>
      </w:pPr>
      <w:r>
        <w:rPr>
          <w:rFonts w:ascii="Times New Roman" w:cs="Times New Roman" w:eastAsia="Times New Roman" w:hAnsi="Times New Roman"/>
          <w:color w:val="5f5f5f"/>
          <w:sz w:val="18"/>
          <w:szCs w:val="18"/>
        </w:rPr>
        <w:t xml:space="preserve">Department of Electrical and Computer Engineering, North South University, Dhaka, Bangladesh</w:t>
      </w:r>
    </w:p>
    <w:p>
      <w:pPr>
        <w:spacing w:after="200"/>
        <w:jc w:val="center"/>
      </w:pPr>
      <w:r>
        <w:rPr>
          <w:rFonts w:ascii="Times New Roman" w:cs="Times New Roman" w:eastAsia="Times New Roman" w:hAnsi="Times New Roman"/>
          <w:i/>
          <w:iCs/>
          <w:color w:val="5f5f5f"/>
          <w:sz w:val="18"/>
          <w:szCs w:val="18"/>
        </w:rPr>
        <w:t xml:space="preserve">Supervised by Dr. Nova Ahmed</w:t>
      </w:r>
    </w:p>
    <w:p>
      <w:pPr>
        <w:pBdr>
          <w:bottom w:val="single" w:color="bcbcbc" w:sz="6"/>
        </w:pBdr>
        <w:spacing w:after="120"/>
      </w:pPr>
    </w:p>
    <w:p>
      <w:pPr>
        <w:spacing w:after="60"/>
      </w:pPr>
      <w:r>
        <w:rPr>
          <w:rFonts w:ascii="Times New Roman" w:cs="Times New Roman" w:eastAsia="Times New Roman" w:hAnsi="Times New Roman"/>
          <w:b/>
          <w:bCs/>
          <w:color w:val="1a1a1a"/>
          <w:sz w:val="23"/>
          <w:szCs w:val="23"/>
        </w:rPr>
        <w:t xml:space="preserve">Abstract</w:t>
      </w:r>
    </w:p>
    <w:p>
      <w:pPr>
        <w:spacing w:after="100" w:before="0" w:line="264"/>
        <w:jc w:val="both"/>
      </w:pPr>
      <w:r>
        <w:rPr>
          <w:rFonts w:ascii="Times New Roman" w:cs="Times New Roman" w:eastAsia="Times New Roman" w:hAnsi="Times New Roman"/>
          <w:color w:val="1a1a1a"/>
          <w:sz w:val="21"/>
          <w:szCs w:val="21"/>
        </w:rPr>
        <w:t xml:space="preserve">Mobile Financial Services (MFS) such as bKash, Nagad, and Rocket are critical financial infrastructure in Bangladesh, and their users—often elderly, first-time smartphone owners, or low-literacy remittance recipients—are disproportionately exposed to phishing and smishing. A national survey reports that roughly nine percent of MFS users have been defrauded, at an average loss on the order of nine thousand taka. We present SecureSpeak, a layered detection system combining a URL phishing detector, a Bangla/Banglish smishing classifier, and a network-flow anomaly detector behind a lightweight decision layer that produces bilingual, low-literacy warnings. We evaluate every text component under two split protocols and report both. The URL detector reaches 99.19% accuracy and 0.9976 ROC-AUC under a registered-domain-disjoint split with zero domain overlap, against 99.65% under a conventional random split; the small gap establishes generalization rather than sibling recognition. The Bangla smishing detector reaches 95.95% accuracy under a near-duplicate-disjoint split, against 97.84% under a random split, while its false-negative rate improves from 1.89% to 1.11%. Our principal findings, however, are negative and concern the evaluation data itself. Removing all four MFS-specific knowledge features changes URL accuracy by −0.0001 (95% CI [−0.0003, +0.0001], McNemar p = 0.508), and SHAP attribution on the reported model ranks those features 17th, 18th, 19th and 21st of 26. An audit explains why: the phishing corpus contains six MFS-brand URLs in a test set of 29,794, and the Bangla SMS benchmark is 56.5% exact duplicates, with 2,772 messages reducing to 1,028 distinct near-duplicate clusters. MFS-targeted attacks are largely absent from the corpora on which defences against them are evaluated. We report this in full, decline to make claims the data cannot support, and argue that constructing adequate evaluation corpora is a precondition for progress in this area.</w:t>
      </w:r>
    </w:p>
    <w:p>
      <w:pPr>
        <w:spacing w:after="160" w:before="0" w:line="264"/>
        <w:jc w:val="both"/>
      </w:pPr>
      <w:r>
        <w:rPr>
          <w:rFonts w:ascii="Times New Roman" w:cs="Times New Roman" w:eastAsia="Times New Roman" w:hAnsi="Times New Roman"/>
          <w:b/>
          <w:bCs/>
          <w:color w:val="1a1a1a"/>
          <w:sz w:val="18"/>
          <w:szCs w:val="18"/>
        </w:rPr>
        <w:t xml:space="preserve">Keywords: </w:t>
      </w:r>
      <w:r>
        <w:rPr>
          <w:rFonts w:ascii="Times New Roman" w:cs="Times New Roman" w:eastAsia="Times New Roman" w:hAnsi="Times New Roman"/>
          <w:color w:val="5f5f5f"/>
          <w:sz w:val="18"/>
          <w:szCs w:val="18"/>
        </w:rPr>
        <w:t xml:space="preserve">phishing detection, mobile financial services, smishing, Bangla NLP, evaluation methodology, dataset quality, data leakage, usable security, Bangladesh.</w:t>
      </w:r>
    </w:p>
    <w:p>
      <w:pPr>
        <w:pStyle w:val="Heading1"/>
        <w:spacing w:after="120" w:before="260"/>
      </w:pPr>
      <w:r>
        <w:rPr>
          <w:rFonts w:ascii="Times New Roman" w:cs="Times New Roman" w:eastAsia="Times New Roman" w:hAnsi="Times New Roman"/>
          <w:b/>
          <w:bCs/>
          <w:color w:val="1a1a1a"/>
          <w:sz w:val="26"/>
          <w:szCs w:val="26"/>
        </w:rPr>
        <w:t xml:space="preserve">1   Introduction</w:t>
      </w:r>
    </w:p>
    <w:p>
      <w:pPr>
        <w:spacing w:after="120" w:before="0" w:line="264"/>
        <w:jc w:val="both"/>
      </w:pPr>
      <w:r>
        <w:rPr>
          <w:rFonts w:ascii="Times New Roman" w:cs="Times New Roman" w:eastAsia="Times New Roman" w:hAnsi="Times New Roman"/>
          <w:color w:val="1a1a1a"/>
          <w:sz w:val="21"/>
          <w:szCs w:val="21"/>
        </w:rPr>
        <w:t xml:space="preserve">Mobile Financial Services have transformed financial inclusion in Bangladesh. Platforms such as bKash, Nagad, and Rocket now reach a large share of the adult population and carry everyday wages, remittances, and pensions. This growth has been accompanied by a persistent rise in fraud. A survey by the Policy Research Institute of Bangladesh found that roughly one in ten MFS users—about 9.3 percent—had been the victim of some form of fraud, with an average loss on the order of nine thousand taka, and that fear of fraud is a common reason non-users cite for avoiding MFS entirely [1]. The users at greatest risk—elderly pensioners, first-time smartphone owners, and rural remittance recipients—are precisely those least equipped to recognize a fraudulent link or a spoofed sender.</w:t>
      </w:r>
    </w:p>
    <w:p>
      <w:pPr>
        <w:spacing w:after="120" w:before="0" w:line="264"/>
        <w:jc w:val="both"/>
      </w:pPr>
      <w:r>
        <w:rPr>
          <w:rFonts w:ascii="Times New Roman" w:cs="Times New Roman" w:eastAsia="Times New Roman" w:hAnsi="Times New Roman"/>
          <w:color w:val="1a1a1a"/>
          <w:sz w:val="21"/>
          <w:szCs w:val="21"/>
        </w:rPr>
        <w:t xml:space="preserve">The threat is not hypothetical. SikkahBot, an Android malware campaign active since July 2024 and documented by Cyble Research and Intelligence Labs, impersonates official Bangladesh Education Board scholarship portals, intercepts SMS, abuses the Android Accessibility Service to autofill stolen PINs into bKash, Nagad, and Dutch-Bangla Bank apps, and executes offline USSD transactions, while maintaining low detection rates on public scanners [2]. Campaigns of this kind exploit a detection gap, because newly registered domains and repackaged apps evade blacklists and structure-based classifiers, and a comprehension gap, because a warning a low-literacy user cannot read or act upon provides no protection.</w:t>
      </w:r>
    </w:p>
    <w:p>
      <w:pPr>
        <w:spacing w:after="120" w:before="0" w:line="264"/>
        <w:jc w:val="both"/>
      </w:pPr>
      <w:r>
        <w:rPr>
          <w:rFonts w:ascii="Times New Roman" w:cs="Times New Roman" w:eastAsia="Times New Roman" w:hAnsi="Times New Roman"/>
          <w:color w:val="1a1a1a"/>
          <w:sz w:val="21"/>
          <w:szCs w:val="21"/>
        </w:rPr>
        <w:t xml:space="preserve">We built SecureSpeak to address both. What we report here is the system and an evaluation conducted under two commitments. The first is protocol rigor. Aggregate accuracy on a random split is a weak claim for text classification in this domain: phishing corpora contain many URLs per registered domain, and SMS corpora contain templated messages repeated at scale, so a random split places near-copies of test items into training. We therefore evaluate both text components under grouped, leakage-controlled protocols and report both numbers. The second commitment is that negative results are reported as prominently as positive ones.</w:t>
      </w:r>
    </w:p>
    <w:p>
      <w:pPr>
        <w:spacing w:after="120" w:before="0" w:line="264"/>
        <w:jc w:val="both"/>
      </w:pPr>
      <w:r>
        <w:rPr>
          <w:rFonts w:ascii="Times New Roman" w:cs="Times New Roman" w:eastAsia="Times New Roman" w:hAnsi="Times New Roman"/>
          <w:color w:val="1a1a1a"/>
          <w:sz w:val="21"/>
          <w:szCs w:val="21"/>
        </w:rPr>
        <w:t xml:space="preserve">That second commitment turned out to matter more than we anticipated. The MFS-specific knowledge features that motivated the system’s design produce no measurable accuracy benefit, and rank in the bottom third of the feature set by attribution. Investigating why led to a finding about the evaluation data rather than about our model: the phishing corpus we use, among the most current available, contains six MFS-brand URLs in a held-out set of 29,794, and the Bangla SMS benchmark is more than half exact duplicates. The attacks that cost Bangladeshi MFS users an average of nine thousand taka per incident are close to absent from the data the field uses to build defences against them. We consider establishing that fact, with measurements, to be this paper’s most useful contribution.</w:t>
      </w:r>
    </w:p>
    <w:p>
      <w:pPr>
        <w:spacing w:after="40" w:before="0" w:line="264"/>
        <w:jc w:val="both"/>
      </w:pPr>
      <w:r>
        <w:rPr>
          <w:rFonts w:ascii="Times New Roman" w:cs="Times New Roman" w:eastAsia="Times New Roman" w:hAnsi="Times New Roman"/>
          <w:b/>
          <w:bCs/>
          <w:color w:val="1a1a1a"/>
          <w:sz w:val="21"/>
          <w:szCs w:val="21"/>
        </w:rPr>
        <w:t xml:space="preserve">Contributions.</w:t>
      </w:r>
    </w:p>
    <w:p>
      <w:pPr>
        <w:pStyle w:val="ListParagraph"/>
        <w:numPr>
          <w:ilvl w:val="0"/>
          <w:numId w:val="1"/>
        </w:numPr>
        <w:spacing w:after="70" w:line="260"/>
        <w:jc w:val="both"/>
      </w:pPr>
      <w:r>
        <w:rPr>
          <w:rFonts w:ascii="Times New Roman" w:cs="Times New Roman" w:eastAsia="Times New Roman" w:hAnsi="Times New Roman"/>
          <w:color w:val="1a1a1a"/>
          <w:sz w:val="21"/>
          <w:szCs w:val="21"/>
        </w:rPr>
        <w:t xml:space="preserve">A URL phishing detector evaluated under a </w:t>
      </w:r>
      <w:r>
        <w:rPr>
          <w:rFonts w:ascii="Times New Roman" w:cs="Times New Roman" w:eastAsia="Times New Roman" w:hAnsi="Times New Roman"/>
          <w:b/>
          <w:bCs/>
          <w:color w:val="1a1a1a"/>
          <w:sz w:val="21"/>
          <w:szCs w:val="21"/>
        </w:rPr>
        <w:t xml:space="preserve">registered-domain-disjoint split</w:t>
      </w:r>
      <w:r>
        <w:rPr>
          <w:rFonts w:ascii="Times New Roman" w:cs="Times New Roman" w:eastAsia="Times New Roman" w:hAnsi="Times New Roman"/>
          <w:color w:val="1a1a1a"/>
          <w:sz w:val="21"/>
          <w:szCs w:val="21"/>
        </w:rPr>
        <w:t xml:space="preserve">, reaching 99.19% accuracy and 0.9976 ROC-AUC with zero domain overlap, against 99.65% under a random split. The 0.46% relative gap establishes generalization to unseen domains.</w:t>
      </w:r>
    </w:p>
    <w:p>
      <w:pPr>
        <w:pStyle w:val="ListParagraph"/>
        <w:numPr>
          <w:ilvl w:val="0"/>
          <w:numId w:val="1"/>
        </w:numPr>
        <w:spacing w:after="70" w:line="260"/>
        <w:jc w:val="both"/>
      </w:pPr>
      <w:r>
        <w:rPr>
          <w:rFonts w:ascii="Times New Roman" w:cs="Times New Roman" w:eastAsia="Times New Roman" w:hAnsi="Times New Roman"/>
          <w:color w:val="1a1a1a"/>
          <w:sz w:val="21"/>
          <w:szCs w:val="21"/>
        </w:rPr>
        <w:t xml:space="preserve">A Bangla/Banglish smishing classifier evaluated under a </w:t>
      </w:r>
      <w:r>
        <w:rPr>
          <w:rFonts w:ascii="Times New Roman" w:cs="Times New Roman" w:eastAsia="Times New Roman" w:hAnsi="Times New Roman"/>
          <w:b/>
          <w:bCs/>
          <w:color w:val="1a1a1a"/>
          <w:sz w:val="21"/>
          <w:szCs w:val="21"/>
        </w:rPr>
        <w:t xml:space="preserve">near-duplicate-disjoint split</w:t>
      </w:r>
      <w:r>
        <w:rPr>
          <w:rFonts w:ascii="Times New Roman" w:cs="Times New Roman" w:eastAsia="Times New Roman" w:hAnsi="Times New Roman"/>
          <w:color w:val="1a1a1a"/>
          <w:sz w:val="21"/>
          <w:szCs w:val="21"/>
        </w:rPr>
        <w:t xml:space="preserve">, reaching 95.95% accuracy against 97.84% under a random split, with false-negative rate improving from 1.89% to 1.11% under the stricter protocol.</w:t>
      </w:r>
    </w:p>
    <w:p>
      <w:pPr>
        <w:pStyle w:val="ListParagraph"/>
        <w:numPr>
          <w:ilvl w:val="0"/>
          <w:numId w:val="1"/>
        </w:numPr>
        <w:spacing w:after="70" w:line="260"/>
        <w:jc w:val="both"/>
      </w:pPr>
      <w:r>
        <w:rPr>
          <w:rFonts w:ascii="Times New Roman" w:cs="Times New Roman" w:eastAsia="Times New Roman" w:hAnsi="Times New Roman"/>
          <w:color w:val="1a1a1a"/>
          <w:sz w:val="21"/>
          <w:szCs w:val="21"/>
        </w:rPr>
        <w:t xml:space="preserve">Two convergent </w:t>
      </w:r>
      <w:r>
        <w:rPr>
          <w:rFonts w:ascii="Times New Roman" w:cs="Times New Roman" w:eastAsia="Times New Roman" w:hAnsi="Times New Roman"/>
          <w:b/>
          <w:bCs/>
          <w:color w:val="1a1a1a"/>
          <w:sz w:val="21"/>
          <w:szCs w:val="21"/>
        </w:rPr>
        <w:t xml:space="preserve">negative results</w:t>
      </w:r>
      <w:r>
        <w:rPr>
          <w:rFonts w:ascii="Times New Roman" w:cs="Times New Roman" w:eastAsia="Times New Roman" w:hAnsi="Times New Roman"/>
          <w:color w:val="1a1a1a"/>
          <w:sz w:val="21"/>
          <w:szCs w:val="21"/>
        </w:rPr>
        <w:t xml:space="preserve"> on the MFS-specific features: a null ablation (−0.0001, 95% CI [−0.0003, +0.0001], p = 0.508) and bottom-third SHAP attribution (ranks 17–21 of 26) on the model we report.</w:t>
      </w:r>
    </w:p>
    <w:p>
      <w:pPr>
        <w:pStyle w:val="ListParagraph"/>
        <w:numPr>
          <w:ilvl w:val="0"/>
          <w:numId w:val="1"/>
        </w:numPr>
        <w:spacing w:after="70" w:line="260"/>
        <w:jc w:val="both"/>
      </w:pPr>
      <w:r>
        <w:rPr>
          <w:rFonts w:ascii="Times New Roman" w:cs="Times New Roman" w:eastAsia="Times New Roman" w:hAnsi="Times New Roman"/>
          <w:color w:val="1a1a1a"/>
          <w:sz w:val="21"/>
          <w:szCs w:val="21"/>
        </w:rPr>
        <w:t xml:space="preserve">An </w:t>
      </w:r>
      <w:r>
        <w:rPr>
          <w:rFonts w:ascii="Times New Roman" w:cs="Times New Roman" w:eastAsia="Times New Roman" w:hAnsi="Times New Roman"/>
          <w:b/>
          <w:bCs/>
          <w:color w:val="1a1a1a"/>
          <w:sz w:val="21"/>
          <w:szCs w:val="21"/>
        </w:rPr>
        <w:t xml:space="preserve">audit of both evaluation corpora</w:t>
      </w:r>
      <w:r>
        <w:rPr>
          <w:rFonts w:ascii="Times New Roman" w:cs="Times New Roman" w:eastAsia="Times New Roman" w:hAnsi="Times New Roman"/>
          <w:color w:val="1a1a1a"/>
          <w:sz w:val="21"/>
          <w:szCs w:val="21"/>
        </w:rPr>
        <w:t xml:space="preserve"> that explains those results: 6 MFS-brand URLs in 29,794 test URLs, and 56.5% exact duplication in the 2,772-message Bangla SMS benchmark, reducing to 1,028 distinct clusters.</w:t>
      </w:r>
    </w:p>
    <w:p>
      <w:pPr>
        <w:pStyle w:val="ListParagraph"/>
        <w:numPr>
          <w:ilvl w:val="0"/>
          <w:numId w:val="1"/>
        </w:numPr>
        <w:spacing w:after="140" w:line="260"/>
        <w:jc w:val="both"/>
      </w:pPr>
      <w:r>
        <w:rPr>
          <w:rFonts w:ascii="Times New Roman" w:cs="Times New Roman" w:eastAsia="Times New Roman" w:hAnsi="Times New Roman"/>
          <w:color w:val="1a1a1a"/>
          <w:sz w:val="21"/>
          <w:szCs w:val="21"/>
        </w:rPr>
        <w:t xml:space="preserve">A </w:t>
      </w:r>
      <w:r>
        <w:rPr>
          <w:rFonts w:ascii="Times New Roman" w:cs="Times New Roman" w:eastAsia="Times New Roman" w:hAnsi="Times New Roman"/>
          <w:b/>
          <w:bCs/>
          <w:color w:val="1a1a1a"/>
          <w:sz w:val="21"/>
          <w:szCs w:val="21"/>
        </w:rPr>
        <w:t xml:space="preserve">lightweight, interpretable, updatable decision layer</w:t>
      </w:r>
      <w:r>
        <w:rPr>
          <w:rFonts w:ascii="Times New Roman" w:cs="Times New Roman" w:eastAsia="Times New Roman" w:hAnsi="Times New Roman"/>
          <w:color w:val="1a1a1a"/>
          <w:sz w:val="21"/>
          <w:szCs w:val="21"/>
        </w:rPr>
        <w:t xml:space="preserve"> with a bilingual low-literacy warning design, and an honest account of the network detector’s ceiling on unseen malware families and its domain shift on real Bangladeshi device traffic.</w:t>
      </w:r>
    </w:p>
    <w:p>
      <w:pPr>
        <w:pStyle w:val="Heading1"/>
        <w:spacing w:after="120" w:before="260"/>
      </w:pPr>
      <w:r>
        <w:rPr>
          <w:rFonts w:ascii="Times New Roman" w:cs="Times New Roman" w:eastAsia="Times New Roman" w:hAnsi="Times New Roman"/>
          <w:b/>
          <w:bCs/>
          <w:color w:val="1a1a1a"/>
          <w:sz w:val="26"/>
          <w:szCs w:val="26"/>
        </w:rPr>
        <w:t xml:space="preserve">2   Background and Threat Model</w:t>
      </w:r>
    </w:p>
    <w:p>
      <w:pPr>
        <w:pStyle w:val="Heading2"/>
        <w:spacing w:after="90" w:before="160"/>
      </w:pPr>
      <w:r>
        <w:rPr>
          <w:rFonts w:ascii="Times New Roman" w:cs="Times New Roman" w:eastAsia="Times New Roman" w:hAnsi="Times New Roman"/>
          <w:b/>
          <w:bCs/>
          <w:color w:val="1a1a1a"/>
          <w:sz w:val="23"/>
          <w:szCs w:val="23"/>
        </w:rPr>
        <w:t xml:space="preserve">2.1   Mobile Financial Services in Bangladesh</w:t>
      </w:r>
    </w:p>
    <w:p>
      <w:pPr>
        <w:spacing w:after="120" w:before="0" w:line="264"/>
        <w:jc w:val="both"/>
      </w:pPr>
      <w:r>
        <w:rPr>
          <w:rFonts w:ascii="Times New Roman" w:cs="Times New Roman" w:eastAsia="Times New Roman" w:hAnsi="Times New Roman"/>
          <w:color w:val="1a1a1a"/>
          <w:sz w:val="21"/>
          <w:szCs w:val="21"/>
        </w:rPr>
        <w:t xml:space="preserve">MFS in Bangladesh is not a convenience layer over conventional banking; for a large part of the population it is the primary channel for receiving wages and remittances and for making everyday payments. The survey that reports the fraud rate also records that the majority of surveyed users transact through bKash, with Nagad and Rocket following [1]. Adoption has outpaced security literacy: many users are first-time smartphone owners, operate on intermittent data connections, and rely on agents. These conditions make brand-impersonating attacks especially effective, because the user’s trust in a familiar brand name is itself the attack surface.</w:t>
      </w:r>
    </w:p>
    <w:p>
      <w:pPr>
        <w:pStyle w:val="Heading2"/>
        <w:spacing w:after="90" w:before="160"/>
      </w:pPr>
      <w:r>
        <w:rPr>
          <w:rFonts w:ascii="Times New Roman" w:cs="Times New Roman" w:eastAsia="Times New Roman" w:hAnsi="Times New Roman"/>
          <w:b/>
          <w:bCs/>
          <w:color w:val="1a1a1a"/>
          <w:sz w:val="23"/>
          <w:szCs w:val="23"/>
        </w:rPr>
        <w:t xml:space="preserve">2.2   Threat Model</w:t>
      </w:r>
    </w:p>
    <w:p>
      <w:pPr>
        <w:spacing w:after="120" w:before="0" w:line="264"/>
        <w:jc w:val="both"/>
      </w:pPr>
      <w:r>
        <w:rPr>
          <w:rFonts w:ascii="Times New Roman" w:cs="Times New Roman" w:eastAsia="Times New Roman" w:hAnsi="Times New Roman"/>
          <w:color w:val="1a1a1a"/>
          <w:sz w:val="21"/>
          <w:szCs w:val="21"/>
        </w:rPr>
        <w:t xml:space="preserve">We consider an attacker seeking to steal MFS credentials—a PIN or one-time password—or to induce a fraudulent transfer, through three vectors: phishing URLs delivered via SMS or messaging apps; Bangla or Banglish smishing messages creating urgency around an account, a prize, or a disbursement; and malicious applications that generate anomalous network activity once installed. Because a missed attack costs a user money while a false alarm is an annoyance, we treat false-negative rate as the primary cost throughout, and report it for every text component.</w:t>
      </w:r>
    </w:p>
    <w:p>
      <w:pPr>
        <w:spacing w:after="140" w:before="0" w:line="264"/>
        <w:jc w:val="both"/>
      </w:pPr>
      <w:r>
        <w:rPr>
          <w:rFonts w:ascii="Times New Roman" w:cs="Times New Roman" w:eastAsia="Times New Roman" w:hAnsi="Times New Roman"/>
          <w:b/>
          <w:bCs/>
          <w:color w:val="1a1a1a"/>
          <w:sz w:val="21"/>
          <w:szCs w:val="21"/>
        </w:rPr>
        <w:t xml:space="preserve">Out of scope. </w:t>
      </w:r>
      <w:r>
        <w:rPr>
          <w:rFonts w:ascii="Times New Roman" w:cs="Times New Roman" w:eastAsia="Times New Roman" w:hAnsi="Times New Roman"/>
          <w:color w:val="1a1a1a"/>
          <w:sz w:val="21"/>
          <w:szCs w:val="21"/>
        </w:rPr>
        <w:t xml:space="preserve">SecureSpeak does not address authorized-push-payment fraud, in which a user is socially engineered into willingly sending money and no technical artifact is malicious; insider fraud at the operator or agent level; or SIM-swap attacks. These require organizational or regulatory controls beyond an on-device detector.</w:t>
      </w:r>
    </w:p>
    <w:p>
      <w:pPr>
        <w:pStyle w:val="Heading1"/>
        <w:spacing w:after="120" w:before="260"/>
      </w:pPr>
      <w:r>
        <w:rPr>
          <w:rFonts w:ascii="Times New Roman" w:cs="Times New Roman" w:eastAsia="Times New Roman" w:hAnsi="Times New Roman"/>
          <w:b/>
          <w:bCs/>
          <w:color w:val="1a1a1a"/>
          <w:sz w:val="26"/>
          <w:szCs w:val="26"/>
        </w:rPr>
        <w:t xml:space="preserve">3   System Design</w:t>
      </w:r>
    </w:p>
    <w:p>
      <w:pPr>
        <w:spacing w:after="120" w:before="0" w:line="264"/>
        <w:jc w:val="both"/>
      </w:pPr>
      <w:r>
        <w:rPr>
          <w:rFonts w:ascii="Times New Roman" w:cs="Times New Roman" w:eastAsia="Times New Roman" w:hAnsi="Times New Roman"/>
          <w:color w:val="1a1a1a"/>
          <w:sz w:val="21"/>
          <w:szCs w:val="21"/>
        </w:rPr>
        <w:t xml:space="preserve">SecureSpeak is organized as three independent detectors feeding a single decision layer, as shown in Figure 1. The detectors are deliberately heterogeneous—a tree ensemble for URLs, a sentence-embedding classifier for SMS, and a flow-based detector for network traffic—because the three signals have different operating characteristics and different relevance depending on context.</w:t>
      </w:r>
    </w:p>
    <w:p>
      <w:pPr>
        <w:spacing w:after="0" w:before="40"/>
        <w:jc w:val="center"/>
      </w:pPr>
      <w:r>
        <w:drawing>
          <wp:inline distT="0" distB="0" distL="0" distR="0">
            <wp:extent cx="5334000" cy="2990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334000" cy="2990850"/>
                    </a:xfrm>
                    <a:prstGeom prst="rect">
                      <a:avLst/>
                    </a:prstGeom>
                  </pic:spPr>
                </pic:pic>
              </a:graphicData>
            </a:graphic>
          </wp:inline>
        </w:drawing>
      </w:r>
    </w:p>
    <w:p>
      <w:pPr>
        <w:spacing w:after="160" w:before="60"/>
        <w:jc w:val="center"/>
      </w:pPr>
      <w:r>
        <w:rPr>
          <w:rFonts w:ascii="Times New Roman" w:cs="Times New Roman" w:eastAsia="Times New Roman" w:hAnsi="Times New Roman"/>
          <w:i/>
          <w:iCs/>
          <w:color w:val="5f5f5f"/>
          <w:sz w:val="18"/>
          <w:szCs w:val="18"/>
        </w:rPr>
        <w:t xml:space="preserve">Figure 1: SecureSpeak architecture. Three detectors feed a context-aware decision layer that emits a three-zone outcome (SAFE / UNSURE / DANGER) and a bilingual, low-literacy warning.</w:t>
      </w:r>
    </w:p>
    <w:p>
      <w:pPr>
        <w:pStyle w:val="Heading2"/>
        <w:spacing w:after="90" w:before="160"/>
      </w:pPr>
      <w:r>
        <w:rPr>
          <w:rFonts w:ascii="Times New Roman" w:cs="Times New Roman" w:eastAsia="Times New Roman" w:hAnsi="Times New Roman"/>
          <w:b/>
          <w:bCs/>
          <w:color w:val="1a1a1a"/>
          <w:sz w:val="23"/>
          <w:szCs w:val="23"/>
        </w:rPr>
        <w:t xml:space="preserve">3.1   URL Phishing Detector</w:t>
      </w:r>
    </w:p>
    <w:p>
      <w:pPr>
        <w:spacing w:after="120" w:before="0" w:line="264"/>
        <w:jc w:val="both"/>
      </w:pPr>
      <w:r>
        <w:rPr>
          <w:rFonts w:ascii="Times New Roman" w:cs="Times New Roman" w:eastAsia="Times New Roman" w:hAnsi="Times New Roman"/>
          <w:color w:val="1a1a1a"/>
          <w:sz w:val="21"/>
          <w:szCs w:val="21"/>
        </w:rPr>
        <w:t xml:space="preserve">The URL detector engineers 26 numerical features from each URL string, grouped into lexical structure, domain risk, entropy, Bangladesh-specific signals, and structural patterns. Four features encode MFS domain knowledge: a brand-impersonation count over MFS and global brand tokens appearing in the registrable domain; a financial-keyword density feature calibrated for bKash, Nagad, and Rocket alongside generic banking terms; a free-hosting TLD indicator for the .tk/.ml/.ga/.cf/.gq/.pw cluster; and a broader high-risk TLD indicator. A Random Forest of 300 trees with balanced class weighting is trained on the StealthPhisher 2025 corpus [6]. Standardization is wrapped with the classifier in a single pipeline so normalization statistics are fitted only on training folds. SHAP values are computed with a tree explainer so that the features driving each decision can be passed to the warning generator.</w:t>
      </w:r>
    </w:p>
    <w:p>
      <w:pPr>
        <w:spacing w:after="120" w:before="0" w:line="264"/>
        <w:jc w:val="both"/>
      </w:pPr>
      <w:r>
        <w:rPr>
          <w:rFonts w:ascii="Times New Roman" w:cs="Times New Roman" w:eastAsia="Times New Roman" w:hAnsi="Times New Roman"/>
          <w:i/>
          <w:iCs/>
          <w:color w:val="1a1a1a"/>
          <w:sz w:val="21"/>
          <w:szCs w:val="21"/>
        </w:rPr>
        <w:t xml:space="preserve">Implementation note. </w:t>
      </w:r>
      <w:r>
        <w:rPr>
          <w:rFonts w:ascii="Times New Roman" w:cs="Times New Roman" w:eastAsia="Times New Roman" w:hAnsi="Times New Roman"/>
          <w:color w:val="1a1a1a"/>
          <w:sz w:val="21"/>
          <w:szCs w:val="21"/>
        </w:rPr>
        <w:t xml:space="preserve">The brand-impersonation feature tests brand tokens against the registrable domain without reference to a whitelist of official MFS domains. It therefore fires on the presence of a brand token in a domain, not on its presence in an unauthorized domain specifically. A whitelist-backed formulation would be stronger, and we treat the current one as a limitation rather than a contribution.</w:t>
      </w:r>
    </w:p>
    <w:p>
      <w:pPr>
        <w:pStyle w:val="Heading2"/>
        <w:spacing w:after="90" w:before="160"/>
      </w:pPr>
      <w:r>
        <w:rPr>
          <w:rFonts w:ascii="Times New Roman" w:cs="Times New Roman" w:eastAsia="Times New Roman" w:hAnsi="Times New Roman"/>
          <w:b/>
          <w:bCs/>
          <w:color w:val="1a1a1a"/>
          <w:sz w:val="23"/>
          <w:szCs w:val="23"/>
        </w:rPr>
        <w:t xml:space="preserve">3.2   Bangla/Banglish Smishing Detector</w:t>
      </w:r>
    </w:p>
    <w:p>
      <w:pPr>
        <w:spacing w:after="120" w:before="0" w:line="264"/>
        <w:jc w:val="both"/>
      </w:pPr>
      <w:r>
        <w:rPr>
          <w:rFonts w:ascii="Times New Roman" w:cs="Times New Roman" w:eastAsia="Times New Roman" w:hAnsi="Times New Roman"/>
          <w:color w:val="1a1a1a"/>
          <w:sz w:val="21"/>
          <w:szCs w:val="21"/>
        </w:rPr>
        <w:t xml:space="preserve">The SMS detector embeds each message with paraphrase-multilingual-MiniLM-L12-v2, which produces 384-dimensional sentence embeddings for more than fifty languages including Bangla, at a fraction of the inference cost of a full transformer such as mBERT or BanglaBERT [9]. This choice is deliberate: the target devices are mid-range Android phones, and an encoder that cannot run cheaply on such hardware cannot reach the users who need it. The embedding is concatenated with six handcrafted features—URL presence, MFS keyword presence, urgency keyword presence, normalized message length, exclamation density, and digit ratio—giving a 390-dimensional vector classified by logistic regression with the SAGA solver and balanced class weights. Logistic regression is chosen over a gradient-boosted ensemble because the corpus is small and a linear model over a rich embedding yields better-calibrated probabilities.</w:t>
      </w:r>
    </w:p>
    <w:p>
      <w:pPr>
        <w:pStyle w:val="Heading2"/>
        <w:spacing w:after="90" w:before="160"/>
      </w:pPr>
      <w:r>
        <w:rPr>
          <w:rFonts w:ascii="Times New Roman" w:cs="Times New Roman" w:eastAsia="Times New Roman" w:hAnsi="Times New Roman"/>
          <w:b/>
          <w:bCs/>
          <w:color w:val="1a1a1a"/>
          <w:sz w:val="23"/>
          <w:szCs w:val="23"/>
        </w:rPr>
        <w:t xml:space="preserve">3.3   Network Anomaly Detector</w:t>
      </w:r>
    </w:p>
    <w:p>
      <w:pPr>
        <w:spacing w:after="120" w:before="0" w:line="264"/>
        <w:jc w:val="both"/>
      </w:pPr>
      <w:r>
        <w:rPr>
          <w:rFonts w:ascii="Times New Roman" w:cs="Times New Roman" w:eastAsia="Times New Roman" w:hAnsi="Times New Roman"/>
          <w:color w:val="1a1a1a"/>
          <w:sz w:val="21"/>
          <w:szCs w:val="21"/>
        </w:rPr>
        <w:t xml:space="preserve">The network detector addresses post-click malware—applications that behave normally at install time but generate anomalous traffic afterward. A supervised Random Forest is trained on CICFlowMeter flow records from CICMalAnal2017. To estimate generalization to unseen families rather than within-distribution recognition, we withhold the SCAREWARE family entirely from all training using a family-level physical holdout, enforced by a runtime family-overlap assertion, following stricter protocols advocated for malware classification [12, 13]. An autoencoder trained only on benign flows provides a reconstruction-error signal intended to flag unseen families [14].</w:t>
      </w:r>
    </w:p>
    <w:p>
      <w:pPr>
        <w:pStyle w:val="Heading2"/>
        <w:spacing w:after="90" w:before="160"/>
      </w:pPr>
      <w:r>
        <w:rPr>
          <w:rFonts w:ascii="Times New Roman" w:cs="Times New Roman" w:eastAsia="Times New Roman" w:hAnsi="Times New Roman"/>
          <w:b/>
          <w:bCs/>
          <w:color w:val="1a1a1a"/>
          <w:sz w:val="23"/>
          <w:szCs w:val="23"/>
        </w:rPr>
        <w:t xml:space="preserve">3.4   Decision Layer and Bilingual Warnings</w:t>
      </w:r>
    </w:p>
    <w:p>
      <w:pPr>
        <w:spacing w:after="60" w:before="0" w:line="264"/>
        <w:jc w:val="both"/>
      </w:pPr>
      <w:r>
        <w:rPr>
          <w:rFonts w:ascii="Times New Roman" w:cs="Times New Roman" w:eastAsia="Times New Roman" w:hAnsi="Times New Roman"/>
          <w:color w:val="1a1a1a"/>
          <w:sz w:val="21"/>
          <w:szCs w:val="21"/>
        </w:rPr>
        <w:t xml:space="preserve">A lightweight decision layer combines detector outputs with two pieces of deployment context—the trust level of the originating application and the destination port—and maps the result to SAFE (silent), DANGER (block with a warning), or UNSURE (protect by default with a recognition-based prompt). The layer is intentionally not a monolithic learned model. It is interpretable per decision, since the outcome traces to specific signals and explicit context rules, and updatable without retraining, since a newly identified malicious port or package name can be added to the rules and immediately extends coverage. Warnings are generated in Bangla and English by a LLaMA 3.1-8B model conditioned on the risk level and the top contributing features, with a rule-based offline template fallback for users without connectivity.</w:t>
      </w:r>
    </w:p>
    <w:p>
      <w:pPr>
        <w:spacing w:after="140" w:before="0" w:line="264"/>
        <w:jc w:val="both"/>
      </w:pPr>
      <w:r>
        <w:rPr>
          <w:rFonts w:ascii="Times New Roman" w:cs="Times New Roman" w:eastAsia="Times New Roman" w:hAnsi="Times New Roman"/>
          <w:i/>
          <w:iCs/>
          <w:color w:val="1a1a1a"/>
          <w:sz w:val="21"/>
          <w:szCs w:val="21"/>
        </w:rPr>
        <w:t xml:space="preserve">We make no quantitative claim for this layer in this paper. </w:t>
      </w:r>
      <w:r>
        <w:rPr>
          <w:rFonts w:ascii="Times New Roman" w:cs="Times New Roman" w:eastAsia="Times New Roman" w:hAnsi="Times New Roman"/>
          <w:color w:val="1a1a1a"/>
          <w:sz w:val="21"/>
          <w:szCs w:val="21"/>
        </w:rPr>
        <w:t xml:space="preserve">Its updatability property is argued from construction rather than measured, and a controlled comparison against a learned fusion baseline is identified as ongoing work in Section 5.4.</w:t>
      </w:r>
    </w:p>
    <w:p>
      <w:pPr>
        <w:pStyle w:val="Heading1"/>
        <w:spacing w:after="120" w:before="260"/>
      </w:pPr>
      <w:r>
        <w:rPr>
          <w:rFonts w:ascii="Times New Roman" w:cs="Times New Roman" w:eastAsia="Times New Roman" w:hAnsi="Times New Roman"/>
          <w:b/>
          <w:bCs/>
          <w:color w:val="1a1a1a"/>
          <w:sz w:val="26"/>
          <w:szCs w:val="26"/>
        </w:rPr>
        <w:t xml:space="preserve">4   Evaluation</w:t>
      </w:r>
    </w:p>
    <w:p>
      <w:pPr>
        <w:spacing w:after="120" w:before="0" w:line="264"/>
        <w:jc w:val="both"/>
      </w:pPr>
      <w:r>
        <w:rPr>
          <w:rFonts w:ascii="Times New Roman" w:cs="Times New Roman" w:eastAsia="Times New Roman" w:hAnsi="Times New Roman"/>
          <w:color w:val="1a1a1a"/>
          <w:sz w:val="21"/>
          <w:szCs w:val="21"/>
        </w:rPr>
        <w:t xml:space="preserve">Every text component is evaluated under two protocols: a conventional random split, and a grouped split in which no group of near-identical items spans the train/test boundary. We report both, along with the group overlap that distinguishes them, so that the contribution of leakage to each headline number is visible rather than assumed away.</w:t>
      </w:r>
    </w:p>
    <w:p>
      <w:pPr>
        <w:pStyle w:val="Heading2"/>
        <w:spacing w:after="90" w:before="160"/>
      </w:pPr>
      <w:r>
        <w:rPr>
          <w:rFonts w:ascii="Times New Roman" w:cs="Times New Roman" w:eastAsia="Times New Roman" w:hAnsi="Times New Roman"/>
          <w:b/>
          <w:bCs/>
          <w:color w:val="1a1a1a"/>
          <w:sz w:val="23"/>
          <w:szCs w:val="23"/>
        </w:rPr>
        <w:t xml:space="preserve">4.1   URL Detector Under Two Split Protocols</w:t>
      </w:r>
    </w:p>
    <w:p>
      <w:pPr>
        <w:spacing w:after="100" w:before="0" w:line="264"/>
        <w:jc w:val="both"/>
      </w:pPr>
      <w:r>
        <w:rPr>
          <w:rFonts w:ascii="Times New Roman" w:cs="Times New Roman" w:eastAsia="Times New Roman" w:hAnsi="Times New Roman"/>
          <w:color w:val="1a1a1a"/>
          <w:sz w:val="21"/>
          <w:szCs w:val="21"/>
        </w:rPr>
        <w:t xml:space="preserve">The StealthPhisher 2025 corpus [6] contains 336,749 URLs in total; we use the first 150,000 (71,676 legitimate, 78,324 phishing), a 47.8/52.2 class balance identical to that of the full corpus. These 150,000 URLs are drawn from 91,674 distinct registered domains, an average of 1.64 URLs per domain, with the ten most frequent domains accounting for 19.76% of all rows. The corpus contains no exact duplicate URLs. Because domains repeat, a random split places siblings of many test URLs into training, and the resulting accuracy partly measures sibling recognition. Table 1 reports a stratified random split alongside a split grouped on registered domain.</w:t>
      </w:r>
    </w:p>
    <w:tbl>
      <w:tblPr>
        <w:tblW w:type="dxa" w:w="9450"/>
        <w:tblBorders>
          <w:top w:val="none" w:color="FFFFFF" w:sz="0"/>
          <w:left w:val="none" w:color="FFFFFF" w:sz="0"/>
          <w:bottom w:val="none" w:color="FFFFFF" w:sz="0"/>
          <w:right w:val="none" w:color="FFFFFF" w:sz="0"/>
          <w:insideH w:val="none" w:color="FFFFFF" w:sz="0"/>
          <w:insideV w:val="none" w:color="FFFFFF" w:sz="0"/>
        </w:tblBorders>
      </w:tblPr>
      <w:tblGrid>
        <w:gridCol w:w="2400"/>
        <w:gridCol w:w="1100"/>
        <w:gridCol w:w="1200"/>
        <w:gridCol w:w="1150"/>
        <w:gridCol w:w="1150"/>
        <w:gridCol w:w="1150"/>
        <w:gridCol w:w="1300"/>
      </w:tblGrid>
      <w:tr>
        <w:trPr>
          <w:tblHeader/>
        </w:trPr>
        <w:tc>
          <w:tcPr>
            <w:tcW w:type="dxa" w:w="2400"/>
            <w:shd w:fill="f0f0f0" w:color="auto" w:val="clear"/>
            <w:tcMar>
              <w:top w:type="dxa" w:w="40"/>
              <w:left w:type="dxa" w:w="90"/>
              <w:bottom w:type="dxa" w:w="40"/>
              <w:right w:type="dxa" w:w="90"/>
            </w:tcMar>
          </w:tcPr>
          <w:p>
            <w:pPr>
              <w:spacing w:after="0" w:line="240"/>
              <w:jc w:val="left"/>
            </w:pPr>
            <w:r>
              <w:rPr>
                <w:rFonts w:ascii="Times New Roman" w:cs="Times New Roman" w:eastAsia="Times New Roman" w:hAnsi="Times New Roman"/>
                <w:b/>
                <w:bCs/>
                <w:color w:val="1a1a1a"/>
                <w:sz w:val="18"/>
                <w:szCs w:val="18"/>
              </w:rPr>
              <w:t xml:space="preserve">Split protocol</w:t>
            </w:r>
          </w:p>
        </w:tc>
        <w:tc>
          <w:tcPr>
            <w:tcW w:type="dxa" w:w="1100"/>
            <w:shd w:fill="f0f0f0" w:color="auto" w:val="clear"/>
            <w:tcMar>
              <w:top w:type="dxa" w:w="40"/>
              <w:left w:type="dxa" w:w="90"/>
              <w:bottom w:type="dxa" w:w="40"/>
              <w:right w:type="dxa" w:w="90"/>
            </w:tcMar>
          </w:tcPr>
          <w:p>
            <w:pPr>
              <w:spacing w:after="0" w:line="240"/>
              <w:jc w:val="center"/>
            </w:pPr>
            <w:r>
              <w:rPr>
                <w:rFonts w:ascii="Times New Roman" w:cs="Times New Roman" w:eastAsia="Times New Roman" w:hAnsi="Times New Roman"/>
                <w:b/>
                <w:bCs/>
                <w:color w:val="1a1a1a"/>
                <w:sz w:val="18"/>
                <w:szCs w:val="18"/>
              </w:rPr>
              <w:t xml:space="preserve">n (test)</w:t>
            </w:r>
          </w:p>
        </w:tc>
        <w:tc>
          <w:tcPr>
            <w:tcW w:type="dxa" w:w="1200"/>
            <w:shd w:fill="f0f0f0" w:color="auto" w:val="clear"/>
            <w:tcMar>
              <w:top w:type="dxa" w:w="40"/>
              <w:left w:type="dxa" w:w="90"/>
              <w:bottom w:type="dxa" w:w="40"/>
              <w:right w:type="dxa" w:w="90"/>
            </w:tcMar>
          </w:tcPr>
          <w:p>
            <w:pPr>
              <w:spacing w:after="0" w:line="240"/>
              <w:jc w:val="center"/>
            </w:pPr>
            <w:r>
              <w:rPr>
                <w:rFonts w:ascii="Times New Roman" w:cs="Times New Roman" w:eastAsia="Times New Roman" w:hAnsi="Times New Roman"/>
                <w:b/>
                <w:bCs/>
                <w:color w:val="1a1a1a"/>
                <w:sz w:val="18"/>
                <w:szCs w:val="18"/>
              </w:rPr>
              <w:t xml:space="preserve">Accuracy</w:t>
            </w:r>
          </w:p>
        </w:tc>
        <w:tc>
          <w:tcPr>
            <w:tcW w:type="dxa" w:w="1150"/>
            <w:shd w:fill="f0f0f0" w:color="auto" w:val="clear"/>
            <w:tcMar>
              <w:top w:type="dxa" w:w="40"/>
              <w:left w:type="dxa" w:w="90"/>
              <w:bottom w:type="dxa" w:w="40"/>
              <w:right w:type="dxa" w:w="90"/>
            </w:tcMar>
          </w:tcPr>
          <w:p>
            <w:pPr>
              <w:spacing w:after="0" w:line="240"/>
              <w:jc w:val="center"/>
            </w:pPr>
            <w:r>
              <w:rPr>
                <w:rFonts w:ascii="Times New Roman" w:cs="Times New Roman" w:eastAsia="Times New Roman" w:hAnsi="Times New Roman"/>
                <w:b/>
                <w:bCs/>
                <w:color w:val="1a1a1a"/>
                <w:sz w:val="18"/>
                <w:szCs w:val="18"/>
              </w:rPr>
              <w:t xml:space="preserve">ROC-AUC</w:t>
            </w:r>
          </w:p>
        </w:tc>
        <w:tc>
          <w:tcPr>
            <w:tcW w:type="dxa" w:w="1150"/>
            <w:shd w:fill="f0f0f0" w:color="auto" w:val="clear"/>
            <w:tcMar>
              <w:top w:type="dxa" w:w="40"/>
              <w:left w:type="dxa" w:w="90"/>
              <w:bottom w:type="dxa" w:w="40"/>
              <w:right w:type="dxa" w:w="90"/>
            </w:tcMar>
          </w:tcPr>
          <w:p>
            <w:pPr>
              <w:spacing w:after="0" w:line="240"/>
              <w:jc w:val="center"/>
            </w:pPr>
            <w:r>
              <w:rPr>
                <w:rFonts w:ascii="Times New Roman" w:cs="Times New Roman" w:eastAsia="Times New Roman" w:hAnsi="Times New Roman"/>
                <w:b/>
                <w:bCs/>
                <w:color w:val="1a1a1a"/>
                <w:sz w:val="18"/>
                <w:szCs w:val="18"/>
              </w:rPr>
              <w:t xml:space="preserve">Recall</w:t>
            </w:r>
          </w:p>
        </w:tc>
        <w:tc>
          <w:tcPr>
            <w:tcW w:type="dxa" w:w="1150"/>
            <w:shd w:fill="f0f0f0" w:color="auto" w:val="clear"/>
            <w:tcMar>
              <w:top w:type="dxa" w:w="40"/>
              <w:left w:type="dxa" w:w="90"/>
              <w:bottom w:type="dxa" w:w="40"/>
              <w:right w:type="dxa" w:w="90"/>
            </w:tcMar>
          </w:tcPr>
          <w:p>
            <w:pPr>
              <w:spacing w:after="0" w:line="240"/>
              <w:jc w:val="center"/>
            </w:pPr>
            <w:r>
              <w:rPr>
                <w:rFonts w:ascii="Times New Roman" w:cs="Times New Roman" w:eastAsia="Times New Roman" w:hAnsi="Times New Roman"/>
                <w:b/>
                <w:bCs/>
                <w:color w:val="1a1a1a"/>
                <w:sz w:val="18"/>
                <w:szCs w:val="18"/>
              </w:rPr>
              <w:t xml:space="preserve">FNR</w:t>
            </w:r>
          </w:p>
        </w:tc>
        <w:tc>
          <w:tcPr>
            <w:tcW w:type="dxa" w:w="1300"/>
            <w:shd w:fill="f0f0f0" w:color="auto" w:val="clear"/>
            <w:tcMar>
              <w:top w:type="dxa" w:w="40"/>
              <w:left w:type="dxa" w:w="90"/>
              <w:bottom w:type="dxa" w:w="40"/>
              <w:right w:type="dxa" w:w="90"/>
            </w:tcMar>
          </w:tcPr>
          <w:p>
            <w:pPr>
              <w:spacing w:after="0" w:line="240"/>
              <w:jc w:val="center"/>
            </w:pPr>
            <w:r>
              <w:rPr>
                <w:rFonts w:ascii="Times New Roman" w:cs="Times New Roman" w:eastAsia="Times New Roman" w:hAnsi="Times New Roman"/>
                <w:b/>
                <w:bCs/>
                <w:color w:val="1a1a1a"/>
                <w:sz w:val="18"/>
                <w:szCs w:val="18"/>
              </w:rPr>
              <w:t xml:space="preserve">Domain overlap</w:t>
            </w:r>
          </w:p>
        </w:tc>
      </w:tr>
      <w:tr>
        <w:tc>
          <w:tcPr>
            <w:tcW w:type="dxa" w:w="2400"/>
            <w:tcMar>
              <w:top w:type="dxa" w:w="40"/>
              <w:left w:type="dxa" w:w="90"/>
              <w:bottom w:type="dxa" w:w="40"/>
              <w:right w:type="dxa" w:w="90"/>
            </w:tcMar>
          </w:tcPr>
          <w:p>
            <w:pPr>
              <w:spacing w:after="0" w:line="240"/>
              <w:jc w:val="left"/>
            </w:pPr>
            <w:r>
              <w:rPr>
                <w:rFonts w:ascii="Times New Roman" w:cs="Times New Roman" w:eastAsia="Times New Roman" w:hAnsi="Times New Roman"/>
                <w:color w:val="1a1a1a"/>
                <w:sz w:val="18"/>
                <w:szCs w:val="18"/>
              </w:rPr>
              <w:t xml:space="preserve">Random (conventional)</w:t>
            </w:r>
          </w:p>
        </w:tc>
        <w:tc>
          <w:tcPr>
            <w:tcW w:type="dxa" w:w="1100"/>
            <w:tcMar>
              <w:top w:type="dxa" w:w="40"/>
              <w:left w:type="dxa" w:w="90"/>
              <w:bottom w:type="dxa" w:w="40"/>
              <w:right w:type="dxa" w:w="90"/>
            </w:tcMar>
          </w:tcPr>
          <w:p>
            <w:pPr>
              <w:spacing w:after="0" w:line="240"/>
              <w:jc w:val="center"/>
            </w:pPr>
            <w:r>
              <w:rPr>
                <w:rFonts w:ascii="Times New Roman" w:cs="Times New Roman" w:eastAsia="Times New Roman" w:hAnsi="Times New Roman"/>
                <w:color w:val="1a1a1a"/>
                <w:sz w:val="18"/>
                <w:szCs w:val="18"/>
              </w:rPr>
              <w:t xml:space="preserve">30,000</w:t>
            </w:r>
          </w:p>
        </w:tc>
        <w:tc>
          <w:tcPr>
            <w:tcW w:type="dxa" w:w="1200"/>
            <w:tcMar>
              <w:top w:type="dxa" w:w="40"/>
              <w:left w:type="dxa" w:w="90"/>
              <w:bottom w:type="dxa" w:w="40"/>
              <w:right w:type="dxa" w:w="90"/>
            </w:tcMar>
          </w:tcPr>
          <w:p>
            <w:pPr>
              <w:spacing w:after="0" w:line="240"/>
              <w:jc w:val="center"/>
            </w:pPr>
            <w:r>
              <w:rPr>
                <w:rFonts w:ascii="Times New Roman" w:cs="Times New Roman" w:eastAsia="Times New Roman" w:hAnsi="Times New Roman"/>
                <w:color w:val="1a1a1a"/>
                <w:sz w:val="18"/>
                <w:szCs w:val="18"/>
              </w:rPr>
              <w:t xml:space="preserve">0.9965</w:t>
            </w:r>
          </w:p>
        </w:tc>
        <w:tc>
          <w:tcPr>
            <w:tcW w:type="dxa" w:w="1150"/>
            <w:tcMar>
              <w:top w:type="dxa" w:w="40"/>
              <w:left w:type="dxa" w:w="90"/>
              <w:bottom w:type="dxa" w:w="40"/>
              <w:right w:type="dxa" w:w="90"/>
            </w:tcMar>
          </w:tcPr>
          <w:p>
            <w:pPr>
              <w:spacing w:after="0" w:line="240"/>
              <w:jc w:val="center"/>
            </w:pPr>
            <w:r>
              <w:rPr>
                <w:rFonts w:ascii="Times New Roman" w:cs="Times New Roman" w:eastAsia="Times New Roman" w:hAnsi="Times New Roman"/>
                <w:color w:val="1a1a1a"/>
                <w:sz w:val="18"/>
                <w:szCs w:val="18"/>
              </w:rPr>
              <w:t xml:space="preserve">0.9988</w:t>
            </w:r>
          </w:p>
        </w:tc>
        <w:tc>
          <w:tcPr>
            <w:tcW w:type="dxa" w:w="1150"/>
            <w:tcMar>
              <w:top w:type="dxa" w:w="40"/>
              <w:left w:type="dxa" w:w="90"/>
              <w:bottom w:type="dxa" w:w="40"/>
              <w:right w:type="dxa" w:w="90"/>
            </w:tcMar>
          </w:tcPr>
          <w:p>
            <w:pPr>
              <w:spacing w:after="0" w:line="240"/>
              <w:jc w:val="center"/>
            </w:pPr>
            <w:r>
              <w:rPr>
                <w:rFonts w:ascii="Times New Roman" w:cs="Times New Roman" w:eastAsia="Times New Roman" w:hAnsi="Times New Roman"/>
                <w:color w:val="1a1a1a"/>
                <w:sz w:val="18"/>
                <w:szCs w:val="18"/>
              </w:rPr>
              <w:t xml:space="preserve">0.9954</w:t>
            </w:r>
          </w:p>
        </w:tc>
        <w:tc>
          <w:tcPr>
            <w:tcW w:type="dxa" w:w="1150"/>
            <w:tcMar>
              <w:top w:type="dxa" w:w="40"/>
              <w:left w:type="dxa" w:w="90"/>
              <w:bottom w:type="dxa" w:w="40"/>
              <w:right w:type="dxa" w:w="90"/>
            </w:tcMar>
          </w:tcPr>
          <w:p>
            <w:pPr>
              <w:spacing w:after="0" w:line="240"/>
              <w:jc w:val="center"/>
            </w:pPr>
            <w:r>
              <w:rPr>
                <w:rFonts w:ascii="Times New Roman" w:cs="Times New Roman" w:eastAsia="Times New Roman" w:hAnsi="Times New Roman"/>
                <w:color w:val="1a1a1a"/>
                <w:sz w:val="18"/>
                <w:szCs w:val="18"/>
              </w:rPr>
              <w:t xml:space="preserve">0.0046</w:t>
            </w:r>
          </w:p>
        </w:tc>
        <w:tc>
          <w:tcPr>
            <w:tcW w:type="dxa" w:w="1300"/>
            <w:tcMar>
              <w:top w:type="dxa" w:w="40"/>
              <w:left w:type="dxa" w:w="90"/>
              <w:bottom w:type="dxa" w:w="40"/>
              <w:right w:type="dxa" w:w="90"/>
            </w:tcMar>
          </w:tcPr>
          <w:p>
            <w:pPr>
              <w:spacing w:after="0" w:line="240"/>
              <w:jc w:val="center"/>
            </w:pPr>
            <w:r>
              <w:rPr>
                <w:rFonts w:ascii="Times New Roman" w:cs="Times New Roman" w:eastAsia="Times New Roman" w:hAnsi="Times New Roman"/>
                <w:color w:val="1a1a1a"/>
                <w:sz w:val="18"/>
                <w:szCs w:val="18"/>
              </w:rPr>
              <w:t xml:space="preserve">1,337</w:t>
            </w:r>
          </w:p>
        </w:tc>
      </w:tr>
      <w:tr>
        <w:tc>
          <w:tcPr>
            <w:tcW w:type="dxa" w:w="2400"/>
            <w:tcMar>
              <w:top w:type="dxa" w:w="40"/>
              <w:left w:type="dxa" w:w="90"/>
              <w:bottom w:type="dxa" w:w="40"/>
              <w:right w:type="dxa" w:w="90"/>
            </w:tcMar>
          </w:tcPr>
          <w:p>
            <w:pPr>
              <w:spacing w:after="0" w:line="240"/>
              <w:jc w:val="left"/>
            </w:pPr>
            <w:r>
              <w:rPr>
                <w:rFonts w:ascii="Times New Roman" w:cs="Times New Roman" w:eastAsia="Times New Roman" w:hAnsi="Times New Roman"/>
                <w:b/>
                <w:bCs/>
                <w:color w:val="1a1a1a"/>
                <w:sz w:val="18"/>
                <w:szCs w:val="18"/>
              </w:rPr>
              <w:t xml:space="preserve">Domain-disjoint</w:t>
            </w:r>
          </w:p>
        </w:tc>
        <w:tc>
          <w:tcPr>
            <w:tcW w:type="dxa" w:w="1100"/>
            <w:tcMar>
              <w:top w:type="dxa" w:w="40"/>
              <w:left w:type="dxa" w:w="90"/>
              <w:bottom w:type="dxa" w:w="40"/>
              <w:right w:type="dxa" w:w="90"/>
            </w:tcMar>
          </w:tcPr>
          <w:p>
            <w:pPr>
              <w:spacing w:after="0" w:line="240"/>
              <w:jc w:val="center"/>
            </w:pPr>
            <w:r>
              <w:rPr>
                <w:rFonts w:ascii="Times New Roman" w:cs="Times New Roman" w:eastAsia="Times New Roman" w:hAnsi="Times New Roman"/>
                <w:b/>
                <w:bCs/>
                <w:color w:val="1a1a1a"/>
                <w:sz w:val="18"/>
                <w:szCs w:val="18"/>
              </w:rPr>
              <w:t xml:space="preserve">29,794</w:t>
            </w:r>
          </w:p>
        </w:tc>
        <w:tc>
          <w:tcPr>
            <w:tcW w:type="dxa" w:w="1200"/>
            <w:tcMar>
              <w:top w:type="dxa" w:w="40"/>
              <w:left w:type="dxa" w:w="90"/>
              <w:bottom w:type="dxa" w:w="40"/>
              <w:right w:type="dxa" w:w="90"/>
            </w:tcMar>
          </w:tcPr>
          <w:p>
            <w:pPr>
              <w:spacing w:after="0" w:line="240"/>
              <w:jc w:val="center"/>
            </w:pPr>
            <w:r>
              <w:rPr>
                <w:rFonts w:ascii="Times New Roman" w:cs="Times New Roman" w:eastAsia="Times New Roman" w:hAnsi="Times New Roman"/>
                <w:b/>
                <w:bCs/>
                <w:color w:val="1a1a1a"/>
                <w:sz w:val="18"/>
                <w:szCs w:val="18"/>
              </w:rPr>
              <w:t xml:space="preserve">0.9919</w:t>
            </w:r>
          </w:p>
        </w:tc>
        <w:tc>
          <w:tcPr>
            <w:tcW w:type="dxa" w:w="1150"/>
            <w:tcMar>
              <w:top w:type="dxa" w:w="40"/>
              <w:left w:type="dxa" w:w="90"/>
              <w:bottom w:type="dxa" w:w="40"/>
              <w:right w:type="dxa" w:w="90"/>
            </w:tcMar>
          </w:tcPr>
          <w:p>
            <w:pPr>
              <w:spacing w:after="0" w:line="240"/>
              <w:jc w:val="center"/>
            </w:pPr>
            <w:r>
              <w:rPr>
                <w:rFonts w:ascii="Times New Roman" w:cs="Times New Roman" w:eastAsia="Times New Roman" w:hAnsi="Times New Roman"/>
                <w:b/>
                <w:bCs/>
                <w:color w:val="1a1a1a"/>
                <w:sz w:val="18"/>
                <w:szCs w:val="18"/>
              </w:rPr>
              <w:t xml:space="preserve">0.9976</w:t>
            </w:r>
          </w:p>
        </w:tc>
        <w:tc>
          <w:tcPr>
            <w:tcW w:type="dxa" w:w="1150"/>
            <w:tcMar>
              <w:top w:type="dxa" w:w="40"/>
              <w:left w:type="dxa" w:w="90"/>
              <w:bottom w:type="dxa" w:w="40"/>
              <w:right w:type="dxa" w:w="90"/>
            </w:tcMar>
          </w:tcPr>
          <w:p>
            <w:pPr>
              <w:spacing w:after="0" w:line="240"/>
              <w:jc w:val="center"/>
            </w:pPr>
            <w:r>
              <w:rPr>
                <w:rFonts w:ascii="Times New Roman" w:cs="Times New Roman" w:eastAsia="Times New Roman" w:hAnsi="Times New Roman"/>
                <w:b/>
                <w:bCs/>
                <w:color w:val="1a1a1a"/>
                <w:sz w:val="18"/>
                <w:szCs w:val="18"/>
              </w:rPr>
              <w:t xml:space="preserve">0.9853</w:t>
            </w:r>
          </w:p>
        </w:tc>
        <w:tc>
          <w:tcPr>
            <w:tcW w:type="dxa" w:w="1150"/>
            <w:tcMar>
              <w:top w:type="dxa" w:w="40"/>
              <w:left w:type="dxa" w:w="90"/>
              <w:bottom w:type="dxa" w:w="40"/>
              <w:right w:type="dxa" w:w="90"/>
            </w:tcMar>
          </w:tcPr>
          <w:p>
            <w:pPr>
              <w:spacing w:after="0" w:line="240"/>
              <w:jc w:val="center"/>
            </w:pPr>
            <w:r>
              <w:rPr>
                <w:rFonts w:ascii="Times New Roman" w:cs="Times New Roman" w:eastAsia="Times New Roman" w:hAnsi="Times New Roman"/>
                <w:b/>
                <w:bCs/>
                <w:color w:val="1a1a1a"/>
                <w:sz w:val="18"/>
                <w:szCs w:val="18"/>
              </w:rPr>
              <w:t xml:space="preserve">0.0147</w:t>
            </w:r>
          </w:p>
        </w:tc>
        <w:tc>
          <w:tcPr>
            <w:tcW w:type="dxa" w:w="1300"/>
            <w:tcMar>
              <w:top w:type="dxa" w:w="40"/>
              <w:left w:type="dxa" w:w="90"/>
              <w:bottom w:type="dxa" w:w="40"/>
              <w:right w:type="dxa" w:w="90"/>
            </w:tcMar>
          </w:tcPr>
          <w:p>
            <w:pPr>
              <w:spacing w:after="0" w:line="240"/>
              <w:jc w:val="center"/>
            </w:pPr>
            <w:r>
              <w:rPr>
                <w:rFonts w:ascii="Times New Roman" w:cs="Times New Roman" w:eastAsia="Times New Roman" w:hAnsi="Times New Roman"/>
                <w:b/>
                <w:bCs/>
                <w:color w:val="1a1a1a"/>
                <w:sz w:val="18"/>
                <w:szCs w:val="18"/>
              </w:rPr>
              <w:t xml:space="preserve">0</w:t>
            </w:r>
          </w:p>
        </w:tc>
      </w:tr>
    </w:tbl>
    <w:p>
      <w:pPr>
        <w:spacing w:after="160" w:before="60"/>
        <w:jc w:val="center"/>
      </w:pPr>
      <w:r>
        <w:rPr>
          <w:rFonts w:ascii="Times New Roman" w:cs="Times New Roman" w:eastAsia="Times New Roman" w:hAnsi="Times New Roman"/>
          <w:i/>
          <w:iCs/>
          <w:color w:val="5f5f5f"/>
          <w:sz w:val="18"/>
          <w:szCs w:val="18"/>
        </w:rPr>
        <w:t xml:space="preserve">Table 1: URL phishing detector under two split protocols. Domain overlap counts registered domains present in both partitions; disjointness is enforced by assertion.</w:t>
      </w:r>
    </w:p>
    <w:p>
      <w:pPr>
        <w:spacing w:after="120" w:before="0" w:line="264"/>
        <w:jc w:val="both"/>
      </w:pPr>
      <w:r>
        <w:rPr>
          <w:rFonts w:ascii="Times New Roman" w:cs="Times New Roman" w:eastAsia="Times New Roman" w:hAnsi="Times New Roman"/>
          <w:color w:val="1a1a1a"/>
          <w:sz w:val="21"/>
          <w:szCs w:val="21"/>
        </w:rPr>
        <w:t xml:space="preserve">Under the domain-disjoint protocol the detector reaches 99.19% accuracy and 0.9976 ROC-AUC, against 99.65% and 0.9988 under a random split: a relative accuracy drop of 0.46%. We read this small gap as the substantive result. The detector generalizes to registered domains it has never seen, and its headline accuracy is not an artifact of sibling leakage. The cost falls on recall, which declines from 0.9954 to 0.9853 and triples the false-negative rate from 0.46% to 1.47%; false-positive rate moves the other way, from 0.22% to 0.09%. Since a missed attack is the expensive error in our threat model, the domain-disjoint false-negative rate is the figure a deployment decision should rest on. We report the domain-disjoint result as primary throughout.</w:t>
      </w:r>
    </w:p>
    <w:p>
      <w:pPr>
        <w:pStyle w:val="Heading2"/>
        <w:spacing w:after="90" w:before="160"/>
      </w:pPr>
      <w:r>
        <w:rPr>
          <w:rFonts w:ascii="Times New Roman" w:cs="Times New Roman" w:eastAsia="Times New Roman" w:hAnsi="Times New Roman"/>
          <w:b/>
          <w:bCs/>
          <w:color w:val="1a1a1a"/>
          <w:sz w:val="23"/>
          <w:szCs w:val="23"/>
        </w:rPr>
        <w:t xml:space="preserve">4.2   Ablation of the MFS Knowledge Features</w:t>
      </w:r>
    </w:p>
    <w:p>
      <w:pPr>
        <w:spacing w:after="100" w:before="0" w:line="264"/>
        <w:jc w:val="both"/>
      </w:pPr>
      <w:r>
        <w:rPr>
          <w:rFonts w:ascii="Times New Roman" w:cs="Times New Roman" w:eastAsia="Times New Roman" w:hAnsi="Times New Roman"/>
          <w:color w:val="1a1a1a"/>
          <w:sz w:val="21"/>
          <w:szCs w:val="21"/>
        </w:rPr>
        <w:t xml:space="preserve">The system’s design premise is that encoding MFS-specific knowledge as engineered features improves detection for the Bangladeshi threat context. We tested this by retraining with all four MFS features removed, on the domain-disjoint split, comparing against the full model on identical test data with a paired bootstrap over 1,000 resamples and an exact McNemar test.</w:t>
      </w:r>
    </w:p>
    <w:tbl>
      <w:tblPr>
        <w:tblW w:type="dxa" w:w="8450"/>
        <w:tblBorders>
          <w:top w:val="none" w:color="FFFFFF" w:sz="0"/>
          <w:left w:val="none" w:color="FFFFFF" w:sz="0"/>
          <w:bottom w:val="none" w:color="FFFFFF" w:sz="0"/>
          <w:right w:val="none" w:color="FFFFFF" w:sz="0"/>
          <w:insideH w:val="none" w:color="FFFFFF" w:sz="0"/>
          <w:insideV w:val="none" w:color="FFFFFF" w:sz="0"/>
        </w:tblBorders>
      </w:tblPr>
      <w:tblGrid>
        <w:gridCol w:w="2200"/>
        <w:gridCol w:w="950"/>
        <w:gridCol w:w="1200"/>
        <w:gridCol w:w="1200"/>
        <w:gridCol w:w="1800"/>
        <w:gridCol w:w="1100"/>
      </w:tblGrid>
      <w:tr>
        <w:trPr>
          <w:tblHeader/>
        </w:trPr>
        <w:tc>
          <w:tcPr>
            <w:tcW w:type="dxa" w:w="2200"/>
            <w:shd w:fill="f0f0f0" w:color="auto" w:val="clear"/>
            <w:tcMar>
              <w:top w:type="dxa" w:w="40"/>
              <w:left w:type="dxa" w:w="90"/>
              <w:bottom w:type="dxa" w:w="40"/>
              <w:right w:type="dxa" w:w="90"/>
            </w:tcMar>
          </w:tcPr>
          <w:p>
            <w:pPr>
              <w:spacing w:after="0" w:line="240"/>
              <w:jc w:val="left"/>
            </w:pPr>
            <w:r>
              <w:rPr>
                <w:rFonts w:ascii="Times New Roman" w:cs="Times New Roman" w:eastAsia="Times New Roman" w:hAnsi="Times New Roman"/>
                <w:b/>
                <w:bCs/>
                <w:color w:val="1a1a1a"/>
                <w:sz w:val="18"/>
                <w:szCs w:val="18"/>
              </w:rPr>
              <w:t xml:space="preserve">Model</w:t>
            </w:r>
          </w:p>
        </w:tc>
        <w:tc>
          <w:tcPr>
            <w:tcW w:type="dxa" w:w="950"/>
            <w:shd w:fill="f0f0f0" w:color="auto" w:val="clear"/>
            <w:tcMar>
              <w:top w:type="dxa" w:w="40"/>
              <w:left w:type="dxa" w:w="90"/>
              <w:bottom w:type="dxa" w:w="40"/>
              <w:right w:type="dxa" w:w="90"/>
            </w:tcMar>
          </w:tcPr>
          <w:p>
            <w:pPr>
              <w:spacing w:after="0" w:line="240"/>
              <w:jc w:val="center"/>
            </w:pPr>
            <w:r>
              <w:rPr>
                <w:rFonts w:ascii="Times New Roman" w:cs="Times New Roman" w:eastAsia="Times New Roman" w:hAnsi="Times New Roman"/>
                <w:b/>
                <w:bCs/>
                <w:color w:val="1a1a1a"/>
                <w:sz w:val="18"/>
                <w:szCs w:val="18"/>
              </w:rPr>
              <w:t xml:space="preserve">n (test)</w:t>
            </w:r>
          </w:p>
        </w:tc>
        <w:tc>
          <w:tcPr>
            <w:tcW w:type="dxa" w:w="1200"/>
            <w:shd w:fill="f0f0f0" w:color="auto" w:val="clear"/>
            <w:tcMar>
              <w:top w:type="dxa" w:w="40"/>
              <w:left w:type="dxa" w:w="90"/>
              <w:bottom w:type="dxa" w:w="40"/>
              <w:right w:type="dxa" w:w="90"/>
            </w:tcMar>
          </w:tcPr>
          <w:p>
            <w:pPr>
              <w:spacing w:after="0" w:line="240"/>
              <w:jc w:val="center"/>
            </w:pPr>
            <w:r>
              <w:rPr>
                <w:rFonts w:ascii="Times New Roman" w:cs="Times New Roman" w:eastAsia="Times New Roman" w:hAnsi="Times New Roman"/>
                <w:b/>
                <w:bCs/>
                <w:color w:val="1a1a1a"/>
                <w:sz w:val="18"/>
                <w:szCs w:val="18"/>
              </w:rPr>
              <w:t xml:space="preserve">Accuracy</w:t>
            </w:r>
          </w:p>
        </w:tc>
        <w:tc>
          <w:tcPr>
            <w:tcW w:type="dxa" w:w="1200"/>
            <w:shd w:fill="f0f0f0" w:color="auto" w:val="clear"/>
            <w:tcMar>
              <w:top w:type="dxa" w:w="40"/>
              <w:left w:type="dxa" w:w="90"/>
              <w:bottom w:type="dxa" w:w="40"/>
              <w:right w:type="dxa" w:w="90"/>
            </w:tcMar>
          </w:tcPr>
          <w:p>
            <w:pPr>
              <w:spacing w:after="0" w:line="240"/>
              <w:jc w:val="center"/>
            </w:pPr>
            <w:r>
              <w:rPr>
                <w:rFonts w:ascii="Times New Roman" w:cs="Times New Roman" w:eastAsia="Times New Roman" w:hAnsi="Times New Roman"/>
                <w:b/>
                <w:bCs/>
                <w:color w:val="1a1a1a"/>
                <w:sz w:val="18"/>
                <w:szCs w:val="18"/>
              </w:rPr>
              <w:t xml:space="preserve">Recall</w:t>
            </w:r>
          </w:p>
        </w:tc>
        <w:tc>
          <w:tcPr>
            <w:tcW w:type="dxa" w:w="1800"/>
            <w:shd w:fill="f0f0f0" w:color="auto" w:val="clear"/>
            <w:tcMar>
              <w:top w:type="dxa" w:w="40"/>
              <w:left w:type="dxa" w:w="90"/>
              <w:bottom w:type="dxa" w:w="40"/>
              <w:right w:type="dxa" w:w="90"/>
            </w:tcMar>
          </w:tcPr>
          <w:p>
            <w:pPr>
              <w:spacing w:after="0" w:line="240"/>
              <w:jc w:val="center"/>
            </w:pPr>
            <w:r>
              <w:rPr>
                <w:rFonts w:ascii="Times New Roman" w:cs="Times New Roman" w:eastAsia="Times New Roman" w:hAnsi="Times New Roman"/>
                <w:b/>
                <w:bCs/>
                <w:color w:val="1a1a1a"/>
                <w:sz w:val="18"/>
                <w:szCs w:val="18"/>
              </w:rPr>
              <w:t xml:space="preserve">Δ accuracy (95% CI)</w:t>
            </w:r>
          </w:p>
        </w:tc>
        <w:tc>
          <w:tcPr>
            <w:tcW w:type="dxa" w:w="1100"/>
            <w:shd w:fill="f0f0f0" w:color="auto" w:val="clear"/>
            <w:tcMar>
              <w:top w:type="dxa" w:w="40"/>
              <w:left w:type="dxa" w:w="90"/>
              <w:bottom w:type="dxa" w:w="40"/>
              <w:right w:type="dxa" w:w="90"/>
            </w:tcMar>
          </w:tcPr>
          <w:p>
            <w:pPr>
              <w:spacing w:after="0" w:line="240"/>
              <w:jc w:val="center"/>
            </w:pPr>
            <w:r>
              <w:rPr>
                <w:rFonts w:ascii="Times New Roman" w:cs="Times New Roman" w:eastAsia="Times New Roman" w:hAnsi="Times New Roman"/>
                <w:b/>
                <w:bCs/>
                <w:color w:val="1a1a1a"/>
                <w:sz w:val="18"/>
                <w:szCs w:val="18"/>
              </w:rPr>
              <w:t xml:space="preserve">McNemar p</w:t>
            </w:r>
          </w:p>
        </w:tc>
      </w:tr>
      <w:tr>
        <w:tc>
          <w:tcPr>
            <w:tcW w:type="dxa" w:w="2200"/>
            <w:tcMar>
              <w:top w:type="dxa" w:w="40"/>
              <w:left w:type="dxa" w:w="90"/>
              <w:bottom w:type="dxa" w:w="40"/>
              <w:right w:type="dxa" w:w="90"/>
            </w:tcMar>
          </w:tcPr>
          <w:p>
            <w:pPr>
              <w:spacing w:after="0" w:line="240"/>
              <w:jc w:val="left"/>
            </w:pPr>
            <w:r>
              <w:rPr>
                <w:rFonts w:ascii="Times New Roman" w:cs="Times New Roman" w:eastAsia="Times New Roman" w:hAnsi="Times New Roman"/>
                <w:color w:val="1a1a1a"/>
                <w:sz w:val="18"/>
                <w:szCs w:val="18"/>
              </w:rPr>
              <w:t xml:space="preserve">Full (26 features)</w:t>
            </w:r>
          </w:p>
        </w:tc>
        <w:tc>
          <w:tcPr>
            <w:tcW w:type="dxa" w:w="950"/>
            <w:tcMar>
              <w:top w:type="dxa" w:w="40"/>
              <w:left w:type="dxa" w:w="90"/>
              <w:bottom w:type="dxa" w:w="40"/>
              <w:right w:type="dxa" w:w="90"/>
            </w:tcMar>
          </w:tcPr>
          <w:p>
            <w:pPr>
              <w:spacing w:after="0" w:line="240"/>
              <w:jc w:val="center"/>
            </w:pPr>
            <w:r>
              <w:rPr>
                <w:rFonts w:ascii="Times New Roman" w:cs="Times New Roman" w:eastAsia="Times New Roman" w:hAnsi="Times New Roman"/>
                <w:color w:val="1a1a1a"/>
                <w:sz w:val="18"/>
                <w:szCs w:val="18"/>
              </w:rPr>
              <w:t xml:space="preserve">29,794</w:t>
            </w:r>
          </w:p>
        </w:tc>
        <w:tc>
          <w:tcPr>
            <w:tcW w:type="dxa" w:w="1200"/>
            <w:tcMar>
              <w:top w:type="dxa" w:w="40"/>
              <w:left w:type="dxa" w:w="90"/>
              <w:bottom w:type="dxa" w:w="40"/>
              <w:right w:type="dxa" w:w="90"/>
            </w:tcMar>
          </w:tcPr>
          <w:p>
            <w:pPr>
              <w:spacing w:after="0" w:line="240"/>
              <w:jc w:val="center"/>
            </w:pPr>
            <w:r>
              <w:rPr>
                <w:rFonts w:ascii="Times New Roman" w:cs="Times New Roman" w:eastAsia="Times New Roman" w:hAnsi="Times New Roman"/>
                <w:color w:val="1a1a1a"/>
                <w:sz w:val="18"/>
                <w:szCs w:val="18"/>
              </w:rPr>
              <w:t xml:space="preserve">0.9919</w:t>
            </w:r>
          </w:p>
        </w:tc>
        <w:tc>
          <w:tcPr>
            <w:tcW w:type="dxa" w:w="1200"/>
            <w:tcMar>
              <w:top w:type="dxa" w:w="40"/>
              <w:left w:type="dxa" w:w="90"/>
              <w:bottom w:type="dxa" w:w="40"/>
              <w:right w:type="dxa" w:w="90"/>
            </w:tcMar>
          </w:tcPr>
          <w:p>
            <w:pPr>
              <w:spacing w:after="0" w:line="240"/>
              <w:jc w:val="center"/>
            </w:pPr>
            <w:r>
              <w:rPr>
                <w:rFonts w:ascii="Times New Roman" w:cs="Times New Roman" w:eastAsia="Times New Roman" w:hAnsi="Times New Roman"/>
                <w:color w:val="1a1a1a"/>
                <w:sz w:val="18"/>
                <w:szCs w:val="18"/>
              </w:rPr>
              <w:t xml:space="preserve">0.9853</w:t>
            </w:r>
          </w:p>
        </w:tc>
        <w:tc>
          <w:tcPr>
            <w:tcW w:type="dxa" w:w="1800"/>
            <w:tcMar>
              <w:top w:type="dxa" w:w="40"/>
              <w:left w:type="dxa" w:w="90"/>
              <w:bottom w:type="dxa" w:w="40"/>
              <w:right w:type="dxa" w:w="90"/>
            </w:tcMar>
          </w:tcPr>
          <w:p>
            <w:pPr>
              <w:spacing w:after="0" w:line="240"/>
              <w:jc w:val="center"/>
            </w:pPr>
            <w:r>
              <w:rPr>
                <w:rFonts w:ascii="Times New Roman" w:cs="Times New Roman" w:eastAsia="Times New Roman" w:hAnsi="Times New Roman"/>
                <w:color w:val="1a1a1a"/>
                <w:sz w:val="18"/>
                <w:szCs w:val="18"/>
              </w:rPr>
              <w:t xml:space="preserve">—</w:t>
            </w:r>
          </w:p>
        </w:tc>
        <w:tc>
          <w:tcPr>
            <w:tcW w:type="dxa" w:w="1100"/>
            <w:tcMar>
              <w:top w:type="dxa" w:w="40"/>
              <w:left w:type="dxa" w:w="90"/>
              <w:bottom w:type="dxa" w:w="40"/>
              <w:right w:type="dxa" w:w="90"/>
            </w:tcMar>
          </w:tcPr>
          <w:p>
            <w:pPr>
              <w:spacing w:after="0" w:line="240"/>
              <w:jc w:val="center"/>
            </w:pPr>
            <w:r>
              <w:rPr>
                <w:rFonts w:ascii="Times New Roman" w:cs="Times New Roman" w:eastAsia="Times New Roman" w:hAnsi="Times New Roman"/>
                <w:color w:val="1a1a1a"/>
                <w:sz w:val="18"/>
                <w:szCs w:val="18"/>
              </w:rPr>
              <w:t xml:space="preserve">—</w:t>
            </w:r>
          </w:p>
        </w:tc>
      </w:tr>
      <w:tr>
        <w:tc>
          <w:tcPr>
            <w:tcW w:type="dxa" w:w="2200"/>
            <w:tcMar>
              <w:top w:type="dxa" w:w="40"/>
              <w:left w:type="dxa" w:w="90"/>
              <w:bottom w:type="dxa" w:w="40"/>
              <w:right w:type="dxa" w:w="90"/>
            </w:tcMar>
          </w:tcPr>
          <w:p>
            <w:pPr>
              <w:spacing w:after="0" w:line="240"/>
              <w:jc w:val="left"/>
            </w:pPr>
            <w:r>
              <w:rPr>
                <w:rFonts w:ascii="Times New Roman" w:cs="Times New Roman" w:eastAsia="Times New Roman" w:hAnsi="Times New Roman"/>
                <w:color w:val="1a1a1a"/>
                <w:sz w:val="18"/>
                <w:szCs w:val="18"/>
              </w:rPr>
              <w:t xml:space="preserve">Ablated (22 features)</w:t>
            </w:r>
          </w:p>
        </w:tc>
        <w:tc>
          <w:tcPr>
            <w:tcW w:type="dxa" w:w="950"/>
            <w:tcMar>
              <w:top w:type="dxa" w:w="40"/>
              <w:left w:type="dxa" w:w="90"/>
              <w:bottom w:type="dxa" w:w="40"/>
              <w:right w:type="dxa" w:w="90"/>
            </w:tcMar>
          </w:tcPr>
          <w:p>
            <w:pPr>
              <w:spacing w:after="0" w:line="240"/>
              <w:jc w:val="center"/>
            </w:pPr>
            <w:r>
              <w:rPr>
                <w:rFonts w:ascii="Times New Roman" w:cs="Times New Roman" w:eastAsia="Times New Roman" w:hAnsi="Times New Roman"/>
                <w:color w:val="1a1a1a"/>
                <w:sz w:val="18"/>
                <w:szCs w:val="18"/>
              </w:rPr>
              <w:t xml:space="preserve">29,794</w:t>
            </w:r>
          </w:p>
        </w:tc>
        <w:tc>
          <w:tcPr>
            <w:tcW w:type="dxa" w:w="1200"/>
            <w:tcMar>
              <w:top w:type="dxa" w:w="40"/>
              <w:left w:type="dxa" w:w="90"/>
              <w:bottom w:type="dxa" w:w="40"/>
              <w:right w:type="dxa" w:w="90"/>
            </w:tcMar>
          </w:tcPr>
          <w:p>
            <w:pPr>
              <w:spacing w:after="0" w:line="240"/>
              <w:jc w:val="center"/>
            </w:pPr>
            <w:r>
              <w:rPr>
                <w:rFonts w:ascii="Times New Roman" w:cs="Times New Roman" w:eastAsia="Times New Roman" w:hAnsi="Times New Roman"/>
                <w:color w:val="1a1a1a"/>
                <w:sz w:val="18"/>
                <w:szCs w:val="18"/>
              </w:rPr>
              <w:t xml:space="preserve">0.9920</w:t>
            </w:r>
          </w:p>
        </w:tc>
        <w:tc>
          <w:tcPr>
            <w:tcW w:type="dxa" w:w="1200"/>
            <w:tcMar>
              <w:top w:type="dxa" w:w="40"/>
              <w:left w:type="dxa" w:w="90"/>
              <w:bottom w:type="dxa" w:w="40"/>
              <w:right w:type="dxa" w:w="90"/>
            </w:tcMar>
          </w:tcPr>
          <w:p>
            <w:pPr>
              <w:spacing w:after="0" w:line="240"/>
              <w:jc w:val="center"/>
            </w:pPr>
            <w:r>
              <w:rPr>
                <w:rFonts w:ascii="Times New Roman" w:cs="Times New Roman" w:eastAsia="Times New Roman" w:hAnsi="Times New Roman"/>
                <w:color w:val="1a1a1a"/>
                <w:sz w:val="18"/>
                <w:szCs w:val="18"/>
              </w:rPr>
              <w:t xml:space="preserve">0.9854</w:t>
            </w:r>
          </w:p>
        </w:tc>
        <w:tc>
          <w:tcPr>
            <w:tcW w:type="dxa" w:w="1800"/>
            <w:tcMar>
              <w:top w:type="dxa" w:w="40"/>
              <w:left w:type="dxa" w:w="90"/>
              <w:bottom w:type="dxa" w:w="40"/>
              <w:right w:type="dxa" w:w="90"/>
            </w:tcMar>
          </w:tcPr>
          <w:p>
            <w:pPr>
              <w:spacing w:after="0" w:line="240"/>
              <w:jc w:val="center"/>
            </w:pPr>
            <w:r>
              <w:rPr>
                <w:rFonts w:ascii="Times New Roman" w:cs="Times New Roman" w:eastAsia="Times New Roman" w:hAnsi="Times New Roman"/>
                <w:color w:val="1a1a1a"/>
                <w:sz w:val="18"/>
                <w:szCs w:val="18"/>
              </w:rPr>
              <w:t xml:space="preserve">−0.0001 [−0.0003, +0.0001]</w:t>
            </w:r>
          </w:p>
        </w:tc>
        <w:tc>
          <w:tcPr>
            <w:tcW w:type="dxa" w:w="1100"/>
            <w:tcMar>
              <w:top w:type="dxa" w:w="40"/>
              <w:left w:type="dxa" w:w="90"/>
              <w:bottom w:type="dxa" w:w="40"/>
              <w:right w:type="dxa" w:w="90"/>
            </w:tcMar>
          </w:tcPr>
          <w:p>
            <w:pPr>
              <w:spacing w:after="0" w:line="240"/>
              <w:jc w:val="center"/>
            </w:pPr>
            <w:r>
              <w:rPr>
                <w:rFonts w:ascii="Times New Roman" w:cs="Times New Roman" w:eastAsia="Times New Roman" w:hAnsi="Times New Roman"/>
                <w:color w:val="1a1a1a"/>
                <w:sz w:val="18"/>
                <w:szCs w:val="18"/>
              </w:rPr>
              <w:t xml:space="preserve">0.508</w:t>
            </w:r>
          </w:p>
        </w:tc>
      </w:tr>
    </w:tbl>
    <w:p>
      <w:pPr>
        <w:spacing w:after="160" w:before="60"/>
        <w:jc w:val="center"/>
      </w:pPr>
      <w:r>
        <w:rPr>
          <w:rFonts w:ascii="Times New Roman" w:cs="Times New Roman" w:eastAsia="Times New Roman" w:hAnsi="Times New Roman"/>
          <w:i/>
          <w:iCs/>
          <w:color w:val="5f5f5f"/>
          <w:sz w:val="18"/>
          <w:szCs w:val="18"/>
        </w:rPr>
        <w:t xml:space="preserve">Table 2: Ablation of the four MFS knowledge features (brand_impersonation, financial_kw, free_hosting_tld, high_risk_tld) under the domain-disjoint protocol.</w:t>
      </w:r>
    </w:p>
    <w:p>
      <w:pPr>
        <w:spacing w:after="120" w:before="0" w:line="264"/>
        <w:jc w:val="both"/>
      </w:pPr>
      <w:r>
        <w:rPr>
          <w:rFonts w:ascii="Times New Roman" w:cs="Times New Roman" w:eastAsia="Times New Roman" w:hAnsi="Times New Roman"/>
          <w:color w:val="1a1a1a"/>
          <w:sz w:val="21"/>
          <w:szCs w:val="21"/>
        </w:rPr>
        <w:t xml:space="preserve">Removing the MFS features changes accuracy by −0.0001, with a confidence interval spanning zero and a McNemar p-value of 0.508. There is no measurable accuracy benefit on this corpus.</w:t>
      </w:r>
    </w:p>
    <w:p>
      <w:pPr>
        <w:pStyle w:val="Heading2"/>
        <w:spacing w:after="90" w:before="160"/>
      </w:pPr>
      <w:r>
        <w:rPr>
          <w:rFonts w:ascii="Times New Roman" w:cs="Times New Roman" w:eastAsia="Times New Roman" w:hAnsi="Times New Roman"/>
          <w:b/>
          <w:bCs/>
          <w:color w:val="1a1a1a"/>
          <w:sz w:val="23"/>
          <w:szCs w:val="23"/>
        </w:rPr>
        <w:t xml:space="preserve">4.3   Feature Attribution on the Reported Model</w:t>
      </w:r>
    </w:p>
    <w:p>
      <w:pPr>
        <w:spacing w:after="100" w:before="0" w:line="264"/>
        <w:jc w:val="both"/>
      </w:pPr>
      <w:r>
        <w:rPr>
          <w:rFonts w:ascii="Times New Roman" w:cs="Times New Roman" w:eastAsia="Times New Roman" w:hAnsi="Times New Roman"/>
          <w:color w:val="1a1a1a"/>
          <w:sz w:val="21"/>
          <w:szCs w:val="21"/>
        </w:rPr>
        <w:t xml:space="preserve">We computed SHAP attributions with a tree explainer over 2,000 sampled test instances from the same domain-disjoint model, to establish which features the reported classifier actually relies on. Table 3 gives the leading features and the position of each MFS feature.</w:t>
      </w:r>
    </w:p>
    <w:tbl>
      <w:tblPr>
        <w:tblW w:type="dxa" w:w="9450"/>
        <w:tblBorders>
          <w:top w:val="none" w:color="FFFFFF" w:sz="0"/>
          <w:left w:val="none" w:color="FFFFFF" w:sz="0"/>
          <w:bottom w:val="none" w:color="FFFFFF" w:sz="0"/>
          <w:right w:val="none" w:color="FFFFFF" w:sz="0"/>
          <w:insideH w:val="none" w:color="FFFFFF" w:sz="0"/>
          <w:insideV w:val="none" w:color="FFFFFF" w:sz="0"/>
        </w:tblBorders>
      </w:tblPr>
      <w:tblGrid>
        <w:gridCol w:w="700"/>
        <w:gridCol w:w="2300"/>
        <w:gridCol w:w="1750"/>
        <w:gridCol w:w="700"/>
        <w:gridCol w:w="2300"/>
        <w:gridCol w:w="1700"/>
      </w:tblGrid>
      <w:tr>
        <w:trPr>
          <w:tblHeader/>
        </w:trPr>
        <w:tc>
          <w:tcPr>
            <w:tcW w:type="dxa" w:w="700"/>
            <w:shd w:fill="f0f0f0" w:color="auto" w:val="clear"/>
            <w:tcMar>
              <w:top w:type="dxa" w:w="40"/>
              <w:left w:type="dxa" w:w="90"/>
              <w:bottom w:type="dxa" w:w="40"/>
              <w:right w:type="dxa" w:w="90"/>
            </w:tcMar>
          </w:tcPr>
          <w:p>
            <w:pPr>
              <w:spacing w:after="0" w:line="240"/>
              <w:jc w:val="center"/>
            </w:pPr>
            <w:r>
              <w:rPr>
                <w:rFonts w:ascii="Times New Roman" w:cs="Times New Roman" w:eastAsia="Times New Roman" w:hAnsi="Times New Roman"/>
                <w:b/>
                <w:bCs/>
                <w:color w:val="1a1a1a"/>
                <w:sz w:val="18"/>
                <w:szCs w:val="18"/>
              </w:rPr>
              <w:t xml:space="preserve">Rank</w:t>
            </w:r>
          </w:p>
        </w:tc>
        <w:tc>
          <w:tcPr>
            <w:tcW w:type="dxa" w:w="2300"/>
            <w:shd w:fill="f0f0f0" w:color="auto" w:val="clear"/>
            <w:tcMar>
              <w:top w:type="dxa" w:w="40"/>
              <w:left w:type="dxa" w:w="90"/>
              <w:bottom w:type="dxa" w:w="40"/>
              <w:right w:type="dxa" w:w="90"/>
            </w:tcMar>
          </w:tcPr>
          <w:p>
            <w:pPr>
              <w:spacing w:after="0" w:line="240"/>
              <w:jc w:val="left"/>
            </w:pPr>
            <w:r>
              <w:rPr>
                <w:rFonts w:ascii="Times New Roman" w:cs="Times New Roman" w:eastAsia="Times New Roman" w:hAnsi="Times New Roman"/>
                <w:b/>
                <w:bCs/>
                <w:color w:val="1a1a1a"/>
                <w:sz w:val="18"/>
                <w:szCs w:val="18"/>
              </w:rPr>
              <w:t xml:space="preserve">Feature</w:t>
            </w:r>
          </w:p>
        </w:tc>
        <w:tc>
          <w:tcPr>
            <w:tcW w:type="dxa" w:w="1750"/>
            <w:shd w:fill="f0f0f0" w:color="auto" w:val="clear"/>
            <w:tcMar>
              <w:top w:type="dxa" w:w="40"/>
              <w:left w:type="dxa" w:w="90"/>
              <w:bottom w:type="dxa" w:w="40"/>
              <w:right w:type="dxa" w:w="90"/>
            </w:tcMar>
          </w:tcPr>
          <w:p>
            <w:pPr>
              <w:spacing w:after="0" w:line="240"/>
              <w:jc w:val="center"/>
            </w:pPr>
            <w:r>
              <w:rPr>
                <w:rFonts w:ascii="Times New Roman" w:cs="Times New Roman" w:eastAsia="Times New Roman" w:hAnsi="Times New Roman"/>
                <w:b/>
                <w:bCs/>
                <w:color w:val="1a1a1a"/>
                <w:sz w:val="18"/>
                <w:szCs w:val="18"/>
              </w:rPr>
              <w:t xml:space="preserve">mean |SHAP|</w:t>
            </w:r>
          </w:p>
        </w:tc>
        <w:tc>
          <w:tcPr>
            <w:tcW w:type="dxa" w:w="700"/>
            <w:shd w:fill="f0f0f0" w:color="auto" w:val="clear"/>
            <w:tcMar>
              <w:top w:type="dxa" w:w="40"/>
              <w:left w:type="dxa" w:w="90"/>
              <w:bottom w:type="dxa" w:w="40"/>
              <w:right w:type="dxa" w:w="90"/>
            </w:tcMar>
          </w:tcPr>
          <w:p>
            <w:pPr>
              <w:spacing w:after="0" w:line="240"/>
              <w:jc w:val="center"/>
            </w:pPr>
            <w:r>
              <w:rPr>
                <w:rFonts w:ascii="Times New Roman" w:cs="Times New Roman" w:eastAsia="Times New Roman" w:hAnsi="Times New Roman"/>
                <w:b/>
                <w:bCs/>
                <w:color w:val="1a1a1a"/>
                <w:sz w:val="18"/>
                <w:szCs w:val="18"/>
              </w:rPr>
              <w:t xml:space="preserve">Rank</w:t>
            </w:r>
          </w:p>
        </w:tc>
        <w:tc>
          <w:tcPr>
            <w:tcW w:type="dxa" w:w="2300"/>
            <w:shd w:fill="f0f0f0" w:color="auto" w:val="clear"/>
            <w:tcMar>
              <w:top w:type="dxa" w:w="40"/>
              <w:left w:type="dxa" w:w="90"/>
              <w:bottom w:type="dxa" w:w="40"/>
              <w:right w:type="dxa" w:w="90"/>
            </w:tcMar>
          </w:tcPr>
          <w:p>
            <w:pPr>
              <w:spacing w:after="0" w:line="240"/>
              <w:jc w:val="left"/>
            </w:pPr>
            <w:r>
              <w:rPr>
                <w:rFonts w:ascii="Times New Roman" w:cs="Times New Roman" w:eastAsia="Times New Roman" w:hAnsi="Times New Roman"/>
                <w:b/>
                <w:bCs/>
                <w:color w:val="1a1a1a"/>
                <w:sz w:val="18"/>
                <w:szCs w:val="18"/>
              </w:rPr>
              <w:t xml:space="preserve">MFS feature</w:t>
            </w:r>
          </w:p>
        </w:tc>
        <w:tc>
          <w:tcPr>
            <w:tcW w:type="dxa" w:w="1700"/>
            <w:shd w:fill="f0f0f0" w:color="auto" w:val="clear"/>
            <w:tcMar>
              <w:top w:type="dxa" w:w="40"/>
              <w:left w:type="dxa" w:w="90"/>
              <w:bottom w:type="dxa" w:w="40"/>
              <w:right w:type="dxa" w:w="90"/>
            </w:tcMar>
          </w:tcPr>
          <w:p>
            <w:pPr>
              <w:spacing w:after="0" w:line="240"/>
              <w:jc w:val="center"/>
            </w:pPr>
            <w:r>
              <w:rPr>
                <w:rFonts w:ascii="Times New Roman" w:cs="Times New Roman" w:eastAsia="Times New Roman" w:hAnsi="Times New Roman"/>
                <w:b/>
                <w:bCs/>
                <w:color w:val="1a1a1a"/>
                <w:sz w:val="18"/>
                <w:szCs w:val="18"/>
              </w:rPr>
              <w:t xml:space="preserve">mean |SHAP|</w:t>
            </w:r>
          </w:p>
        </w:tc>
      </w:tr>
      <w:tr>
        <w:tc>
          <w:tcPr>
            <w:tcW w:type="dxa" w:w="700"/>
            <w:tcMar>
              <w:top w:type="dxa" w:w="40"/>
              <w:left w:type="dxa" w:w="90"/>
              <w:bottom w:type="dxa" w:w="40"/>
              <w:right w:type="dxa" w:w="90"/>
            </w:tcMar>
          </w:tcPr>
          <w:p>
            <w:pPr>
              <w:spacing w:after="0" w:line="240"/>
              <w:jc w:val="center"/>
            </w:pPr>
            <w:r>
              <w:rPr>
                <w:rFonts w:ascii="Times New Roman" w:cs="Times New Roman" w:eastAsia="Times New Roman" w:hAnsi="Times New Roman"/>
                <w:color w:val="1a1a1a"/>
                <w:sz w:val="18"/>
                <w:szCs w:val="18"/>
              </w:rPr>
              <w:t xml:space="preserve">1</w:t>
            </w:r>
          </w:p>
        </w:tc>
        <w:tc>
          <w:tcPr>
            <w:tcW w:type="dxa" w:w="2300"/>
            <w:tcMar>
              <w:top w:type="dxa" w:w="40"/>
              <w:left w:type="dxa" w:w="90"/>
              <w:bottom w:type="dxa" w:w="40"/>
              <w:right w:type="dxa" w:w="90"/>
            </w:tcMar>
          </w:tcPr>
          <w:p>
            <w:pPr>
              <w:spacing w:after="0" w:line="240"/>
              <w:jc w:val="left"/>
            </w:pPr>
            <w:r>
              <w:rPr>
                <w:rFonts w:ascii="Times New Roman" w:cs="Times New Roman" w:eastAsia="Times New Roman" w:hAnsi="Times New Roman"/>
                <w:color w:val="1a1a1a"/>
                <w:sz w:val="18"/>
                <w:szCs w:val="18"/>
              </w:rPr>
              <w:t xml:space="preserve">slash_count</w:t>
            </w:r>
          </w:p>
        </w:tc>
        <w:tc>
          <w:tcPr>
            <w:tcW w:type="dxa" w:w="1750"/>
            <w:tcMar>
              <w:top w:type="dxa" w:w="40"/>
              <w:left w:type="dxa" w:w="90"/>
              <w:bottom w:type="dxa" w:w="40"/>
              <w:right w:type="dxa" w:w="90"/>
            </w:tcMar>
          </w:tcPr>
          <w:p>
            <w:pPr>
              <w:spacing w:after="0" w:line="240"/>
              <w:jc w:val="center"/>
            </w:pPr>
            <w:r>
              <w:rPr>
                <w:rFonts w:ascii="Times New Roman" w:cs="Times New Roman" w:eastAsia="Times New Roman" w:hAnsi="Times New Roman"/>
                <w:color w:val="1a1a1a"/>
                <w:sz w:val="18"/>
                <w:szCs w:val="18"/>
              </w:rPr>
              <w:t xml:space="preserve">0.13571</w:t>
            </w:r>
          </w:p>
        </w:tc>
        <w:tc>
          <w:tcPr>
            <w:tcW w:type="dxa" w:w="700"/>
            <w:tcMar>
              <w:top w:type="dxa" w:w="40"/>
              <w:left w:type="dxa" w:w="90"/>
              <w:bottom w:type="dxa" w:w="40"/>
              <w:right w:type="dxa" w:w="90"/>
            </w:tcMar>
          </w:tcPr>
          <w:p>
            <w:pPr>
              <w:spacing w:after="0" w:line="240"/>
              <w:jc w:val="center"/>
            </w:pPr>
            <w:r>
              <w:rPr>
                <w:rFonts w:ascii="Times New Roman" w:cs="Times New Roman" w:eastAsia="Times New Roman" w:hAnsi="Times New Roman"/>
                <w:color w:val="1a1a1a"/>
                <w:sz w:val="18"/>
                <w:szCs w:val="18"/>
              </w:rPr>
              <w:t xml:space="preserve">17</w:t>
            </w:r>
          </w:p>
        </w:tc>
        <w:tc>
          <w:tcPr>
            <w:tcW w:type="dxa" w:w="2300"/>
            <w:tcMar>
              <w:top w:type="dxa" w:w="40"/>
              <w:left w:type="dxa" w:w="90"/>
              <w:bottom w:type="dxa" w:w="40"/>
              <w:right w:type="dxa" w:w="90"/>
            </w:tcMar>
          </w:tcPr>
          <w:p>
            <w:pPr>
              <w:spacing w:after="0" w:line="240"/>
              <w:jc w:val="left"/>
            </w:pPr>
            <w:r>
              <w:rPr>
                <w:rFonts w:ascii="Times New Roman" w:cs="Times New Roman" w:eastAsia="Times New Roman" w:hAnsi="Times New Roman"/>
                <w:color w:val="1a1a1a"/>
                <w:sz w:val="18"/>
                <w:szCs w:val="18"/>
              </w:rPr>
              <w:t xml:space="preserve">high_risk_tld</w:t>
            </w:r>
          </w:p>
        </w:tc>
        <w:tc>
          <w:tcPr>
            <w:tcW w:type="dxa" w:w="1700"/>
            <w:tcMar>
              <w:top w:type="dxa" w:w="40"/>
              <w:left w:type="dxa" w:w="90"/>
              <w:bottom w:type="dxa" w:w="40"/>
              <w:right w:type="dxa" w:w="90"/>
            </w:tcMar>
          </w:tcPr>
          <w:p>
            <w:pPr>
              <w:spacing w:after="0" w:line="240"/>
              <w:jc w:val="center"/>
            </w:pPr>
            <w:r>
              <w:rPr>
                <w:rFonts w:ascii="Times New Roman" w:cs="Times New Roman" w:eastAsia="Times New Roman" w:hAnsi="Times New Roman"/>
                <w:color w:val="1a1a1a"/>
                <w:sz w:val="18"/>
                <w:szCs w:val="18"/>
              </w:rPr>
              <w:t xml:space="preserve">0.00187</w:t>
            </w:r>
          </w:p>
        </w:tc>
      </w:tr>
      <w:tr>
        <w:tc>
          <w:tcPr>
            <w:tcW w:type="dxa" w:w="700"/>
            <w:tcMar>
              <w:top w:type="dxa" w:w="40"/>
              <w:left w:type="dxa" w:w="90"/>
              <w:bottom w:type="dxa" w:w="40"/>
              <w:right w:type="dxa" w:w="90"/>
            </w:tcMar>
          </w:tcPr>
          <w:p>
            <w:pPr>
              <w:spacing w:after="0" w:line="240"/>
              <w:jc w:val="center"/>
            </w:pPr>
            <w:r>
              <w:rPr>
                <w:rFonts w:ascii="Times New Roman" w:cs="Times New Roman" w:eastAsia="Times New Roman" w:hAnsi="Times New Roman"/>
                <w:color w:val="1a1a1a"/>
                <w:sz w:val="18"/>
                <w:szCs w:val="18"/>
              </w:rPr>
              <w:t xml:space="preserve">2</w:t>
            </w:r>
          </w:p>
        </w:tc>
        <w:tc>
          <w:tcPr>
            <w:tcW w:type="dxa" w:w="2300"/>
            <w:tcMar>
              <w:top w:type="dxa" w:w="40"/>
              <w:left w:type="dxa" w:w="90"/>
              <w:bottom w:type="dxa" w:w="40"/>
              <w:right w:type="dxa" w:w="90"/>
            </w:tcMar>
          </w:tcPr>
          <w:p>
            <w:pPr>
              <w:spacing w:after="0" w:line="240"/>
              <w:jc w:val="left"/>
            </w:pPr>
            <w:r>
              <w:rPr>
                <w:rFonts w:ascii="Times New Roman" w:cs="Times New Roman" w:eastAsia="Times New Roman" w:hAnsi="Times New Roman"/>
                <w:color w:val="1a1a1a"/>
                <w:sz w:val="18"/>
                <w:szCs w:val="18"/>
              </w:rPr>
              <w:t xml:space="preserve">path_length</w:t>
            </w:r>
          </w:p>
        </w:tc>
        <w:tc>
          <w:tcPr>
            <w:tcW w:type="dxa" w:w="1750"/>
            <w:tcMar>
              <w:top w:type="dxa" w:w="40"/>
              <w:left w:type="dxa" w:w="90"/>
              <w:bottom w:type="dxa" w:w="40"/>
              <w:right w:type="dxa" w:w="90"/>
            </w:tcMar>
          </w:tcPr>
          <w:p>
            <w:pPr>
              <w:spacing w:after="0" w:line="240"/>
              <w:jc w:val="center"/>
            </w:pPr>
            <w:r>
              <w:rPr>
                <w:rFonts w:ascii="Times New Roman" w:cs="Times New Roman" w:eastAsia="Times New Roman" w:hAnsi="Times New Roman"/>
                <w:color w:val="1a1a1a"/>
                <w:sz w:val="18"/>
                <w:szCs w:val="18"/>
              </w:rPr>
              <w:t xml:space="preserve">0.11798</w:t>
            </w:r>
          </w:p>
        </w:tc>
        <w:tc>
          <w:tcPr>
            <w:tcW w:type="dxa" w:w="700"/>
            <w:tcMar>
              <w:top w:type="dxa" w:w="40"/>
              <w:left w:type="dxa" w:w="90"/>
              <w:bottom w:type="dxa" w:w="40"/>
              <w:right w:type="dxa" w:w="90"/>
            </w:tcMar>
          </w:tcPr>
          <w:p>
            <w:pPr>
              <w:spacing w:after="0" w:line="240"/>
              <w:jc w:val="center"/>
            </w:pPr>
            <w:r>
              <w:rPr>
                <w:rFonts w:ascii="Times New Roman" w:cs="Times New Roman" w:eastAsia="Times New Roman" w:hAnsi="Times New Roman"/>
                <w:color w:val="1a1a1a"/>
                <w:sz w:val="18"/>
                <w:szCs w:val="18"/>
              </w:rPr>
              <w:t xml:space="preserve">18</w:t>
            </w:r>
          </w:p>
        </w:tc>
        <w:tc>
          <w:tcPr>
            <w:tcW w:type="dxa" w:w="2300"/>
            <w:tcMar>
              <w:top w:type="dxa" w:w="40"/>
              <w:left w:type="dxa" w:w="90"/>
              <w:bottom w:type="dxa" w:w="40"/>
              <w:right w:type="dxa" w:w="90"/>
            </w:tcMar>
          </w:tcPr>
          <w:p>
            <w:pPr>
              <w:spacing w:after="0" w:line="240"/>
              <w:jc w:val="left"/>
            </w:pPr>
            <w:r>
              <w:rPr>
                <w:rFonts w:ascii="Times New Roman" w:cs="Times New Roman" w:eastAsia="Times New Roman" w:hAnsi="Times New Roman"/>
                <w:color w:val="1a1a1a"/>
                <w:sz w:val="18"/>
                <w:szCs w:val="18"/>
              </w:rPr>
              <w:t xml:space="preserve">free_hosting_tld</w:t>
            </w:r>
          </w:p>
        </w:tc>
        <w:tc>
          <w:tcPr>
            <w:tcW w:type="dxa" w:w="1700"/>
            <w:tcMar>
              <w:top w:type="dxa" w:w="40"/>
              <w:left w:type="dxa" w:w="90"/>
              <w:bottom w:type="dxa" w:w="40"/>
              <w:right w:type="dxa" w:w="90"/>
            </w:tcMar>
          </w:tcPr>
          <w:p>
            <w:pPr>
              <w:spacing w:after="0" w:line="240"/>
              <w:jc w:val="center"/>
            </w:pPr>
            <w:r>
              <w:rPr>
                <w:rFonts w:ascii="Times New Roman" w:cs="Times New Roman" w:eastAsia="Times New Roman" w:hAnsi="Times New Roman"/>
                <w:color w:val="1a1a1a"/>
                <w:sz w:val="18"/>
                <w:szCs w:val="18"/>
              </w:rPr>
              <w:t xml:space="preserve">0.00096</w:t>
            </w:r>
          </w:p>
        </w:tc>
      </w:tr>
      <w:tr>
        <w:tc>
          <w:tcPr>
            <w:tcW w:type="dxa" w:w="700"/>
            <w:tcMar>
              <w:top w:type="dxa" w:w="40"/>
              <w:left w:type="dxa" w:w="90"/>
              <w:bottom w:type="dxa" w:w="40"/>
              <w:right w:type="dxa" w:w="90"/>
            </w:tcMar>
          </w:tcPr>
          <w:p>
            <w:pPr>
              <w:spacing w:after="0" w:line="240"/>
              <w:jc w:val="center"/>
            </w:pPr>
            <w:r>
              <w:rPr>
                <w:rFonts w:ascii="Times New Roman" w:cs="Times New Roman" w:eastAsia="Times New Roman" w:hAnsi="Times New Roman"/>
                <w:color w:val="1a1a1a"/>
                <w:sz w:val="18"/>
                <w:szCs w:val="18"/>
              </w:rPr>
              <w:t xml:space="preserve">3</w:t>
            </w:r>
          </w:p>
        </w:tc>
        <w:tc>
          <w:tcPr>
            <w:tcW w:type="dxa" w:w="2300"/>
            <w:tcMar>
              <w:top w:type="dxa" w:w="40"/>
              <w:left w:type="dxa" w:w="90"/>
              <w:bottom w:type="dxa" w:w="40"/>
              <w:right w:type="dxa" w:w="90"/>
            </w:tcMar>
          </w:tcPr>
          <w:p>
            <w:pPr>
              <w:spacing w:after="0" w:line="240"/>
              <w:jc w:val="left"/>
            </w:pPr>
            <w:r>
              <w:rPr>
                <w:rFonts w:ascii="Times New Roman" w:cs="Times New Roman" w:eastAsia="Times New Roman" w:hAnsi="Times New Roman"/>
                <w:color w:val="1a1a1a"/>
                <w:sz w:val="18"/>
                <w:szCs w:val="18"/>
              </w:rPr>
              <w:t xml:space="preserve">has_https</w:t>
            </w:r>
          </w:p>
        </w:tc>
        <w:tc>
          <w:tcPr>
            <w:tcW w:type="dxa" w:w="1750"/>
            <w:tcMar>
              <w:top w:type="dxa" w:w="40"/>
              <w:left w:type="dxa" w:w="90"/>
              <w:bottom w:type="dxa" w:w="40"/>
              <w:right w:type="dxa" w:w="90"/>
            </w:tcMar>
          </w:tcPr>
          <w:p>
            <w:pPr>
              <w:spacing w:after="0" w:line="240"/>
              <w:jc w:val="center"/>
            </w:pPr>
            <w:r>
              <w:rPr>
                <w:rFonts w:ascii="Times New Roman" w:cs="Times New Roman" w:eastAsia="Times New Roman" w:hAnsi="Times New Roman"/>
                <w:color w:val="1a1a1a"/>
                <w:sz w:val="18"/>
                <w:szCs w:val="18"/>
              </w:rPr>
              <w:t xml:space="preserve">0.05706</w:t>
            </w:r>
          </w:p>
        </w:tc>
        <w:tc>
          <w:tcPr>
            <w:tcW w:type="dxa" w:w="700"/>
            <w:tcMar>
              <w:top w:type="dxa" w:w="40"/>
              <w:left w:type="dxa" w:w="90"/>
              <w:bottom w:type="dxa" w:w="40"/>
              <w:right w:type="dxa" w:w="90"/>
            </w:tcMar>
          </w:tcPr>
          <w:p>
            <w:pPr>
              <w:spacing w:after="0" w:line="240"/>
              <w:jc w:val="center"/>
            </w:pPr>
            <w:r>
              <w:rPr>
                <w:rFonts w:ascii="Times New Roman" w:cs="Times New Roman" w:eastAsia="Times New Roman" w:hAnsi="Times New Roman"/>
                <w:color w:val="1a1a1a"/>
                <w:sz w:val="18"/>
                <w:szCs w:val="18"/>
              </w:rPr>
              <w:t xml:space="preserve">19</w:t>
            </w:r>
          </w:p>
        </w:tc>
        <w:tc>
          <w:tcPr>
            <w:tcW w:type="dxa" w:w="2300"/>
            <w:tcMar>
              <w:top w:type="dxa" w:w="40"/>
              <w:left w:type="dxa" w:w="90"/>
              <w:bottom w:type="dxa" w:w="40"/>
              <w:right w:type="dxa" w:w="90"/>
            </w:tcMar>
          </w:tcPr>
          <w:p>
            <w:pPr>
              <w:spacing w:after="0" w:line="240"/>
              <w:jc w:val="left"/>
            </w:pPr>
            <w:r>
              <w:rPr>
                <w:rFonts w:ascii="Times New Roman" w:cs="Times New Roman" w:eastAsia="Times New Roman" w:hAnsi="Times New Roman"/>
                <w:color w:val="1a1a1a"/>
                <w:sz w:val="18"/>
                <w:szCs w:val="18"/>
              </w:rPr>
              <w:t xml:space="preserve">financial_kw</w:t>
            </w:r>
          </w:p>
        </w:tc>
        <w:tc>
          <w:tcPr>
            <w:tcW w:type="dxa" w:w="1700"/>
            <w:tcMar>
              <w:top w:type="dxa" w:w="40"/>
              <w:left w:type="dxa" w:w="90"/>
              <w:bottom w:type="dxa" w:w="40"/>
              <w:right w:type="dxa" w:w="90"/>
            </w:tcMar>
          </w:tcPr>
          <w:p>
            <w:pPr>
              <w:spacing w:after="0" w:line="240"/>
              <w:jc w:val="center"/>
            </w:pPr>
            <w:r>
              <w:rPr>
                <w:rFonts w:ascii="Times New Roman" w:cs="Times New Roman" w:eastAsia="Times New Roman" w:hAnsi="Times New Roman"/>
                <w:color w:val="1a1a1a"/>
                <w:sz w:val="18"/>
                <w:szCs w:val="18"/>
              </w:rPr>
              <w:t xml:space="preserve">0.00070</w:t>
            </w:r>
          </w:p>
        </w:tc>
      </w:tr>
      <w:tr>
        <w:tc>
          <w:tcPr>
            <w:tcW w:type="dxa" w:w="700"/>
            <w:tcMar>
              <w:top w:type="dxa" w:w="40"/>
              <w:left w:type="dxa" w:w="90"/>
              <w:bottom w:type="dxa" w:w="40"/>
              <w:right w:type="dxa" w:w="90"/>
            </w:tcMar>
          </w:tcPr>
          <w:p>
            <w:pPr>
              <w:spacing w:after="0" w:line="240"/>
              <w:jc w:val="center"/>
            </w:pPr>
            <w:r>
              <w:rPr>
                <w:rFonts w:ascii="Times New Roman" w:cs="Times New Roman" w:eastAsia="Times New Roman" w:hAnsi="Times New Roman"/>
                <w:color w:val="1a1a1a"/>
                <w:sz w:val="18"/>
                <w:szCs w:val="18"/>
              </w:rPr>
              <w:t xml:space="preserve">4</w:t>
            </w:r>
          </w:p>
        </w:tc>
        <w:tc>
          <w:tcPr>
            <w:tcW w:type="dxa" w:w="2300"/>
            <w:tcMar>
              <w:top w:type="dxa" w:w="40"/>
              <w:left w:type="dxa" w:w="90"/>
              <w:bottom w:type="dxa" w:w="40"/>
              <w:right w:type="dxa" w:w="90"/>
            </w:tcMar>
          </w:tcPr>
          <w:p>
            <w:pPr>
              <w:spacing w:after="0" w:line="240"/>
              <w:jc w:val="left"/>
            </w:pPr>
            <w:r>
              <w:rPr>
                <w:rFonts w:ascii="Times New Roman" w:cs="Times New Roman" w:eastAsia="Times New Roman" w:hAnsi="Times New Roman"/>
                <w:color w:val="1a1a1a"/>
                <w:sz w:val="18"/>
                <w:szCs w:val="18"/>
              </w:rPr>
              <w:t xml:space="preserve">https_x_safe_tld</w:t>
            </w:r>
          </w:p>
        </w:tc>
        <w:tc>
          <w:tcPr>
            <w:tcW w:type="dxa" w:w="1750"/>
            <w:tcMar>
              <w:top w:type="dxa" w:w="40"/>
              <w:left w:type="dxa" w:w="90"/>
              <w:bottom w:type="dxa" w:w="40"/>
              <w:right w:type="dxa" w:w="90"/>
            </w:tcMar>
          </w:tcPr>
          <w:p>
            <w:pPr>
              <w:spacing w:after="0" w:line="240"/>
              <w:jc w:val="center"/>
            </w:pPr>
            <w:r>
              <w:rPr>
                <w:rFonts w:ascii="Times New Roman" w:cs="Times New Roman" w:eastAsia="Times New Roman" w:hAnsi="Times New Roman"/>
                <w:color w:val="1a1a1a"/>
                <w:sz w:val="18"/>
                <w:szCs w:val="18"/>
              </w:rPr>
              <w:t xml:space="preserve">0.04909</w:t>
            </w:r>
          </w:p>
        </w:tc>
        <w:tc>
          <w:tcPr>
            <w:tcW w:type="dxa" w:w="700"/>
            <w:tcMar>
              <w:top w:type="dxa" w:w="40"/>
              <w:left w:type="dxa" w:w="90"/>
              <w:bottom w:type="dxa" w:w="40"/>
              <w:right w:type="dxa" w:w="90"/>
            </w:tcMar>
          </w:tcPr>
          <w:p>
            <w:pPr>
              <w:spacing w:after="0" w:line="240"/>
              <w:jc w:val="center"/>
            </w:pPr>
            <w:r>
              <w:rPr>
                <w:rFonts w:ascii="Times New Roman" w:cs="Times New Roman" w:eastAsia="Times New Roman" w:hAnsi="Times New Roman"/>
                <w:color w:val="1a1a1a"/>
                <w:sz w:val="18"/>
                <w:szCs w:val="18"/>
              </w:rPr>
              <w:t xml:space="preserve">21</w:t>
            </w:r>
          </w:p>
        </w:tc>
        <w:tc>
          <w:tcPr>
            <w:tcW w:type="dxa" w:w="2300"/>
            <w:tcMar>
              <w:top w:type="dxa" w:w="40"/>
              <w:left w:type="dxa" w:w="90"/>
              <w:bottom w:type="dxa" w:w="40"/>
              <w:right w:type="dxa" w:w="90"/>
            </w:tcMar>
          </w:tcPr>
          <w:p>
            <w:pPr>
              <w:spacing w:after="0" w:line="240"/>
              <w:jc w:val="left"/>
            </w:pPr>
            <w:r>
              <w:rPr>
                <w:rFonts w:ascii="Times New Roman" w:cs="Times New Roman" w:eastAsia="Times New Roman" w:hAnsi="Times New Roman"/>
                <w:color w:val="1a1a1a"/>
                <w:sz w:val="18"/>
                <w:szCs w:val="18"/>
              </w:rPr>
              <w:t xml:space="preserve">brand_impersonation</w:t>
            </w:r>
          </w:p>
        </w:tc>
        <w:tc>
          <w:tcPr>
            <w:tcW w:type="dxa" w:w="1700"/>
            <w:tcMar>
              <w:top w:type="dxa" w:w="40"/>
              <w:left w:type="dxa" w:w="90"/>
              <w:bottom w:type="dxa" w:w="40"/>
              <w:right w:type="dxa" w:w="90"/>
            </w:tcMar>
          </w:tcPr>
          <w:p>
            <w:pPr>
              <w:spacing w:after="0" w:line="240"/>
              <w:jc w:val="center"/>
            </w:pPr>
            <w:r>
              <w:rPr>
                <w:rFonts w:ascii="Times New Roman" w:cs="Times New Roman" w:eastAsia="Times New Roman" w:hAnsi="Times New Roman"/>
                <w:color w:val="1a1a1a"/>
                <w:sz w:val="18"/>
                <w:szCs w:val="18"/>
              </w:rPr>
              <w:t xml:space="preserve">0.00002</w:t>
            </w:r>
          </w:p>
        </w:tc>
      </w:tr>
      <w:tr>
        <w:tc>
          <w:tcPr>
            <w:tcW w:type="dxa" w:w="700"/>
            <w:tcMar>
              <w:top w:type="dxa" w:w="40"/>
              <w:left w:type="dxa" w:w="90"/>
              <w:bottom w:type="dxa" w:w="40"/>
              <w:right w:type="dxa" w:w="90"/>
            </w:tcMar>
          </w:tcPr>
          <w:p>
            <w:pPr>
              <w:spacing w:after="0" w:line="240"/>
              <w:jc w:val="center"/>
            </w:pPr>
            <w:r>
              <w:rPr>
                <w:rFonts w:ascii="Times New Roman" w:cs="Times New Roman" w:eastAsia="Times New Roman" w:hAnsi="Times New Roman"/>
                <w:color w:val="1a1a1a"/>
                <w:sz w:val="18"/>
                <w:szCs w:val="18"/>
              </w:rPr>
              <w:t xml:space="preserve">5</w:t>
            </w:r>
          </w:p>
        </w:tc>
        <w:tc>
          <w:tcPr>
            <w:tcW w:type="dxa" w:w="2300"/>
            <w:tcMar>
              <w:top w:type="dxa" w:w="40"/>
              <w:left w:type="dxa" w:w="90"/>
              <w:bottom w:type="dxa" w:w="40"/>
              <w:right w:type="dxa" w:w="90"/>
            </w:tcMar>
          </w:tcPr>
          <w:p>
            <w:pPr>
              <w:spacing w:after="0" w:line="240"/>
              <w:jc w:val="left"/>
            </w:pPr>
            <w:r>
              <w:rPr>
                <w:rFonts w:ascii="Times New Roman" w:cs="Times New Roman" w:eastAsia="Times New Roman" w:hAnsi="Times New Roman"/>
                <w:color w:val="1a1a1a"/>
                <w:sz w:val="18"/>
                <w:szCs w:val="18"/>
              </w:rPr>
              <w:t xml:space="preserve">path_segments</w:t>
            </w:r>
          </w:p>
        </w:tc>
        <w:tc>
          <w:tcPr>
            <w:tcW w:type="dxa" w:w="1750"/>
            <w:tcMar>
              <w:top w:type="dxa" w:w="40"/>
              <w:left w:type="dxa" w:w="90"/>
              <w:bottom w:type="dxa" w:w="40"/>
              <w:right w:type="dxa" w:w="90"/>
            </w:tcMar>
          </w:tcPr>
          <w:p>
            <w:pPr>
              <w:spacing w:after="0" w:line="240"/>
              <w:jc w:val="center"/>
            </w:pPr>
            <w:r>
              <w:rPr>
                <w:rFonts w:ascii="Times New Roman" w:cs="Times New Roman" w:eastAsia="Times New Roman" w:hAnsi="Times New Roman"/>
                <w:color w:val="1a1a1a"/>
                <w:sz w:val="18"/>
                <w:szCs w:val="18"/>
              </w:rPr>
              <w:t xml:space="preserve">0.04196</w:t>
            </w:r>
          </w:p>
        </w:tc>
        <w:tc>
          <w:tcPr>
            <w:tcW w:type="dxa" w:w="700"/>
            <w:tcMar>
              <w:top w:type="dxa" w:w="40"/>
              <w:left w:type="dxa" w:w="90"/>
              <w:bottom w:type="dxa" w:w="40"/>
              <w:right w:type="dxa" w:w="90"/>
            </w:tcMar>
          </w:tcPr>
          <w:p>
            <w:pPr>
              <w:spacing w:after="0" w:line="240"/>
              <w:jc w:val="center"/>
            </w:pPr>
            <w:r>
              <w:rPr>
                <w:rFonts w:ascii="Times New Roman" w:cs="Times New Roman" w:eastAsia="Times New Roman" w:hAnsi="Times New Roman"/>
                <w:color w:val="1a1a1a"/>
                <w:sz w:val="18"/>
                <w:szCs w:val="18"/>
              </w:rPr>
              <w:t xml:space="preserve"/>
            </w:r>
          </w:p>
        </w:tc>
        <w:tc>
          <w:tcPr>
            <w:tcW w:type="dxa" w:w="2300"/>
            <w:tcMar>
              <w:top w:type="dxa" w:w="40"/>
              <w:left w:type="dxa" w:w="90"/>
              <w:bottom w:type="dxa" w:w="40"/>
              <w:right w:type="dxa" w:w="90"/>
            </w:tcMar>
          </w:tcPr>
          <w:p>
            <w:pPr>
              <w:spacing w:after="0" w:line="240"/>
              <w:jc w:val="left"/>
            </w:pPr>
            <w:r>
              <w:rPr>
                <w:rFonts w:ascii="Times New Roman" w:cs="Times New Roman" w:eastAsia="Times New Roman" w:hAnsi="Times New Roman"/>
                <w:color w:val="1a1a1a"/>
                <w:sz w:val="18"/>
                <w:szCs w:val="18"/>
              </w:rPr>
              <w:t xml:space="preserve"/>
            </w:r>
          </w:p>
        </w:tc>
        <w:tc>
          <w:tcPr>
            <w:tcW w:type="dxa" w:w="1700"/>
            <w:tcMar>
              <w:top w:type="dxa" w:w="40"/>
              <w:left w:type="dxa" w:w="90"/>
              <w:bottom w:type="dxa" w:w="40"/>
              <w:right w:type="dxa" w:w="90"/>
            </w:tcMar>
          </w:tcPr>
          <w:p>
            <w:pPr>
              <w:spacing w:after="0" w:line="240"/>
              <w:jc w:val="center"/>
            </w:pPr>
            <w:r>
              <w:rPr>
                <w:rFonts w:ascii="Times New Roman" w:cs="Times New Roman" w:eastAsia="Times New Roman" w:hAnsi="Times New Roman"/>
                <w:color w:val="1a1a1a"/>
                <w:sz w:val="18"/>
                <w:szCs w:val="18"/>
              </w:rPr>
              <w:t xml:space="preserve"/>
            </w:r>
          </w:p>
        </w:tc>
      </w:tr>
    </w:tbl>
    <w:p>
      <w:pPr>
        <w:spacing w:after="160" w:before="60"/>
        <w:jc w:val="center"/>
      </w:pPr>
      <w:r>
        <w:rPr>
          <w:rFonts w:ascii="Times New Roman" w:cs="Times New Roman" w:eastAsia="Times New Roman" w:hAnsi="Times New Roman"/>
          <w:i/>
          <w:iCs/>
          <w:color w:val="5f5f5f"/>
          <w:sz w:val="18"/>
          <w:szCs w:val="18"/>
        </w:rPr>
        <w:t xml:space="preserve">Table 3: SHAP attribution over the domain-disjoint model of Table 1 (n = 2,000 sampled test instances). Left: five highest-attribution features. Right: the four MFS knowledge features and their ranks among 26.</w:t>
      </w:r>
    </w:p>
    <w:p>
      <w:pPr>
        <w:spacing w:after="120" w:before="0" w:line="264"/>
        <w:jc w:val="both"/>
      </w:pPr>
      <w:r>
        <w:rPr>
          <w:rFonts w:ascii="Times New Roman" w:cs="Times New Roman" w:eastAsia="Times New Roman" w:hAnsi="Times New Roman"/>
          <w:color w:val="1a1a1a"/>
          <w:sz w:val="21"/>
          <w:szCs w:val="21"/>
        </w:rPr>
        <w:t xml:space="preserve">The model relies on generic structural properties of the URL string. The four MFS features occupy ranks 17, 18, 19 and 21 of 26, and brand_impersonation registers a mean absolute attribution of 0.00002, which is effectively zero. The ablation and the attribution therefore agree: on this corpus the MFS features are inert. We note this explicitly because an earlier iteration of this work reported these features among the most influential, a result obtained on a smaller sample under a random split which does not reproduce on the model reported here.</w:t>
      </w:r>
    </w:p>
    <w:p>
      <w:pPr>
        <w:pStyle w:val="Heading2"/>
        <w:spacing w:after="90" w:before="160"/>
      </w:pPr>
      <w:r>
        <w:rPr>
          <w:rFonts w:ascii="Times New Roman" w:cs="Times New Roman" w:eastAsia="Times New Roman" w:hAnsi="Times New Roman"/>
          <w:b/>
          <w:bCs/>
          <w:color w:val="1a1a1a"/>
          <w:sz w:val="23"/>
          <w:szCs w:val="23"/>
        </w:rPr>
        <w:t xml:space="preserve">4.4   Why Both Results Are Null: An Audit of the Evaluation Corpora</w:t>
      </w:r>
    </w:p>
    <w:p>
      <w:pPr>
        <w:spacing w:after="100" w:before="0" w:line="264"/>
        <w:jc w:val="both"/>
      </w:pPr>
      <w:r>
        <w:rPr>
          <w:rFonts w:ascii="Times New Roman" w:cs="Times New Roman" w:eastAsia="Times New Roman" w:hAnsi="Times New Roman"/>
          <w:color w:val="1a1a1a"/>
          <w:sz w:val="21"/>
          <w:szCs w:val="21"/>
        </w:rPr>
        <w:t xml:space="preserve">A feature cannot contribute to a decision about an attack that is not present in the test data. We therefore audited both text corpora for the attacks the system targets. Table 4 summarizes what we found.</w:t>
      </w:r>
    </w:p>
    <w:tbl>
      <w:tblPr>
        <w:tblW w:type="dxa" w:w="8000"/>
        <w:tblBorders>
          <w:top w:val="none" w:color="FFFFFF" w:sz="0"/>
          <w:left w:val="none" w:color="FFFFFF" w:sz="0"/>
          <w:bottom w:val="none" w:color="FFFFFF" w:sz="0"/>
          <w:right w:val="none" w:color="FFFFFF" w:sz="0"/>
          <w:insideH w:val="none" w:color="FFFFFF" w:sz="0"/>
          <w:insideV w:val="none" w:color="FFFFFF" w:sz="0"/>
        </w:tblBorders>
      </w:tblPr>
      <w:tblGrid>
        <w:gridCol w:w="2500"/>
        <w:gridCol w:w="3200"/>
        <w:gridCol w:w="2300"/>
      </w:tblGrid>
      <w:tr>
        <w:trPr>
          <w:tblHeader/>
        </w:trPr>
        <w:tc>
          <w:tcPr>
            <w:tcW w:type="dxa" w:w="2500"/>
            <w:shd w:fill="f0f0f0" w:color="auto" w:val="clear"/>
            <w:tcMar>
              <w:top w:type="dxa" w:w="40"/>
              <w:left w:type="dxa" w:w="90"/>
              <w:bottom w:type="dxa" w:w="40"/>
              <w:right w:type="dxa" w:w="90"/>
            </w:tcMar>
          </w:tcPr>
          <w:p>
            <w:pPr>
              <w:spacing w:after="0" w:line="240"/>
              <w:jc w:val="left"/>
            </w:pPr>
            <w:r>
              <w:rPr>
                <w:rFonts w:ascii="Times New Roman" w:cs="Times New Roman" w:eastAsia="Times New Roman" w:hAnsi="Times New Roman"/>
                <w:b/>
                <w:bCs/>
                <w:color w:val="1a1a1a"/>
                <w:sz w:val="18"/>
                <w:szCs w:val="18"/>
              </w:rPr>
              <w:t xml:space="preserve">Corpus</w:t>
            </w:r>
          </w:p>
        </w:tc>
        <w:tc>
          <w:tcPr>
            <w:tcW w:type="dxa" w:w="3200"/>
            <w:shd w:fill="f0f0f0" w:color="auto" w:val="clear"/>
            <w:tcMar>
              <w:top w:type="dxa" w:w="40"/>
              <w:left w:type="dxa" w:w="90"/>
              <w:bottom w:type="dxa" w:w="40"/>
              <w:right w:type="dxa" w:w="90"/>
            </w:tcMar>
          </w:tcPr>
          <w:p>
            <w:pPr>
              <w:spacing w:after="0" w:line="240"/>
              <w:jc w:val="left"/>
            </w:pPr>
            <w:r>
              <w:rPr>
                <w:rFonts w:ascii="Times New Roman" w:cs="Times New Roman" w:eastAsia="Times New Roman" w:hAnsi="Times New Roman"/>
                <w:b/>
                <w:bCs/>
                <w:color w:val="1a1a1a"/>
                <w:sz w:val="18"/>
                <w:szCs w:val="18"/>
              </w:rPr>
              <w:t xml:space="preserve">Property audited</w:t>
            </w:r>
          </w:p>
        </w:tc>
        <w:tc>
          <w:tcPr>
            <w:tcW w:type="dxa" w:w="2300"/>
            <w:shd w:fill="f0f0f0" w:color="auto" w:val="clear"/>
            <w:tcMar>
              <w:top w:type="dxa" w:w="40"/>
              <w:left w:type="dxa" w:w="90"/>
              <w:bottom w:type="dxa" w:w="40"/>
              <w:right w:type="dxa" w:w="90"/>
            </w:tcMar>
          </w:tcPr>
          <w:p>
            <w:pPr>
              <w:spacing w:after="0" w:line="240"/>
              <w:jc w:val="center"/>
            </w:pPr>
            <w:r>
              <w:rPr>
                <w:rFonts w:ascii="Times New Roman" w:cs="Times New Roman" w:eastAsia="Times New Roman" w:hAnsi="Times New Roman"/>
                <w:b/>
                <w:bCs/>
                <w:color w:val="1a1a1a"/>
                <w:sz w:val="18"/>
                <w:szCs w:val="18"/>
              </w:rPr>
              <w:t xml:space="preserve">Measurement</w:t>
            </w:r>
          </w:p>
        </w:tc>
      </w:tr>
      <w:tr>
        <w:tc>
          <w:tcPr>
            <w:tcW w:type="dxa" w:w="2500"/>
            <w:tcMar>
              <w:top w:type="dxa" w:w="40"/>
              <w:left w:type="dxa" w:w="90"/>
              <w:bottom w:type="dxa" w:w="40"/>
              <w:right w:type="dxa" w:w="90"/>
            </w:tcMar>
          </w:tcPr>
          <w:p>
            <w:pPr>
              <w:spacing w:after="0" w:line="240"/>
              <w:jc w:val="left"/>
            </w:pPr>
            <w:r>
              <w:rPr>
                <w:rFonts w:ascii="Times New Roman" w:cs="Times New Roman" w:eastAsia="Times New Roman" w:hAnsi="Times New Roman"/>
                <w:color w:val="1a1a1a"/>
                <w:sz w:val="18"/>
                <w:szCs w:val="18"/>
              </w:rPr>
              <w:t xml:space="preserve">StealthPhisher 2025</w:t>
            </w:r>
          </w:p>
        </w:tc>
        <w:tc>
          <w:tcPr>
            <w:tcW w:type="dxa" w:w="3200"/>
            <w:tcMar>
              <w:top w:type="dxa" w:w="40"/>
              <w:left w:type="dxa" w:w="90"/>
              <w:bottom w:type="dxa" w:w="40"/>
              <w:right w:type="dxa" w:w="90"/>
            </w:tcMar>
          </w:tcPr>
          <w:p>
            <w:pPr>
              <w:spacing w:after="0" w:line="240"/>
              <w:jc w:val="left"/>
            </w:pPr>
            <w:r>
              <w:rPr>
                <w:rFonts w:ascii="Times New Roman" w:cs="Times New Roman" w:eastAsia="Times New Roman" w:hAnsi="Times New Roman"/>
                <w:color w:val="1a1a1a"/>
                <w:sz w:val="18"/>
                <w:szCs w:val="18"/>
              </w:rPr>
              <w:t xml:space="preserve">Test URLs containing an MFS brand token</w:t>
            </w:r>
          </w:p>
        </w:tc>
        <w:tc>
          <w:tcPr>
            <w:tcW w:type="dxa" w:w="2300"/>
            <w:tcMar>
              <w:top w:type="dxa" w:w="40"/>
              <w:left w:type="dxa" w:w="90"/>
              <w:bottom w:type="dxa" w:w="40"/>
              <w:right w:type="dxa" w:w="90"/>
            </w:tcMar>
          </w:tcPr>
          <w:p>
            <w:pPr>
              <w:spacing w:after="0" w:line="240"/>
              <w:jc w:val="center"/>
            </w:pPr>
            <w:r>
              <w:rPr>
                <w:rFonts w:ascii="Times New Roman" w:cs="Times New Roman" w:eastAsia="Times New Roman" w:hAnsi="Times New Roman"/>
                <w:b/>
                <w:bCs/>
                <w:color w:val="1a1a1a"/>
                <w:sz w:val="18"/>
                <w:szCs w:val="18"/>
              </w:rPr>
              <w:t xml:space="preserve">6 of 29,794  (0.02%)</w:t>
            </w:r>
          </w:p>
        </w:tc>
      </w:tr>
      <w:tr>
        <w:tc>
          <w:tcPr>
            <w:tcW w:type="dxa" w:w="2500"/>
            <w:tcMar>
              <w:top w:type="dxa" w:w="40"/>
              <w:left w:type="dxa" w:w="90"/>
              <w:bottom w:type="dxa" w:w="40"/>
              <w:right w:type="dxa" w:w="90"/>
            </w:tcMar>
          </w:tcPr>
          <w:p>
            <w:pPr>
              <w:spacing w:after="0" w:line="240"/>
              <w:jc w:val="left"/>
            </w:pPr>
            <w:r>
              <w:rPr>
                <w:rFonts w:ascii="Times New Roman" w:cs="Times New Roman" w:eastAsia="Times New Roman" w:hAnsi="Times New Roman"/>
                <w:color w:val="1a1a1a"/>
                <w:sz w:val="18"/>
                <w:szCs w:val="18"/>
              </w:rPr>
              <w:t xml:space="preserve">(150,000 URLs used)</w:t>
            </w:r>
          </w:p>
        </w:tc>
        <w:tc>
          <w:tcPr>
            <w:tcW w:type="dxa" w:w="3200"/>
            <w:tcMar>
              <w:top w:type="dxa" w:w="40"/>
              <w:left w:type="dxa" w:w="90"/>
              <w:bottom w:type="dxa" w:w="40"/>
              <w:right w:type="dxa" w:w="90"/>
            </w:tcMar>
          </w:tcPr>
          <w:p>
            <w:pPr>
              <w:spacing w:after="0" w:line="240"/>
              <w:jc w:val="left"/>
            </w:pPr>
            <w:r>
              <w:rPr>
                <w:rFonts w:ascii="Times New Roman" w:cs="Times New Roman" w:eastAsia="Times New Roman" w:hAnsi="Times New Roman"/>
                <w:color w:val="1a1a1a"/>
                <w:sz w:val="18"/>
                <w:szCs w:val="18"/>
              </w:rPr>
              <w:t xml:space="preserve">Distinct registered domains</w:t>
            </w:r>
          </w:p>
        </w:tc>
        <w:tc>
          <w:tcPr>
            <w:tcW w:type="dxa" w:w="2300"/>
            <w:tcMar>
              <w:top w:type="dxa" w:w="40"/>
              <w:left w:type="dxa" w:w="90"/>
              <w:bottom w:type="dxa" w:w="40"/>
              <w:right w:type="dxa" w:w="90"/>
            </w:tcMar>
          </w:tcPr>
          <w:p>
            <w:pPr>
              <w:spacing w:after="0" w:line="240"/>
              <w:jc w:val="center"/>
            </w:pPr>
            <w:r>
              <w:rPr>
                <w:rFonts w:ascii="Times New Roman" w:cs="Times New Roman" w:eastAsia="Times New Roman" w:hAnsi="Times New Roman"/>
                <w:color w:val="1a1a1a"/>
                <w:sz w:val="18"/>
                <w:szCs w:val="18"/>
              </w:rPr>
              <w:t xml:space="preserve">91,674</w:t>
            </w:r>
          </w:p>
        </w:tc>
      </w:tr>
      <w:tr>
        <w:tc>
          <w:tcPr>
            <w:tcW w:type="dxa" w:w="2500"/>
            <w:tcMar>
              <w:top w:type="dxa" w:w="40"/>
              <w:left w:type="dxa" w:w="90"/>
              <w:bottom w:type="dxa" w:w="40"/>
              <w:right w:type="dxa" w:w="90"/>
            </w:tcMar>
          </w:tcPr>
          <w:p>
            <w:pPr>
              <w:spacing w:after="0" w:line="240"/>
              <w:jc w:val="left"/>
            </w:pPr>
            <w:r>
              <w:rPr>
                <w:rFonts w:ascii="Times New Roman" w:cs="Times New Roman" w:eastAsia="Times New Roman" w:hAnsi="Times New Roman"/>
                <w:color w:val="1a1a1a"/>
                <w:sz w:val="18"/>
                <w:szCs w:val="18"/>
              </w:rPr>
              <w:t xml:space="preserve"/>
            </w:r>
          </w:p>
        </w:tc>
        <w:tc>
          <w:tcPr>
            <w:tcW w:type="dxa" w:w="3200"/>
            <w:tcMar>
              <w:top w:type="dxa" w:w="40"/>
              <w:left w:type="dxa" w:w="90"/>
              <w:bottom w:type="dxa" w:w="40"/>
              <w:right w:type="dxa" w:w="90"/>
            </w:tcMar>
          </w:tcPr>
          <w:p>
            <w:pPr>
              <w:spacing w:after="0" w:line="240"/>
              <w:jc w:val="left"/>
            </w:pPr>
            <w:r>
              <w:rPr>
                <w:rFonts w:ascii="Times New Roman" w:cs="Times New Roman" w:eastAsia="Times New Roman" w:hAnsi="Times New Roman"/>
                <w:color w:val="1a1a1a"/>
                <w:sz w:val="18"/>
                <w:szCs w:val="18"/>
              </w:rPr>
              <w:t xml:space="preserve">Exact duplicate URLs</w:t>
            </w:r>
          </w:p>
        </w:tc>
        <w:tc>
          <w:tcPr>
            <w:tcW w:type="dxa" w:w="2300"/>
            <w:tcMar>
              <w:top w:type="dxa" w:w="40"/>
              <w:left w:type="dxa" w:w="90"/>
              <w:bottom w:type="dxa" w:w="40"/>
              <w:right w:type="dxa" w:w="90"/>
            </w:tcMar>
          </w:tcPr>
          <w:p>
            <w:pPr>
              <w:spacing w:after="0" w:line="240"/>
              <w:jc w:val="center"/>
            </w:pPr>
            <w:r>
              <w:rPr>
                <w:rFonts w:ascii="Times New Roman" w:cs="Times New Roman" w:eastAsia="Times New Roman" w:hAnsi="Times New Roman"/>
                <w:color w:val="1a1a1a"/>
                <w:sz w:val="18"/>
                <w:szCs w:val="18"/>
              </w:rPr>
              <w:t xml:space="preserve">0</w:t>
            </w:r>
          </w:p>
        </w:tc>
      </w:tr>
      <w:tr>
        <w:tc>
          <w:tcPr>
            <w:tcW w:type="dxa" w:w="2500"/>
            <w:tcMar>
              <w:top w:type="dxa" w:w="40"/>
              <w:left w:type="dxa" w:w="90"/>
              <w:bottom w:type="dxa" w:w="40"/>
              <w:right w:type="dxa" w:w="90"/>
            </w:tcMar>
          </w:tcPr>
          <w:p>
            <w:pPr>
              <w:spacing w:after="0" w:line="240"/>
              <w:jc w:val="left"/>
            </w:pPr>
            <w:r>
              <w:rPr>
                <w:rFonts w:ascii="Times New Roman" w:cs="Times New Roman" w:eastAsia="Times New Roman" w:hAnsi="Times New Roman"/>
                <w:color w:val="1a1a1a"/>
                <w:sz w:val="18"/>
                <w:szCs w:val="18"/>
              </w:rPr>
              <w:t xml:space="preserve">BangalaBarta 2024</w:t>
            </w:r>
          </w:p>
        </w:tc>
        <w:tc>
          <w:tcPr>
            <w:tcW w:type="dxa" w:w="3200"/>
            <w:tcMar>
              <w:top w:type="dxa" w:w="40"/>
              <w:left w:type="dxa" w:w="90"/>
              <w:bottom w:type="dxa" w:w="40"/>
              <w:right w:type="dxa" w:w="90"/>
            </w:tcMar>
          </w:tcPr>
          <w:p>
            <w:pPr>
              <w:spacing w:after="0" w:line="240"/>
              <w:jc w:val="left"/>
            </w:pPr>
            <w:r>
              <w:rPr>
                <w:rFonts w:ascii="Times New Roman" w:cs="Times New Roman" w:eastAsia="Times New Roman" w:hAnsi="Times New Roman"/>
                <w:color w:val="1a1a1a"/>
                <w:sz w:val="18"/>
                <w:szCs w:val="18"/>
              </w:rPr>
              <w:t xml:space="preserve">Exact duplicate messages</w:t>
            </w:r>
          </w:p>
        </w:tc>
        <w:tc>
          <w:tcPr>
            <w:tcW w:type="dxa" w:w="2300"/>
            <w:tcMar>
              <w:top w:type="dxa" w:w="40"/>
              <w:left w:type="dxa" w:w="90"/>
              <w:bottom w:type="dxa" w:w="40"/>
              <w:right w:type="dxa" w:w="90"/>
            </w:tcMar>
          </w:tcPr>
          <w:p>
            <w:pPr>
              <w:spacing w:after="0" w:line="240"/>
              <w:jc w:val="center"/>
            </w:pPr>
            <w:r>
              <w:rPr>
                <w:rFonts w:ascii="Times New Roman" w:cs="Times New Roman" w:eastAsia="Times New Roman" w:hAnsi="Times New Roman"/>
                <w:b/>
                <w:bCs/>
                <w:color w:val="1a1a1a"/>
                <w:sz w:val="18"/>
                <w:szCs w:val="18"/>
              </w:rPr>
              <w:t xml:space="preserve">1,566 of 2,772  (56.5%)</w:t>
            </w:r>
          </w:p>
        </w:tc>
      </w:tr>
      <w:tr>
        <w:tc>
          <w:tcPr>
            <w:tcW w:type="dxa" w:w="2500"/>
            <w:tcMar>
              <w:top w:type="dxa" w:w="40"/>
              <w:left w:type="dxa" w:w="90"/>
              <w:bottom w:type="dxa" w:w="40"/>
              <w:right w:type="dxa" w:w="90"/>
            </w:tcMar>
          </w:tcPr>
          <w:p>
            <w:pPr>
              <w:spacing w:after="0" w:line="240"/>
              <w:jc w:val="left"/>
            </w:pPr>
            <w:r>
              <w:rPr>
                <w:rFonts w:ascii="Times New Roman" w:cs="Times New Roman" w:eastAsia="Times New Roman" w:hAnsi="Times New Roman"/>
                <w:color w:val="1a1a1a"/>
                <w:sz w:val="18"/>
                <w:szCs w:val="18"/>
              </w:rPr>
              <w:t xml:space="preserve">(2,772 messages)</w:t>
            </w:r>
          </w:p>
        </w:tc>
        <w:tc>
          <w:tcPr>
            <w:tcW w:type="dxa" w:w="3200"/>
            <w:tcMar>
              <w:top w:type="dxa" w:w="40"/>
              <w:left w:type="dxa" w:w="90"/>
              <w:bottom w:type="dxa" w:w="40"/>
              <w:right w:type="dxa" w:w="90"/>
            </w:tcMar>
          </w:tcPr>
          <w:p>
            <w:pPr>
              <w:spacing w:after="0" w:line="240"/>
              <w:jc w:val="left"/>
            </w:pPr>
            <w:r>
              <w:rPr>
                <w:rFonts w:ascii="Times New Roman" w:cs="Times New Roman" w:eastAsia="Times New Roman" w:hAnsi="Times New Roman"/>
                <w:color w:val="1a1a1a"/>
                <w:sz w:val="18"/>
                <w:szCs w:val="18"/>
              </w:rPr>
              <w:t xml:space="preserve">Distinct messages after normalization</w:t>
            </w:r>
          </w:p>
        </w:tc>
        <w:tc>
          <w:tcPr>
            <w:tcW w:type="dxa" w:w="2300"/>
            <w:tcMar>
              <w:top w:type="dxa" w:w="40"/>
              <w:left w:type="dxa" w:w="90"/>
              <w:bottom w:type="dxa" w:w="40"/>
              <w:right w:type="dxa" w:w="90"/>
            </w:tcMar>
          </w:tcPr>
          <w:p>
            <w:pPr>
              <w:spacing w:after="0" w:line="240"/>
              <w:jc w:val="center"/>
            </w:pPr>
            <w:r>
              <w:rPr>
                <w:rFonts w:ascii="Times New Roman" w:cs="Times New Roman" w:eastAsia="Times New Roman" w:hAnsi="Times New Roman"/>
                <w:color w:val="1a1a1a"/>
                <w:sz w:val="18"/>
                <w:szCs w:val="18"/>
              </w:rPr>
              <w:t xml:space="preserve">1,095</w:t>
            </w:r>
          </w:p>
        </w:tc>
      </w:tr>
      <w:tr>
        <w:tc>
          <w:tcPr>
            <w:tcW w:type="dxa" w:w="2500"/>
            <w:tcMar>
              <w:top w:type="dxa" w:w="40"/>
              <w:left w:type="dxa" w:w="90"/>
              <w:bottom w:type="dxa" w:w="40"/>
              <w:right w:type="dxa" w:w="90"/>
            </w:tcMar>
          </w:tcPr>
          <w:p>
            <w:pPr>
              <w:spacing w:after="0" w:line="240"/>
              <w:jc w:val="left"/>
            </w:pPr>
            <w:r>
              <w:rPr>
                <w:rFonts w:ascii="Times New Roman" w:cs="Times New Roman" w:eastAsia="Times New Roman" w:hAnsi="Times New Roman"/>
                <w:color w:val="1a1a1a"/>
                <w:sz w:val="18"/>
                <w:szCs w:val="18"/>
              </w:rPr>
              <w:t xml:space="preserve"/>
            </w:r>
          </w:p>
        </w:tc>
        <w:tc>
          <w:tcPr>
            <w:tcW w:type="dxa" w:w="3200"/>
            <w:tcMar>
              <w:top w:type="dxa" w:w="40"/>
              <w:left w:type="dxa" w:w="90"/>
              <w:bottom w:type="dxa" w:w="40"/>
              <w:right w:type="dxa" w:w="90"/>
            </w:tcMar>
          </w:tcPr>
          <w:p>
            <w:pPr>
              <w:spacing w:after="0" w:line="240"/>
              <w:jc w:val="left"/>
            </w:pPr>
            <w:r>
              <w:rPr>
                <w:rFonts w:ascii="Times New Roman" w:cs="Times New Roman" w:eastAsia="Times New Roman" w:hAnsi="Times New Roman"/>
                <w:color w:val="1a1a1a"/>
                <w:sz w:val="18"/>
                <w:szCs w:val="18"/>
              </w:rPr>
              <w:t xml:space="preserve">Distinct near-duplicate clusters</w:t>
            </w:r>
          </w:p>
        </w:tc>
        <w:tc>
          <w:tcPr>
            <w:tcW w:type="dxa" w:w="2300"/>
            <w:tcMar>
              <w:top w:type="dxa" w:w="40"/>
              <w:left w:type="dxa" w:w="90"/>
              <w:bottom w:type="dxa" w:w="40"/>
              <w:right w:type="dxa" w:w="90"/>
            </w:tcMar>
          </w:tcPr>
          <w:p>
            <w:pPr>
              <w:spacing w:after="0" w:line="240"/>
              <w:jc w:val="center"/>
            </w:pPr>
            <w:r>
              <w:rPr>
                <w:rFonts w:ascii="Times New Roman" w:cs="Times New Roman" w:eastAsia="Times New Roman" w:hAnsi="Times New Roman"/>
                <w:color w:val="1a1a1a"/>
                <w:sz w:val="18"/>
                <w:szCs w:val="18"/>
              </w:rPr>
              <w:t xml:space="preserve">1,028</w:t>
            </w:r>
          </w:p>
        </w:tc>
      </w:tr>
      <w:tr>
        <w:tc>
          <w:tcPr>
            <w:tcW w:type="dxa" w:w="2500"/>
            <w:tcMar>
              <w:top w:type="dxa" w:w="40"/>
              <w:left w:type="dxa" w:w="90"/>
              <w:bottom w:type="dxa" w:w="40"/>
              <w:right w:type="dxa" w:w="90"/>
            </w:tcMar>
          </w:tcPr>
          <w:p>
            <w:pPr>
              <w:spacing w:after="0" w:line="240"/>
              <w:jc w:val="left"/>
            </w:pPr>
            <w:r>
              <w:rPr>
                <w:rFonts w:ascii="Times New Roman" w:cs="Times New Roman" w:eastAsia="Times New Roman" w:hAnsi="Times New Roman"/>
                <w:color w:val="1a1a1a"/>
                <w:sz w:val="18"/>
                <w:szCs w:val="18"/>
              </w:rPr>
              <w:t xml:space="preserve"/>
            </w:r>
          </w:p>
        </w:tc>
        <w:tc>
          <w:tcPr>
            <w:tcW w:type="dxa" w:w="3200"/>
            <w:tcMar>
              <w:top w:type="dxa" w:w="40"/>
              <w:left w:type="dxa" w:w="90"/>
              <w:bottom w:type="dxa" w:w="40"/>
              <w:right w:type="dxa" w:w="90"/>
            </w:tcMar>
          </w:tcPr>
          <w:p>
            <w:pPr>
              <w:spacing w:after="0" w:line="240"/>
              <w:jc w:val="left"/>
            </w:pPr>
            <w:r>
              <w:rPr>
                <w:rFonts w:ascii="Times New Roman" w:cs="Times New Roman" w:eastAsia="Times New Roman" w:hAnsi="Times New Roman"/>
                <w:color w:val="1a1a1a"/>
                <w:sz w:val="18"/>
                <w:szCs w:val="18"/>
              </w:rPr>
              <w:t xml:space="preserve">Largest single cluster</w:t>
            </w:r>
          </w:p>
        </w:tc>
        <w:tc>
          <w:tcPr>
            <w:tcW w:type="dxa" w:w="2300"/>
            <w:tcMar>
              <w:top w:type="dxa" w:w="40"/>
              <w:left w:type="dxa" w:w="90"/>
              <w:bottom w:type="dxa" w:w="40"/>
              <w:right w:type="dxa" w:w="90"/>
            </w:tcMar>
          </w:tcPr>
          <w:p>
            <w:pPr>
              <w:spacing w:after="0" w:line="240"/>
              <w:jc w:val="center"/>
            </w:pPr>
            <w:r>
              <w:rPr>
                <w:rFonts w:ascii="Times New Roman" w:cs="Times New Roman" w:eastAsia="Times New Roman" w:hAnsi="Times New Roman"/>
                <w:color w:val="1a1a1a"/>
                <w:sz w:val="18"/>
                <w:szCs w:val="18"/>
              </w:rPr>
              <w:t xml:space="preserve">48 identical messages</w:t>
            </w:r>
          </w:p>
        </w:tc>
      </w:tr>
    </w:tbl>
    <w:p>
      <w:pPr>
        <w:spacing w:after="160" w:before="60"/>
        <w:jc w:val="center"/>
      </w:pPr>
      <w:r>
        <w:rPr>
          <w:rFonts w:ascii="Times New Roman" w:cs="Times New Roman" w:eastAsia="Times New Roman" w:hAnsi="Times New Roman"/>
          <w:i/>
          <w:iCs/>
          <w:color w:val="5f5f5f"/>
          <w:sz w:val="18"/>
          <w:szCs w:val="18"/>
        </w:rPr>
        <w:t xml:space="preserve">Table 4: Audit of the two text evaluation corpora. Near-duplicate clusters are formed by normalizing digits and URLs, then merging messages with character n-gram cosine similarity above 0.90.</w:t>
      </w:r>
    </w:p>
    <w:p>
      <w:pPr>
        <w:spacing w:after="120" w:before="0" w:line="264"/>
        <w:jc w:val="both"/>
      </w:pPr>
      <w:r>
        <w:rPr>
          <w:rFonts w:ascii="Times New Roman" w:cs="Times New Roman" w:eastAsia="Times New Roman" w:hAnsi="Times New Roman"/>
          <w:color w:val="1a1a1a"/>
          <w:sz w:val="21"/>
          <w:szCs w:val="21"/>
        </w:rPr>
        <w:t xml:space="preserve">Six of 29,794 held-out URLs contain an MFS brand token. That is 0.02%, too few for any subgroup analysis and far too few to influence an aggregate metric. The MFS features are not ineffective; they are untested, because the attack class they target is effectively absent from the corpus. This holds beyond our system: StealthPhisher 2025 is among the most current large-scale phishing URL corpora available, and it contains almost no examples of the attack that costs Bangladeshi MFS users an average of nine thousand taka per incident. Any detector for this threat, ours included, is presently evaluated on data that does not contain it.</w:t>
      </w:r>
    </w:p>
    <w:p>
      <w:pPr>
        <w:spacing w:after="120" w:before="0" w:line="264"/>
        <w:jc w:val="both"/>
      </w:pPr>
      <w:r>
        <w:rPr>
          <w:rFonts w:ascii="Times New Roman" w:cs="Times New Roman" w:eastAsia="Times New Roman" w:hAnsi="Times New Roman"/>
          <w:color w:val="1a1a1a"/>
          <w:sz w:val="21"/>
          <w:szCs w:val="21"/>
        </w:rPr>
        <w:t xml:space="preserve">The Bangla SMS benchmark presents a different problem. Of 2,772 messages, 1,566 are exact duplicates of another message in the corpus, and normalizing digits and URLs leaves 1,095 distinct texts. Near-duplicate clustering reduces the corpus to 1,028 groups, the largest containing 48 identical copies of a single mobile-operator data-pack advertisement. A corpus of this size and composition supports a narrower range of claims than its nominal message count suggests, and any random split over it distributes members of the same cluster across both partitions.</w:t>
      </w:r>
    </w:p>
    <w:p>
      <w:pPr>
        <w:pStyle w:val="Heading2"/>
        <w:spacing w:after="90" w:before="160"/>
      </w:pPr>
      <w:r>
        <w:rPr>
          <w:rFonts w:ascii="Times New Roman" w:cs="Times New Roman" w:eastAsia="Times New Roman" w:hAnsi="Times New Roman"/>
          <w:b/>
          <w:bCs/>
          <w:color w:val="1a1a1a"/>
          <w:sz w:val="23"/>
          <w:szCs w:val="23"/>
        </w:rPr>
        <w:t xml:space="preserve">4.5   Bangla Smishing Detector Under Two Split Protocols</w:t>
      </w:r>
    </w:p>
    <w:p>
      <w:pPr>
        <w:spacing w:after="100" w:before="0" w:line="264"/>
        <w:jc w:val="both"/>
      </w:pPr>
      <w:r>
        <w:rPr>
          <w:rFonts w:ascii="Times New Roman" w:cs="Times New Roman" w:eastAsia="Times New Roman" w:hAnsi="Times New Roman"/>
          <w:color w:val="1a1a1a"/>
          <w:sz w:val="21"/>
          <w:szCs w:val="21"/>
        </w:rPr>
        <w:t xml:space="preserve">We therefore evaluated the smishing detector under a random split and under a split grouped on the near-duplicate clusters of Table 4, so that no cluster spans the boundary.</w:t>
      </w:r>
    </w:p>
    <w:tbl>
      <w:tblPr>
        <w:tblW w:type="dxa" w:w="9450"/>
        <w:tblBorders>
          <w:top w:val="none" w:color="FFFFFF" w:sz="0"/>
          <w:left w:val="none" w:color="FFFFFF" w:sz="0"/>
          <w:bottom w:val="none" w:color="FFFFFF" w:sz="0"/>
          <w:right w:val="none" w:color="FFFFFF" w:sz="0"/>
          <w:insideH w:val="none" w:color="FFFFFF" w:sz="0"/>
          <w:insideV w:val="none" w:color="FFFFFF" w:sz="0"/>
        </w:tblBorders>
      </w:tblPr>
      <w:tblGrid>
        <w:gridCol w:w="2400"/>
        <w:gridCol w:w="1050"/>
        <w:gridCol w:w="1200"/>
        <w:gridCol w:w="1150"/>
        <w:gridCol w:w="1150"/>
        <w:gridCol w:w="1100"/>
        <w:gridCol w:w="1400"/>
      </w:tblGrid>
      <w:tr>
        <w:trPr>
          <w:tblHeader/>
        </w:trPr>
        <w:tc>
          <w:tcPr>
            <w:tcW w:type="dxa" w:w="2400"/>
            <w:shd w:fill="f0f0f0" w:color="auto" w:val="clear"/>
            <w:tcMar>
              <w:top w:type="dxa" w:w="40"/>
              <w:left w:type="dxa" w:w="90"/>
              <w:bottom w:type="dxa" w:w="40"/>
              <w:right w:type="dxa" w:w="90"/>
            </w:tcMar>
          </w:tcPr>
          <w:p>
            <w:pPr>
              <w:spacing w:after="0" w:line="240"/>
              <w:jc w:val="left"/>
            </w:pPr>
            <w:r>
              <w:rPr>
                <w:rFonts w:ascii="Times New Roman" w:cs="Times New Roman" w:eastAsia="Times New Roman" w:hAnsi="Times New Roman"/>
                <w:b/>
                <w:bCs/>
                <w:color w:val="1a1a1a"/>
                <w:sz w:val="18"/>
                <w:szCs w:val="18"/>
              </w:rPr>
              <w:t xml:space="preserve">Split protocol</w:t>
            </w:r>
          </w:p>
        </w:tc>
        <w:tc>
          <w:tcPr>
            <w:tcW w:type="dxa" w:w="1050"/>
            <w:shd w:fill="f0f0f0" w:color="auto" w:val="clear"/>
            <w:tcMar>
              <w:top w:type="dxa" w:w="40"/>
              <w:left w:type="dxa" w:w="90"/>
              <w:bottom w:type="dxa" w:w="40"/>
              <w:right w:type="dxa" w:w="90"/>
            </w:tcMar>
          </w:tcPr>
          <w:p>
            <w:pPr>
              <w:spacing w:after="0" w:line="240"/>
              <w:jc w:val="center"/>
            </w:pPr>
            <w:r>
              <w:rPr>
                <w:rFonts w:ascii="Times New Roman" w:cs="Times New Roman" w:eastAsia="Times New Roman" w:hAnsi="Times New Roman"/>
                <w:b/>
                <w:bCs/>
                <w:color w:val="1a1a1a"/>
                <w:sz w:val="18"/>
                <w:szCs w:val="18"/>
              </w:rPr>
              <w:t xml:space="preserve">n (test)</w:t>
            </w:r>
          </w:p>
        </w:tc>
        <w:tc>
          <w:tcPr>
            <w:tcW w:type="dxa" w:w="1200"/>
            <w:shd w:fill="f0f0f0" w:color="auto" w:val="clear"/>
            <w:tcMar>
              <w:top w:type="dxa" w:w="40"/>
              <w:left w:type="dxa" w:w="90"/>
              <w:bottom w:type="dxa" w:w="40"/>
              <w:right w:type="dxa" w:w="90"/>
            </w:tcMar>
          </w:tcPr>
          <w:p>
            <w:pPr>
              <w:spacing w:after="0" w:line="240"/>
              <w:jc w:val="center"/>
            </w:pPr>
            <w:r>
              <w:rPr>
                <w:rFonts w:ascii="Times New Roman" w:cs="Times New Roman" w:eastAsia="Times New Roman" w:hAnsi="Times New Roman"/>
                <w:b/>
                <w:bCs/>
                <w:color w:val="1a1a1a"/>
                <w:sz w:val="18"/>
                <w:szCs w:val="18"/>
              </w:rPr>
              <w:t xml:space="preserve">Accuracy</w:t>
            </w:r>
          </w:p>
        </w:tc>
        <w:tc>
          <w:tcPr>
            <w:tcW w:type="dxa" w:w="1150"/>
            <w:shd w:fill="f0f0f0" w:color="auto" w:val="clear"/>
            <w:tcMar>
              <w:top w:type="dxa" w:w="40"/>
              <w:left w:type="dxa" w:w="90"/>
              <w:bottom w:type="dxa" w:w="40"/>
              <w:right w:type="dxa" w:w="90"/>
            </w:tcMar>
          </w:tcPr>
          <w:p>
            <w:pPr>
              <w:spacing w:after="0" w:line="240"/>
              <w:jc w:val="center"/>
            </w:pPr>
            <w:r>
              <w:rPr>
                <w:rFonts w:ascii="Times New Roman" w:cs="Times New Roman" w:eastAsia="Times New Roman" w:hAnsi="Times New Roman"/>
                <w:b/>
                <w:bCs/>
                <w:color w:val="1a1a1a"/>
                <w:sz w:val="18"/>
                <w:szCs w:val="18"/>
              </w:rPr>
              <w:t xml:space="preserve">ROC-AUC</w:t>
            </w:r>
          </w:p>
        </w:tc>
        <w:tc>
          <w:tcPr>
            <w:tcW w:type="dxa" w:w="1150"/>
            <w:shd w:fill="f0f0f0" w:color="auto" w:val="clear"/>
            <w:tcMar>
              <w:top w:type="dxa" w:w="40"/>
              <w:left w:type="dxa" w:w="90"/>
              <w:bottom w:type="dxa" w:w="40"/>
              <w:right w:type="dxa" w:w="90"/>
            </w:tcMar>
          </w:tcPr>
          <w:p>
            <w:pPr>
              <w:spacing w:after="0" w:line="240"/>
              <w:jc w:val="center"/>
            </w:pPr>
            <w:r>
              <w:rPr>
                <w:rFonts w:ascii="Times New Roman" w:cs="Times New Roman" w:eastAsia="Times New Roman" w:hAnsi="Times New Roman"/>
                <w:b/>
                <w:bCs/>
                <w:color w:val="1a1a1a"/>
                <w:sz w:val="18"/>
                <w:szCs w:val="18"/>
              </w:rPr>
              <w:t xml:space="preserve">Recall</w:t>
            </w:r>
          </w:p>
        </w:tc>
        <w:tc>
          <w:tcPr>
            <w:tcW w:type="dxa" w:w="1100"/>
            <w:shd w:fill="f0f0f0" w:color="auto" w:val="clear"/>
            <w:tcMar>
              <w:top w:type="dxa" w:w="40"/>
              <w:left w:type="dxa" w:w="90"/>
              <w:bottom w:type="dxa" w:w="40"/>
              <w:right w:type="dxa" w:w="90"/>
            </w:tcMar>
          </w:tcPr>
          <w:p>
            <w:pPr>
              <w:spacing w:after="0" w:line="240"/>
              <w:jc w:val="center"/>
            </w:pPr>
            <w:r>
              <w:rPr>
                <w:rFonts w:ascii="Times New Roman" w:cs="Times New Roman" w:eastAsia="Times New Roman" w:hAnsi="Times New Roman"/>
                <w:b/>
                <w:bCs/>
                <w:color w:val="1a1a1a"/>
                <w:sz w:val="18"/>
                <w:szCs w:val="18"/>
              </w:rPr>
              <w:t xml:space="preserve">FNR</w:t>
            </w:r>
          </w:p>
        </w:tc>
        <w:tc>
          <w:tcPr>
            <w:tcW w:type="dxa" w:w="1400"/>
            <w:shd w:fill="f0f0f0" w:color="auto" w:val="clear"/>
            <w:tcMar>
              <w:top w:type="dxa" w:w="40"/>
              <w:left w:type="dxa" w:w="90"/>
              <w:bottom w:type="dxa" w:w="40"/>
              <w:right w:type="dxa" w:w="90"/>
            </w:tcMar>
          </w:tcPr>
          <w:p>
            <w:pPr>
              <w:spacing w:after="0" w:line="240"/>
              <w:jc w:val="center"/>
            </w:pPr>
            <w:r>
              <w:rPr>
                <w:rFonts w:ascii="Times New Roman" w:cs="Times New Roman" w:eastAsia="Times New Roman" w:hAnsi="Times New Roman"/>
                <w:b/>
                <w:bCs/>
                <w:color w:val="1a1a1a"/>
                <w:sz w:val="18"/>
                <w:szCs w:val="18"/>
              </w:rPr>
              <w:t xml:space="preserve">Cluster overlap</w:t>
            </w:r>
          </w:p>
        </w:tc>
      </w:tr>
      <w:tr>
        <w:tc>
          <w:tcPr>
            <w:tcW w:type="dxa" w:w="2400"/>
            <w:tcMar>
              <w:top w:type="dxa" w:w="40"/>
              <w:left w:type="dxa" w:w="90"/>
              <w:bottom w:type="dxa" w:w="40"/>
              <w:right w:type="dxa" w:w="90"/>
            </w:tcMar>
          </w:tcPr>
          <w:p>
            <w:pPr>
              <w:spacing w:after="0" w:line="240"/>
              <w:jc w:val="left"/>
            </w:pPr>
            <w:r>
              <w:rPr>
                <w:rFonts w:ascii="Times New Roman" w:cs="Times New Roman" w:eastAsia="Times New Roman" w:hAnsi="Times New Roman"/>
                <w:color w:val="1a1a1a"/>
                <w:sz w:val="18"/>
                <w:szCs w:val="18"/>
              </w:rPr>
              <w:t xml:space="preserve">Random (conventional)</w:t>
            </w:r>
          </w:p>
        </w:tc>
        <w:tc>
          <w:tcPr>
            <w:tcW w:type="dxa" w:w="1050"/>
            <w:tcMar>
              <w:top w:type="dxa" w:w="40"/>
              <w:left w:type="dxa" w:w="90"/>
              <w:bottom w:type="dxa" w:w="40"/>
              <w:right w:type="dxa" w:w="90"/>
            </w:tcMar>
          </w:tcPr>
          <w:p>
            <w:pPr>
              <w:spacing w:after="0" w:line="240"/>
              <w:jc w:val="center"/>
            </w:pPr>
            <w:r>
              <w:rPr>
                <w:rFonts w:ascii="Times New Roman" w:cs="Times New Roman" w:eastAsia="Times New Roman" w:hAnsi="Times New Roman"/>
                <w:color w:val="1a1a1a"/>
                <w:sz w:val="18"/>
                <w:szCs w:val="18"/>
              </w:rPr>
              <w:t xml:space="preserve">555</w:t>
            </w:r>
          </w:p>
        </w:tc>
        <w:tc>
          <w:tcPr>
            <w:tcW w:type="dxa" w:w="1200"/>
            <w:tcMar>
              <w:top w:type="dxa" w:w="40"/>
              <w:left w:type="dxa" w:w="90"/>
              <w:bottom w:type="dxa" w:w="40"/>
              <w:right w:type="dxa" w:w="90"/>
            </w:tcMar>
          </w:tcPr>
          <w:p>
            <w:pPr>
              <w:spacing w:after="0" w:line="240"/>
              <w:jc w:val="center"/>
            </w:pPr>
            <w:r>
              <w:rPr>
                <w:rFonts w:ascii="Times New Roman" w:cs="Times New Roman" w:eastAsia="Times New Roman" w:hAnsi="Times New Roman"/>
                <w:color w:val="1a1a1a"/>
                <w:sz w:val="18"/>
                <w:szCs w:val="18"/>
              </w:rPr>
              <w:t xml:space="preserve">0.9784</w:t>
            </w:r>
          </w:p>
        </w:tc>
        <w:tc>
          <w:tcPr>
            <w:tcW w:type="dxa" w:w="1150"/>
            <w:tcMar>
              <w:top w:type="dxa" w:w="40"/>
              <w:left w:type="dxa" w:w="90"/>
              <w:bottom w:type="dxa" w:w="40"/>
              <w:right w:type="dxa" w:w="90"/>
            </w:tcMar>
          </w:tcPr>
          <w:p>
            <w:pPr>
              <w:spacing w:after="0" w:line="240"/>
              <w:jc w:val="center"/>
            </w:pPr>
            <w:r>
              <w:rPr>
                <w:rFonts w:ascii="Times New Roman" w:cs="Times New Roman" w:eastAsia="Times New Roman" w:hAnsi="Times New Roman"/>
                <w:color w:val="1a1a1a"/>
                <w:sz w:val="18"/>
                <w:szCs w:val="18"/>
              </w:rPr>
              <w:t xml:space="preserve">0.9981</w:t>
            </w:r>
          </w:p>
        </w:tc>
        <w:tc>
          <w:tcPr>
            <w:tcW w:type="dxa" w:w="1150"/>
            <w:tcMar>
              <w:top w:type="dxa" w:w="40"/>
              <w:left w:type="dxa" w:w="90"/>
              <w:bottom w:type="dxa" w:w="40"/>
              <w:right w:type="dxa" w:w="90"/>
            </w:tcMar>
          </w:tcPr>
          <w:p>
            <w:pPr>
              <w:spacing w:after="0" w:line="240"/>
              <w:jc w:val="center"/>
            </w:pPr>
            <w:r>
              <w:rPr>
                <w:rFonts w:ascii="Times New Roman" w:cs="Times New Roman" w:eastAsia="Times New Roman" w:hAnsi="Times New Roman"/>
                <w:color w:val="1a1a1a"/>
                <w:sz w:val="18"/>
                <w:szCs w:val="18"/>
              </w:rPr>
              <w:t xml:space="preserve">0.9811</w:t>
            </w:r>
          </w:p>
        </w:tc>
        <w:tc>
          <w:tcPr>
            <w:tcW w:type="dxa" w:w="1100"/>
            <w:tcMar>
              <w:top w:type="dxa" w:w="40"/>
              <w:left w:type="dxa" w:w="90"/>
              <w:bottom w:type="dxa" w:w="40"/>
              <w:right w:type="dxa" w:w="90"/>
            </w:tcMar>
          </w:tcPr>
          <w:p>
            <w:pPr>
              <w:spacing w:after="0" w:line="240"/>
              <w:jc w:val="center"/>
            </w:pPr>
            <w:r>
              <w:rPr>
                <w:rFonts w:ascii="Times New Roman" w:cs="Times New Roman" w:eastAsia="Times New Roman" w:hAnsi="Times New Roman"/>
                <w:color w:val="1a1a1a"/>
                <w:sz w:val="18"/>
                <w:szCs w:val="18"/>
              </w:rPr>
              <w:t xml:space="preserve">0.0189</w:t>
            </w:r>
          </w:p>
        </w:tc>
        <w:tc>
          <w:tcPr>
            <w:tcW w:type="dxa" w:w="1400"/>
            <w:tcMar>
              <w:top w:type="dxa" w:w="40"/>
              <w:left w:type="dxa" w:w="90"/>
              <w:bottom w:type="dxa" w:w="40"/>
              <w:right w:type="dxa" w:w="90"/>
            </w:tcMar>
          </w:tcPr>
          <w:p>
            <w:pPr>
              <w:spacing w:after="0" w:line="240"/>
              <w:jc w:val="center"/>
            </w:pPr>
            <w:r>
              <w:rPr>
                <w:rFonts w:ascii="Times New Roman" w:cs="Times New Roman" w:eastAsia="Times New Roman" w:hAnsi="Times New Roman"/>
                <w:color w:val="1a1a1a"/>
                <w:sz w:val="18"/>
                <w:szCs w:val="18"/>
              </w:rPr>
              <w:t xml:space="preserve">299</w:t>
            </w:r>
          </w:p>
        </w:tc>
      </w:tr>
      <w:tr>
        <w:tc>
          <w:tcPr>
            <w:tcW w:type="dxa" w:w="2400"/>
            <w:tcMar>
              <w:top w:type="dxa" w:w="40"/>
              <w:left w:type="dxa" w:w="90"/>
              <w:bottom w:type="dxa" w:w="40"/>
              <w:right w:type="dxa" w:w="90"/>
            </w:tcMar>
          </w:tcPr>
          <w:p>
            <w:pPr>
              <w:spacing w:after="0" w:line="240"/>
              <w:jc w:val="left"/>
            </w:pPr>
            <w:r>
              <w:rPr>
                <w:rFonts w:ascii="Times New Roman" w:cs="Times New Roman" w:eastAsia="Times New Roman" w:hAnsi="Times New Roman"/>
                <w:b/>
                <w:bCs/>
                <w:color w:val="1a1a1a"/>
                <w:sz w:val="18"/>
                <w:szCs w:val="18"/>
              </w:rPr>
              <w:t xml:space="preserve">Cluster-disjoint</w:t>
            </w:r>
          </w:p>
        </w:tc>
        <w:tc>
          <w:tcPr>
            <w:tcW w:type="dxa" w:w="1050"/>
            <w:tcMar>
              <w:top w:type="dxa" w:w="40"/>
              <w:left w:type="dxa" w:w="90"/>
              <w:bottom w:type="dxa" w:w="40"/>
              <w:right w:type="dxa" w:w="90"/>
            </w:tcMar>
          </w:tcPr>
          <w:p>
            <w:pPr>
              <w:spacing w:after="0" w:line="240"/>
              <w:jc w:val="center"/>
            </w:pPr>
            <w:r>
              <w:rPr>
                <w:rFonts w:ascii="Times New Roman" w:cs="Times New Roman" w:eastAsia="Times New Roman" w:hAnsi="Times New Roman"/>
                <w:b/>
                <w:bCs/>
                <w:color w:val="1a1a1a"/>
                <w:sz w:val="18"/>
                <w:szCs w:val="18"/>
              </w:rPr>
              <w:t xml:space="preserve">543</w:t>
            </w:r>
          </w:p>
        </w:tc>
        <w:tc>
          <w:tcPr>
            <w:tcW w:type="dxa" w:w="1200"/>
            <w:tcMar>
              <w:top w:type="dxa" w:w="40"/>
              <w:left w:type="dxa" w:w="90"/>
              <w:bottom w:type="dxa" w:w="40"/>
              <w:right w:type="dxa" w:w="90"/>
            </w:tcMar>
          </w:tcPr>
          <w:p>
            <w:pPr>
              <w:spacing w:after="0" w:line="240"/>
              <w:jc w:val="center"/>
            </w:pPr>
            <w:r>
              <w:rPr>
                <w:rFonts w:ascii="Times New Roman" w:cs="Times New Roman" w:eastAsia="Times New Roman" w:hAnsi="Times New Roman"/>
                <w:b/>
                <w:bCs/>
                <w:color w:val="1a1a1a"/>
                <w:sz w:val="18"/>
                <w:szCs w:val="18"/>
              </w:rPr>
              <w:t xml:space="preserve">0.9595</w:t>
            </w:r>
          </w:p>
        </w:tc>
        <w:tc>
          <w:tcPr>
            <w:tcW w:type="dxa" w:w="1150"/>
            <w:tcMar>
              <w:top w:type="dxa" w:w="40"/>
              <w:left w:type="dxa" w:w="90"/>
              <w:bottom w:type="dxa" w:w="40"/>
              <w:right w:type="dxa" w:w="90"/>
            </w:tcMar>
          </w:tcPr>
          <w:p>
            <w:pPr>
              <w:spacing w:after="0" w:line="240"/>
              <w:jc w:val="center"/>
            </w:pPr>
            <w:r>
              <w:rPr>
                <w:rFonts w:ascii="Times New Roman" w:cs="Times New Roman" w:eastAsia="Times New Roman" w:hAnsi="Times New Roman"/>
                <w:b/>
                <w:bCs/>
                <w:color w:val="1a1a1a"/>
                <w:sz w:val="18"/>
                <w:szCs w:val="18"/>
              </w:rPr>
              <w:t xml:space="preserve">0.9800</w:t>
            </w:r>
          </w:p>
        </w:tc>
        <w:tc>
          <w:tcPr>
            <w:tcW w:type="dxa" w:w="1150"/>
            <w:tcMar>
              <w:top w:type="dxa" w:w="40"/>
              <w:left w:type="dxa" w:w="90"/>
              <w:bottom w:type="dxa" w:w="40"/>
              <w:right w:type="dxa" w:w="90"/>
            </w:tcMar>
          </w:tcPr>
          <w:p>
            <w:pPr>
              <w:spacing w:after="0" w:line="240"/>
              <w:jc w:val="center"/>
            </w:pPr>
            <w:r>
              <w:rPr>
                <w:rFonts w:ascii="Times New Roman" w:cs="Times New Roman" w:eastAsia="Times New Roman" w:hAnsi="Times New Roman"/>
                <w:b/>
                <w:bCs/>
                <w:color w:val="1a1a1a"/>
                <w:sz w:val="18"/>
                <w:szCs w:val="18"/>
              </w:rPr>
              <w:t xml:space="preserve">0.9889</w:t>
            </w:r>
          </w:p>
        </w:tc>
        <w:tc>
          <w:tcPr>
            <w:tcW w:type="dxa" w:w="1100"/>
            <w:tcMar>
              <w:top w:type="dxa" w:w="40"/>
              <w:left w:type="dxa" w:w="90"/>
              <w:bottom w:type="dxa" w:w="40"/>
              <w:right w:type="dxa" w:w="90"/>
            </w:tcMar>
          </w:tcPr>
          <w:p>
            <w:pPr>
              <w:spacing w:after="0" w:line="240"/>
              <w:jc w:val="center"/>
            </w:pPr>
            <w:r>
              <w:rPr>
                <w:rFonts w:ascii="Times New Roman" w:cs="Times New Roman" w:eastAsia="Times New Roman" w:hAnsi="Times New Roman"/>
                <w:b/>
                <w:bCs/>
                <w:color w:val="1a1a1a"/>
                <w:sz w:val="18"/>
                <w:szCs w:val="18"/>
              </w:rPr>
              <w:t xml:space="preserve">0.0111</w:t>
            </w:r>
          </w:p>
        </w:tc>
        <w:tc>
          <w:tcPr>
            <w:tcW w:type="dxa" w:w="1400"/>
            <w:tcMar>
              <w:top w:type="dxa" w:w="40"/>
              <w:left w:type="dxa" w:w="90"/>
              <w:bottom w:type="dxa" w:w="40"/>
              <w:right w:type="dxa" w:w="90"/>
            </w:tcMar>
          </w:tcPr>
          <w:p>
            <w:pPr>
              <w:spacing w:after="0" w:line="240"/>
              <w:jc w:val="center"/>
            </w:pPr>
            <w:r>
              <w:rPr>
                <w:rFonts w:ascii="Times New Roman" w:cs="Times New Roman" w:eastAsia="Times New Roman" w:hAnsi="Times New Roman"/>
                <w:b/>
                <w:bCs/>
                <w:color w:val="1a1a1a"/>
                <w:sz w:val="18"/>
                <w:szCs w:val="18"/>
              </w:rPr>
              <w:t xml:space="preserve">0</w:t>
            </w:r>
          </w:p>
        </w:tc>
      </w:tr>
    </w:tbl>
    <w:p>
      <w:pPr>
        <w:spacing w:after="160" w:before="60"/>
        <w:jc w:val="center"/>
      </w:pPr>
      <w:r>
        <w:rPr>
          <w:rFonts w:ascii="Times New Roman" w:cs="Times New Roman" w:eastAsia="Times New Roman" w:hAnsi="Times New Roman"/>
          <w:i/>
          <w:iCs/>
          <w:color w:val="5f5f5f"/>
          <w:sz w:val="18"/>
          <w:szCs w:val="18"/>
        </w:rPr>
        <w:t xml:space="preserve">Table 5: Bangla/Banglish smishing detector under two split protocols. Cluster overlap counts near-duplicate clusters present in both partitions.</w:t>
      </w:r>
    </w:p>
    <w:p>
      <w:pPr>
        <w:spacing w:after="120" w:before="0" w:line="264"/>
        <w:jc w:val="both"/>
      </w:pPr>
      <w:r>
        <w:rPr>
          <w:rFonts w:ascii="Times New Roman" w:cs="Times New Roman" w:eastAsia="Times New Roman" w:hAnsi="Times New Roman"/>
          <w:color w:val="1a1a1a"/>
          <w:sz w:val="21"/>
          <w:szCs w:val="21"/>
        </w:rPr>
        <w:t xml:space="preserve">Accuracy falls from 97.84% to 95.95%, a relative drop of 1.93%, when near-duplicate clusters are prevented from spanning the split. The detector therefore relies on template memorization to a measurable but limited degree. One result runs counter to the accuracy figure and matters more under our threat model: the false-negative rate improves under the stricter protocol, from 1.89% to 1.11%, with recall rising from 0.9811 to 0.9889. The cluster-disjoint model misses fewer attacks and raises more false alarms. Since a missed attack costs a user money and a false alarm costs them an interruption, the honest protocol produces the operationally preferable model.</w:t>
      </w:r>
    </w:p>
    <w:p>
      <w:pPr>
        <w:spacing w:after="120" w:before="0" w:line="264"/>
        <w:jc w:val="both"/>
      </w:pPr>
      <w:r>
        <w:rPr>
          <w:rFonts w:ascii="Times New Roman" w:cs="Times New Roman" w:eastAsia="Times New Roman" w:hAnsi="Times New Roman"/>
          <w:color w:val="1a1a1a"/>
          <w:sz w:val="21"/>
          <w:szCs w:val="21"/>
        </w:rPr>
        <w:t xml:space="preserve">The strongest published result on this corpus is that of Tanbhir et al. [19], who report 98.47% using BERT with a character-level CNN and attention, and who constructed the corpus. Their evaluation, like our random-split figure of 97.84%, is a conventional split and is subject to the same duplication. Our 95.95% is not a like-for-like comparison against 98.47% and should not be read as one; the comparable pairing is 97.84% against 98.47%. On that basis our result is 0.63 points lower, from a distilled 384-dimensional sentence encoder with logistic regression rather than a BERT-plus-CNN hybrid. For a system whose value depends on running on the phone of an elderly pensioner in a rural district, comparable accuracy at substantially lower inference cost is the operationally meaningful comparison.</w:t>
      </w:r>
    </w:p>
    <w:p>
      <w:pPr>
        <w:pStyle w:val="Heading2"/>
        <w:spacing w:after="90" w:before="160"/>
      </w:pPr>
      <w:r>
        <w:rPr>
          <w:rFonts w:ascii="Times New Roman" w:cs="Times New Roman" w:eastAsia="Times New Roman" w:hAnsi="Times New Roman"/>
          <w:b/>
          <w:bCs/>
          <w:color w:val="1a1a1a"/>
          <w:sz w:val="23"/>
          <w:szCs w:val="23"/>
        </w:rPr>
        <w:t xml:space="preserve">4.6   Network Anomaly Detector</w:t>
      </w:r>
    </w:p>
    <w:p>
      <w:pPr>
        <w:spacing w:after="100" w:before="0" w:line="264"/>
        <w:jc w:val="both"/>
      </w:pPr>
      <w:r>
        <w:rPr>
          <w:rFonts w:ascii="Times New Roman" w:cs="Times New Roman" w:eastAsia="Times New Roman" w:hAnsi="Times New Roman"/>
          <w:color w:val="1a1a1a"/>
          <w:sz w:val="21"/>
          <w:szCs w:val="21"/>
        </w:rPr>
        <w:t xml:space="preserve">Table 6 reports the supervised classifier on the balanced CICMalAnal2017 set with the SCAREWARE family withheld from all training.</w:t>
      </w:r>
    </w:p>
    <w:tbl>
      <w:tblPr>
        <w:tblW w:type="dxa" w:w="8250"/>
        <w:tblBorders>
          <w:top w:val="none" w:color="FFFFFF" w:sz="0"/>
          <w:left w:val="none" w:color="FFFFFF" w:sz="0"/>
          <w:bottom w:val="none" w:color="FFFFFF" w:sz="0"/>
          <w:right w:val="none" w:color="FFFFFF" w:sz="0"/>
          <w:insideH w:val="none" w:color="FFFFFF" w:sz="0"/>
          <w:insideV w:val="none" w:color="FFFFFF" w:sz="0"/>
        </w:tblBorders>
      </w:tblPr>
      <w:tblGrid>
        <w:gridCol w:w="3400"/>
        <w:gridCol w:w="2400"/>
        <w:gridCol w:w="2450"/>
      </w:tblGrid>
      <w:tr>
        <w:trPr>
          <w:tblHeader/>
        </w:trPr>
        <w:tc>
          <w:tcPr>
            <w:tcW w:type="dxa" w:w="3400"/>
            <w:shd w:fill="f0f0f0" w:color="auto" w:val="clear"/>
            <w:tcMar>
              <w:top w:type="dxa" w:w="40"/>
              <w:left w:type="dxa" w:w="90"/>
              <w:bottom w:type="dxa" w:w="40"/>
              <w:right w:type="dxa" w:w="90"/>
            </w:tcMar>
          </w:tcPr>
          <w:p>
            <w:pPr>
              <w:spacing w:after="0" w:line="240"/>
              <w:jc w:val="left"/>
            </w:pPr>
            <w:r>
              <w:rPr>
                <w:rFonts w:ascii="Times New Roman" w:cs="Times New Roman" w:eastAsia="Times New Roman" w:hAnsi="Times New Roman"/>
                <w:b/>
                <w:bCs/>
                <w:color w:val="1a1a1a"/>
                <w:sz w:val="18"/>
                <w:szCs w:val="18"/>
              </w:rPr>
              <w:t xml:space="preserve">Model</w:t>
            </w:r>
          </w:p>
        </w:tc>
        <w:tc>
          <w:tcPr>
            <w:tcW w:type="dxa" w:w="2400"/>
            <w:shd w:fill="f0f0f0" w:color="auto" w:val="clear"/>
            <w:tcMar>
              <w:top w:type="dxa" w:w="40"/>
              <w:left w:type="dxa" w:w="90"/>
              <w:bottom w:type="dxa" w:w="40"/>
              <w:right w:type="dxa" w:w="90"/>
            </w:tcMar>
          </w:tcPr>
          <w:p>
            <w:pPr>
              <w:spacing w:after="0" w:line="240"/>
              <w:jc w:val="center"/>
            </w:pPr>
            <w:r>
              <w:rPr>
                <w:rFonts w:ascii="Times New Roman" w:cs="Times New Roman" w:eastAsia="Times New Roman" w:hAnsi="Times New Roman"/>
                <w:b/>
                <w:bCs/>
                <w:color w:val="1a1a1a"/>
                <w:sz w:val="18"/>
                <w:szCs w:val="18"/>
              </w:rPr>
              <w:t xml:space="preserve">Test accuracy</w:t>
            </w:r>
          </w:p>
        </w:tc>
        <w:tc>
          <w:tcPr>
            <w:tcW w:type="dxa" w:w="2450"/>
            <w:shd w:fill="f0f0f0" w:color="auto" w:val="clear"/>
            <w:tcMar>
              <w:top w:type="dxa" w:w="40"/>
              <w:left w:type="dxa" w:w="90"/>
              <w:bottom w:type="dxa" w:w="40"/>
              <w:right w:type="dxa" w:w="90"/>
            </w:tcMar>
          </w:tcPr>
          <w:p>
            <w:pPr>
              <w:spacing w:after="0" w:line="240"/>
              <w:jc w:val="center"/>
            </w:pPr>
            <w:r>
              <w:rPr>
                <w:rFonts w:ascii="Times New Roman" w:cs="Times New Roman" w:eastAsia="Times New Roman" w:hAnsi="Times New Roman"/>
                <w:b/>
                <w:bCs/>
                <w:color w:val="1a1a1a"/>
                <w:sz w:val="18"/>
                <w:szCs w:val="18"/>
              </w:rPr>
              <w:t xml:space="preserve">ROC-AUC</w:t>
            </w:r>
          </w:p>
        </w:tc>
      </w:tr>
      <w:tr>
        <w:tc>
          <w:tcPr>
            <w:tcW w:type="dxa" w:w="3400"/>
            <w:tcMar>
              <w:top w:type="dxa" w:w="40"/>
              <w:left w:type="dxa" w:w="90"/>
              <w:bottom w:type="dxa" w:w="40"/>
              <w:right w:type="dxa" w:w="90"/>
            </w:tcMar>
          </w:tcPr>
          <w:p>
            <w:pPr>
              <w:spacing w:after="0" w:line="240"/>
              <w:jc w:val="left"/>
            </w:pPr>
            <w:r>
              <w:rPr>
                <w:rFonts w:ascii="Times New Roman" w:cs="Times New Roman" w:eastAsia="Times New Roman" w:hAnsi="Times New Roman"/>
                <w:b/>
                <w:bCs/>
                <w:color w:val="1a1a1a"/>
                <w:sz w:val="18"/>
                <w:szCs w:val="18"/>
              </w:rPr>
              <w:t xml:space="preserve">Random Forest (selected)</w:t>
            </w:r>
          </w:p>
        </w:tc>
        <w:tc>
          <w:tcPr>
            <w:tcW w:type="dxa" w:w="2400"/>
            <w:tcMar>
              <w:top w:type="dxa" w:w="40"/>
              <w:left w:type="dxa" w:w="90"/>
              <w:bottom w:type="dxa" w:w="40"/>
              <w:right w:type="dxa" w:w="90"/>
            </w:tcMar>
          </w:tcPr>
          <w:p>
            <w:pPr>
              <w:spacing w:after="0" w:line="240"/>
              <w:jc w:val="center"/>
            </w:pPr>
            <w:r>
              <w:rPr>
                <w:rFonts w:ascii="Times New Roman" w:cs="Times New Roman" w:eastAsia="Times New Roman" w:hAnsi="Times New Roman"/>
                <w:b/>
                <w:bCs/>
                <w:color w:val="1a1a1a"/>
                <w:sz w:val="18"/>
                <w:szCs w:val="18"/>
              </w:rPr>
              <w:t xml:space="preserve">0.7984</w:t>
            </w:r>
          </w:p>
        </w:tc>
        <w:tc>
          <w:tcPr>
            <w:tcW w:type="dxa" w:w="2450"/>
            <w:tcMar>
              <w:top w:type="dxa" w:w="40"/>
              <w:left w:type="dxa" w:w="90"/>
              <w:bottom w:type="dxa" w:w="40"/>
              <w:right w:type="dxa" w:w="90"/>
            </w:tcMar>
          </w:tcPr>
          <w:p>
            <w:pPr>
              <w:spacing w:after="0" w:line="240"/>
              <w:jc w:val="center"/>
            </w:pPr>
            <w:r>
              <w:rPr>
                <w:rFonts w:ascii="Times New Roman" w:cs="Times New Roman" w:eastAsia="Times New Roman" w:hAnsi="Times New Roman"/>
                <w:b/>
                <w:bCs/>
                <w:color w:val="1a1a1a"/>
                <w:sz w:val="18"/>
                <w:szCs w:val="18"/>
              </w:rPr>
              <w:t xml:space="preserve">0.8421</w:t>
            </w:r>
          </w:p>
        </w:tc>
      </w:tr>
      <w:tr>
        <w:tc>
          <w:tcPr>
            <w:tcW w:type="dxa" w:w="3400"/>
            <w:tcMar>
              <w:top w:type="dxa" w:w="40"/>
              <w:left w:type="dxa" w:w="90"/>
              <w:bottom w:type="dxa" w:w="40"/>
              <w:right w:type="dxa" w:w="90"/>
            </w:tcMar>
          </w:tcPr>
          <w:p>
            <w:pPr>
              <w:spacing w:after="0" w:line="240"/>
              <w:jc w:val="left"/>
            </w:pPr>
            <w:r>
              <w:rPr>
                <w:rFonts w:ascii="Times New Roman" w:cs="Times New Roman" w:eastAsia="Times New Roman" w:hAnsi="Times New Roman"/>
                <w:color w:val="1a1a1a"/>
                <w:sz w:val="18"/>
                <w:szCs w:val="18"/>
              </w:rPr>
              <w:t xml:space="preserve">XGBoost</w:t>
            </w:r>
          </w:p>
        </w:tc>
        <w:tc>
          <w:tcPr>
            <w:tcW w:type="dxa" w:w="2400"/>
            <w:tcMar>
              <w:top w:type="dxa" w:w="40"/>
              <w:left w:type="dxa" w:w="90"/>
              <w:bottom w:type="dxa" w:w="40"/>
              <w:right w:type="dxa" w:w="90"/>
            </w:tcMar>
          </w:tcPr>
          <w:p>
            <w:pPr>
              <w:spacing w:after="0" w:line="240"/>
              <w:jc w:val="center"/>
            </w:pPr>
            <w:r>
              <w:rPr>
                <w:rFonts w:ascii="Times New Roman" w:cs="Times New Roman" w:eastAsia="Times New Roman" w:hAnsi="Times New Roman"/>
                <w:color w:val="1a1a1a"/>
                <w:sz w:val="18"/>
                <w:szCs w:val="18"/>
              </w:rPr>
              <w:t xml:space="preserve">0.7062</w:t>
            </w:r>
          </w:p>
        </w:tc>
        <w:tc>
          <w:tcPr>
            <w:tcW w:type="dxa" w:w="2450"/>
            <w:tcMar>
              <w:top w:type="dxa" w:w="40"/>
              <w:left w:type="dxa" w:w="90"/>
              <w:bottom w:type="dxa" w:w="40"/>
              <w:right w:type="dxa" w:w="90"/>
            </w:tcMar>
          </w:tcPr>
          <w:p>
            <w:pPr>
              <w:spacing w:after="0" w:line="240"/>
              <w:jc w:val="center"/>
            </w:pPr>
            <w:r>
              <w:rPr>
                <w:rFonts w:ascii="Times New Roman" w:cs="Times New Roman" w:eastAsia="Times New Roman" w:hAnsi="Times New Roman"/>
                <w:color w:val="1a1a1a"/>
                <w:sz w:val="18"/>
                <w:szCs w:val="18"/>
              </w:rPr>
              <w:t xml:space="preserve">0.8105</w:t>
            </w:r>
          </w:p>
        </w:tc>
      </w:tr>
      <w:tr>
        <w:tc>
          <w:tcPr>
            <w:tcW w:type="dxa" w:w="3400"/>
            <w:tcMar>
              <w:top w:type="dxa" w:w="40"/>
              <w:left w:type="dxa" w:w="90"/>
              <w:bottom w:type="dxa" w:w="40"/>
              <w:right w:type="dxa" w:w="90"/>
            </w:tcMar>
          </w:tcPr>
          <w:p>
            <w:pPr>
              <w:spacing w:after="0" w:line="240"/>
              <w:jc w:val="left"/>
            </w:pPr>
            <w:r>
              <w:rPr>
                <w:rFonts w:ascii="Times New Roman" w:cs="Times New Roman" w:eastAsia="Times New Roman" w:hAnsi="Times New Roman"/>
                <w:color w:val="1a1a1a"/>
                <w:sz w:val="18"/>
                <w:szCs w:val="18"/>
              </w:rPr>
              <w:t xml:space="preserve">LightGBM</w:t>
            </w:r>
          </w:p>
        </w:tc>
        <w:tc>
          <w:tcPr>
            <w:tcW w:type="dxa" w:w="2400"/>
            <w:tcMar>
              <w:top w:type="dxa" w:w="40"/>
              <w:left w:type="dxa" w:w="90"/>
              <w:bottom w:type="dxa" w:w="40"/>
              <w:right w:type="dxa" w:w="90"/>
            </w:tcMar>
          </w:tcPr>
          <w:p>
            <w:pPr>
              <w:spacing w:after="0" w:line="240"/>
              <w:jc w:val="center"/>
            </w:pPr>
            <w:r>
              <w:rPr>
                <w:rFonts w:ascii="Times New Roman" w:cs="Times New Roman" w:eastAsia="Times New Roman" w:hAnsi="Times New Roman"/>
                <w:color w:val="1a1a1a"/>
                <w:sz w:val="18"/>
                <w:szCs w:val="18"/>
              </w:rPr>
              <w:t xml:space="preserve">0.6765</w:t>
            </w:r>
          </w:p>
        </w:tc>
        <w:tc>
          <w:tcPr>
            <w:tcW w:type="dxa" w:w="2450"/>
            <w:tcMar>
              <w:top w:type="dxa" w:w="40"/>
              <w:left w:type="dxa" w:w="90"/>
              <w:bottom w:type="dxa" w:w="40"/>
              <w:right w:type="dxa" w:w="90"/>
            </w:tcMar>
          </w:tcPr>
          <w:p>
            <w:pPr>
              <w:spacing w:after="0" w:line="240"/>
              <w:jc w:val="center"/>
            </w:pPr>
            <w:r>
              <w:rPr>
                <w:rFonts w:ascii="Times New Roman" w:cs="Times New Roman" w:eastAsia="Times New Roman" w:hAnsi="Times New Roman"/>
                <w:color w:val="1a1a1a"/>
                <w:sz w:val="18"/>
                <w:szCs w:val="18"/>
              </w:rPr>
              <w:t xml:space="preserve">0.7843</w:t>
            </w:r>
          </w:p>
        </w:tc>
      </w:tr>
    </w:tbl>
    <w:p>
      <w:pPr>
        <w:spacing w:after="160" w:before="60"/>
        <w:jc w:val="center"/>
      </w:pPr>
      <w:r>
        <w:rPr>
          <w:rFonts w:ascii="Times New Roman" w:cs="Times New Roman" w:eastAsia="Times New Roman" w:hAnsi="Times New Roman"/>
          <w:i/>
          <w:iCs/>
          <w:color w:val="5f5f5f"/>
          <w:sz w:val="18"/>
          <w:szCs w:val="18"/>
        </w:rPr>
        <w:t xml:space="preserve">Table 6: Network classifier on CICMalAnal2017 (balanced, SCAREWARE family withheld).</w:t>
      </w:r>
    </w:p>
    <w:p>
      <w:pPr>
        <w:spacing w:after="120" w:before="0" w:line="264"/>
        <w:jc w:val="both"/>
      </w:pPr>
      <w:r>
        <w:rPr>
          <w:rFonts w:ascii="Times New Roman" w:cs="Times New Roman" w:eastAsia="Times New Roman" w:hAnsi="Times New Roman"/>
          <w:color w:val="1a1a1a"/>
          <w:sz w:val="21"/>
          <w:szCs w:val="21"/>
        </w:rPr>
        <w:t xml:space="preserve">The selected Random Forest reaches 79.84% accuracy and 0.8421 AUC, with a 5-fold cross-validated F1 of 0.8611 ± 0.0009 on the training split. Published results on this corpus exceed 95% accuracy under random splits; those figures place samples of every malware family in both partitions and measure within-distribution recognition. Our number reflects a family-level holdout and is not comparable to them, and should not be read as underperformance against them. On the withheld SCAREWARE family the reconstruction-error detector recovers only a small fraction of unseen samples, because scareware traffic mimics ordinary HTTPS and is nearly indistinguishable from benign flows on flow statistics alone. Pure flow-based anomaly detection has a real ceiling on zero-day families, which is why the network signal contributes to the decision layer rather than acting as an authority.</w:t>
      </w:r>
    </w:p>
    <w:p>
      <w:pPr>
        <w:pStyle w:val="Heading2"/>
        <w:spacing w:after="90" w:before="160"/>
      </w:pPr>
      <w:r>
        <w:rPr>
          <w:rFonts w:ascii="Times New Roman" w:cs="Times New Roman" w:eastAsia="Times New Roman" w:hAnsi="Times New Roman"/>
          <w:b/>
          <w:bCs/>
          <w:color w:val="1a1a1a"/>
          <w:sz w:val="23"/>
          <w:szCs w:val="23"/>
        </w:rPr>
        <w:t xml:space="preserve">4.7   Domain Shift on Real Bangladeshi Device Traffic</w:t>
      </w:r>
    </w:p>
    <w:p>
      <w:pPr>
        <w:spacing w:after="140" w:before="0" w:line="264"/>
        <w:jc w:val="both"/>
      </w:pPr>
      <w:r>
        <w:rPr>
          <w:rFonts w:ascii="Times New Roman" w:cs="Times New Roman" w:eastAsia="Times New Roman" w:hAnsi="Times New Roman"/>
          <w:color w:val="1a1a1a"/>
          <w:sz w:val="21"/>
          <w:szCs w:val="21"/>
        </w:rPr>
        <w:t xml:space="preserve">Applying the supervised detector, trained on the Western CICMalAnal2017 corpus, to 52,118 flows captured with PCAPdroid from six Android devices in ordinary daily use in Bangladesh exposes a domain-shift problem. The feature distributions of legitimate local traffic—bKash, Facebook, WhatsApp, local news applications—differ from the training corpus’s benign class, and the two capture pipelines do not expose an identically aligned feature space. Raw supervised scores consequently do not transfer in a way that supports a real-world false-positive claim, and we report no false-positive rate on this set: a score that is constant or uninterpretable across real flows would be meaningless however favourable it appeared. We treat this as a limitation with two mitigations: the decision layer down-weights network evidence for trusted applications, so a domain-shifted score cannot by itself raise an alarm on a known-good app; and feature-space alignment between capture tools, with on-device fine-tuning, is the primary future-work item for this component.</w:t>
      </w:r>
    </w:p>
    <w:p>
      <w:pPr>
        <w:pStyle w:val="Heading1"/>
        <w:spacing w:after="120" w:before="260"/>
      </w:pPr>
      <w:r>
        <w:rPr>
          <w:rFonts w:ascii="Times New Roman" w:cs="Times New Roman" w:eastAsia="Times New Roman" w:hAnsi="Times New Roman"/>
          <w:b/>
          <w:bCs/>
          <w:color w:val="1a1a1a"/>
          <w:sz w:val="26"/>
          <w:szCs w:val="26"/>
        </w:rPr>
        <w:t xml:space="preserve">5   Discussion</w:t>
      </w:r>
    </w:p>
    <w:p>
      <w:pPr>
        <w:pStyle w:val="Heading2"/>
        <w:spacing w:after="90" w:before="160"/>
      </w:pPr>
      <w:r>
        <w:rPr>
          <w:rFonts w:ascii="Times New Roman" w:cs="Times New Roman" w:eastAsia="Times New Roman" w:hAnsi="Times New Roman"/>
          <w:b/>
          <w:bCs/>
          <w:color w:val="1a1a1a"/>
          <w:sz w:val="23"/>
          <w:szCs w:val="23"/>
        </w:rPr>
        <w:t xml:space="preserve">5.1   What the Negative Results Mean</w:t>
      </w:r>
    </w:p>
    <w:p>
      <w:pPr>
        <w:spacing w:after="120" w:before="0" w:line="264"/>
        <w:jc w:val="both"/>
      </w:pPr>
      <w:r>
        <w:rPr>
          <w:rFonts w:ascii="Times New Roman" w:cs="Times New Roman" w:eastAsia="Times New Roman" w:hAnsi="Times New Roman"/>
          <w:color w:val="1a1a1a"/>
          <w:sz w:val="21"/>
          <w:szCs w:val="21"/>
        </w:rPr>
        <w:t xml:space="preserve">Three measurements converge. The MFS knowledge features produce no accuracy benefit; they rank in the bottom third by attribution, with brand_impersonation effectively unused; and the corpus on which both were measured contains six MFS-brand URLs in 29,794. The third explains the first two. Together they say something we did not set out to demonstrate: this class of attack cannot currently be evaluated, because the data required to evaluate it does not exist in the public corpora the field relies on.</w:t>
      </w:r>
    </w:p>
    <w:p>
      <w:pPr>
        <w:spacing w:after="120" w:before="0" w:line="264"/>
        <w:jc w:val="both"/>
      </w:pPr>
      <w:r>
        <w:rPr>
          <w:rFonts w:ascii="Times New Roman" w:cs="Times New Roman" w:eastAsia="Times New Roman" w:hAnsi="Times New Roman"/>
          <w:color w:val="1a1a1a"/>
          <w:sz w:val="21"/>
          <w:szCs w:val="21"/>
        </w:rPr>
        <w:t xml:space="preserve">The available alternative was to report the SHAP attribution from an earlier smaller run, in which these features did appear prominent, and let a reader infer benefit. We think that would have been an unsupported claim twice over: attribution describes what a model does with the features it has rather than whether performance degrades without them, and the earlier attribution does not reproduce on the model whose accuracy we report. Stating this costs the paper a claim and gains it a finding.</w:t>
      </w:r>
    </w:p>
    <w:p>
      <w:pPr>
        <w:pStyle w:val="Heading2"/>
        <w:spacing w:after="90" w:before="160"/>
      </w:pPr>
      <w:r>
        <w:rPr>
          <w:rFonts w:ascii="Times New Roman" w:cs="Times New Roman" w:eastAsia="Times New Roman" w:hAnsi="Times New Roman"/>
          <w:b/>
          <w:bCs/>
          <w:color w:val="1a1a1a"/>
          <w:sz w:val="23"/>
          <w:szCs w:val="23"/>
        </w:rPr>
        <w:t xml:space="preserve">5.2   The Interpretability Argument, Stated Precisely</w:t>
      </w:r>
    </w:p>
    <w:p>
      <w:pPr>
        <w:spacing w:after="120" w:before="0" w:line="264"/>
        <w:jc w:val="both"/>
      </w:pPr>
      <w:r>
        <w:rPr>
          <w:rFonts w:ascii="Times New Roman" w:cs="Times New Roman" w:eastAsia="Times New Roman" w:hAnsi="Times New Roman"/>
          <w:color w:val="1a1a1a"/>
          <w:sz w:val="21"/>
          <w:szCs w:val="21"/>
        </w:rPr>
        <w:t xml:space="preserve">An earlier framing of this work held that the MFS features earn their place through interpretability even without an accuracy benefit: named, semantically meaningful features with per-decision attribution are what allow a warning to say that a link uses a free .tk domain and contains an MFS brand token, rather than issuing a generic alert. We still regard that as the right architectural argument, and it is why the system uses engineered features with SHAP rather than a learned character-level representation that could not produce such an explanation at all.</w:t>
      </w:r>
    </w:p>
    <w:p>
      <w:pPr>
        <w:spacing w:after="120" w:before="0" w:line="264"/>
        <w:jc w:val="both"/>
      </w:pPr>
      <w:r>
        <w:rPr>
          <w:rFonts w:ascii="Times New Roman" w:cs="Times New Roman" w:eastAsia="Times New Roman" w:hAnsi="Times New Roman"/>
          <w:color w:val="1a1a1a"/>
          <w:sz w:val="21"/>
          <w:szCs w:val="21"/>
        </w:rPr>
        <w:t xml:space="preserve">It must, however, be stated with the limitation attached. On this corpus the mechanism is present but unexercised: a feature with mean absolute attribution of 0.00002 does not enter a top-contributor explanation for any decision, because the inputs that would activate it are almost never seen. We can show the architecture supports specific bilingual warnings; we cannot yet show it produces them for MFS attacks, and we make no claim that it does. Demonstrating that requires the corpus described in Section 5.4.</w:t>
      </w:r>
    </w:p>
    <w:p>
      <w:pPr>
        <w:pStyle w:val="Heading2"/>
        <w:spacing w:after="90" w:before="160"/>
      </w:pPr>
      <w:r>
        <w:rPr>
          <w:rFonts w:ascii="Times New Roman" w:cs="Times New Roman" w:eastAsia="Times New Roman" w:hAnsi="Times New Roman"/>
          <w:b/>
          <w:bCs/>
          <w:color w:val="1a1a1a"/>
          <w:sz w:val="23"/>
          <w:szCs w:val="23"/>
        </w:rPr>
        <w:t xml:space="preserve">5.3   Limitations</w:t>
      </w:r>
    </w:p>
    <w:p>
      <w:pPr>
        <w:pStyle w:val="ListParagraph"/>
        <w:numPr>
          <w:ilvl w:val="0"/>
          <w:numId w:val="1"/>
        </w:numPr>
        <w:spacing w:after="70" w:line="260"/>
        <w:jc w:val="both"/>
      </w:pPr>
      <w:r>
        <w:rPr>
          <w:rFonts w:ascii="Times New Roman" w:cs="Times New Roman" w:eastAsia="Times New Roman" w:hAnsi="Times New Roman"/>
          <w:color w:val="1a1a1a"/>
          <w:sz w:val="21"/>
          <w:szCs w:val="21"/>
        </w:rPr>
        <w:t xml:space="preserve">The MFS knowledge features are unvalidated for both detection benefit and explanation value. No public corpus contains enough MFS-targeted phishing to test either property.</w:t>
      </w:r>
    </w:p>
    <w:p>
      <w:pPr>
        <w:pStyle w:val="ListParagraph"/>
        <w:numPr>
          <w:ilvl w:val="0"/>
          <w:numId w:val="1"/>
        </w:numPr>
        <w:spacing w:after="70" w:line="260"/>
        <w:jc w:val="both"/>
      </w:pPr>
      <w:r>
        <w:rPr>
          <w:rFonts w:ascii="Times New Roman" w:cs="Times New Roman" w:eastAsia="Times New Roman" w:hAnsi="Times New Roman"/>
          <w:color w:val="1a1a1a"/>
          <w:sz w:val="21"/>
          <w:szCs w:val="21"/>
        </w:rPr>
        <w:t xml:space="preserve">The brand-impersonation feature checks brand tokens against the registrable domain without an official-domain whitelist, so it does not distinguish authorized from unauthorized use of a brand name.</w:t>
      </w:r>
    </w:p>
    <w:p>
      <w:pPr>
        <w:pStyle w:val="ListParagraph"/>
        <w:numPr>
          <w:ilvl w:val="0"/>
          <w:numId w:val="1"/>
        </w:numPr>
        <w:spacing w:after="70" w:line="260"/>
        <w:jc w:val="both"/>
      </w:pPr>
      <w:r>
        <w:rPr>
          <w:rFonts w:ascii="Times New Roman" w:cs="Times New Roman" w:eastAsia="Times New Roman" w:hAnsi="Times New Roman"/>
          <w:color w:val="1a1a1a"/>
          <w:sz w:val="21"/>
          <w:szCs w:val="21"/>
        </w:rPr>
        <w:t xml:space="preserve">The Bangla corpus reduces to 1,028 distinct near-duplicate clusters, which bounds the strength of any claim drawn from it, including ours.</w:t>
      </w:r>
    </w:p>
    <w:p>
      <w:pPr>
        <w:pStyle w:val="ListParagraph"/>
        <w:numPr>
          <w:ilvl w:val="0"/>
          <w:numId w:val="1"/>
        </w:numPr>
        <w:spacing w:after="70" w:line="260"/>
        <w:jc w:val="both"/>
      </w:pPr>
      <w:r>
        <w:rPr>
          <w:rFonts w:ascii="Times New Roman" w:cs="Times New Roman" w:eastAsia="Times New Roman" w:hAnsi="Times New Roman"/>
          <w:color w:val="1a1a1a"/>
          <w:sz w:val="21"/>
          <w:szCs w:val="21"/>
        </w:rPr>
        <w:t xml:space="preserve">The network detector faces domain shift and a feature-space mismatch on real device traffic, and pure flow statistics have a demonstrated ceiling on unseen malware families.</w:t>
      </w:r>
    </w:p>
    <w:p>
      <w:pPr>
        <w:pStyle w:val="ListParagraph"/>
        <w:numPr>
          <w:ilvl w:val="0"/>
          <w:numId w:val="1"/>
        </w:numPr>
        <w:spacing w:after="70" w:line="260"/>
        <w:jc w:val="both"/>
      </w:pPr>
      <w:r>
        <w:rPr>
          <w:rFonts w:ascii="Times New Roman" w:cs="Times New Roman" w:eastAsia="Times New Roman" w:hAnsi="Times New Roman"/>
          <w:color w:val="1a1a1a"/>
          <w:sz w:val="21"/>
          <w:szCs w:val="21"/>
        </w:rPr>
        <w:t xml:space="preserve">The decision layer’s updatability is argued from construction and not measured.</w:t>
      </w:r>
    </w:p>
    <w:p>
      <w:pPr>
        <w:pStyle w:val="ListParagraph"/>
        <w:numPr>
          <w:ilvl w:val="0"/>
          <w:numId w:val="1"/>
        </w:numPr>
        <w:spacing w:after="70" w:line="260"/>
        <w:jc w:val="both"/>
      </w:pPr>
      <w:r>
        <w:rPr>
          <w:rFonts w:ascii="Times New Roman" w:cs="Times New Roman" w:eastAsia="Times New Roman" w:hAnsi="Times New Roman"/>
          <w:color w:val="1a1a1a"/>
          <w:sz w:val="21"/>
          <w:szCs w:val="21"/>
        </w:rPr>
        <w:t xml:space="preserve">All evaluation is on collected and public data. The comprehension and protective value of the bilingual warnings has not been measured with users, and no claim of warning effectiveness is made anywhere in this paper.</w:t>
      </w:r>
    </w:p>
    <w:p>
      <w:pPr>
        <w:pStyle w:val="Heading2"/>
        <w:spacing w:after="90" w:before="160"/>
      </w:pPr>
      <w:r>
        <w:rPr>
          <w:rFonts w:ascii="Times New Roman" w:cs="Times New Roman" w:eastAsia="Times New Roman" w:hAnsi="Times New Roman"/>
          <w:b/>
          <w:bCs/>
          <w:color w:val="1a1a1a"/>
          <w:sz w:val="23"/>
          <w:szCs w:val="23"/>
        </w:rPr>
        <w:t xml:space="preserve">5.4   Ongoing and Future Work</w:t>
      </w:r>
    </w:p>
    <w:p>
      <w:pPr>
        <w:spacing w:after="120" w:before="0" w:line="264"/>
        <w:jc w:val="both"/>
      </w:pPr>
      <w:r>
        <w:rPr>
          <w:rFonts w:ascii="Times New Roman" w:cs="Times New Roman" w:eastAsia="Times New Roman" w:hAnsi="Times New Roman"/>
          <w:color w:val="1a1a1a"/>
          <w:sz w:val="21"/>
          <w:szCs w:val="21"/>
        </w:rPr>
        <w:t xml:space="preserve">The corpus gap is the first priority, and it is the item we would most encourage others to treat as shared infrastructure. We are assembling a dedicated MFS-brand phishing URL set from threat feeds, reported fraud SMS, and operator disclosures, sufficient to support a subgroup evaluation of the MFS features, an attribution analysis on decisions where those features are actually active, and a dedicated knowledge-based brand-impersonation layer using an official-domain whitelist, brand-token detection in unauthorized domains, and edit-distance lookalike matching. Extending the Bangla corpus with deduplicated, dialectally broader messages would serve the same purpose on the SMS side.</w:t>
      </w:r>
    </w:p>
    <w:p>
      <w:pPr>
        <w:spacing w:after="140" w:before="0" w:line="264"/>
        <w:jc w:val="both"/>
      </w:pPr>
      <w:r>
        <w:rPr>
          <w:rFonts w:ascii="Times New Roman" w:cs="Times New Roman" w:eastAsia="Times New Roman" w:hAnsi="Times New Roman"/>
          <w:color w:val="1a1a1a"/>
          <w:sz w:val="21"/>
          <w:szCs w:val="21"/>
        </w:rPr>
        <w:t xml:space="preserve">The second priority is a user study with elderly, low-literacy, and first-time MFS users, evaluating whether the bilingual warnings are understood and acted upon. That is the component that would convert a systems contribution into a human-centered one, and it is the appropriate venue for any claim about warning effectiveness. Remaining items include a controlled evaluation of the decision layer’s update-without-retraining property against a learned fusion baseline, reporting both coverage gain and false-positive cost; feature-space alignment and on-device fine-tuning for the network detector; cross-dataset transfer evaluation for the URL detector; and a temporal split once a timestamped corpus is available.</w:t>
      </w:r>
    </w:p>
    <w:p>
      <w:pPr>
        <w:pStyle w:val="Heading1"/>
        <w:spacing w:after="120" w:before="260"/>
      </w:pPr>
      <w:r>
        <w:rPr>
          <w:rFonts w:ascii="Times New Roman" w:cs="Times New Roman" w:eastAsia="Times New Roman" w:hAnsi="Times New Roman"/>
          <w:b/>
          <w:bCs/>
          <w:color w:val="1a1a1a"/>
          <w:sz w:val="26"/>
          <w:szCs w:val="26"/>
        </w:rPr>
        <w:t xml:space="preserve">6   Related Work</w:t>
      </w:r>
    </w:p>
    <w:p>
      <w:pPr>
        <w:spacing w:after="120" w:before="0" w:line="264"/>
        <w:jc w:val="both"/>
      </w:pPr>
      <w:r>
        <w:rPr>
          <w:rFonts w:ascii="Times New Roman" w:cs="Times New Roman" w:eastAsia="Times New Roman" w:hAnsi="Times New Roman"/>
          <w:color w:val="1a1a1a"/>
          <w:sz w:val="21"/>
          <w:szCs w:val="21"/>
        </w:rPr>
        <w:t xml:space="preserve">URL phishing detection has moved from hand-engineered features on the 2012 UCI corpus [4], through character-level neural models that trade interpretability for raw performance [5], to recent work on current corpora such as StealthPhisher 2025 [6]. Our methodological position follows the evaluation-integrity literature: Pendlebury et al. [13] show that random splits systematically overestimate malware classifier performance and argue for temporal and family-aware protocols, and Taheri et al. [12] apply family-level classification to network flows. We apply the same reasoning to URL classification through registered-domain-disjoint splitting and to SMS classification through near-duplicate-cluster-disjoint splitting, and use SHAP [17] for per-decision attribution.</w:t>
      </w:r>
    </w:p>
    <w:p>
      <w:pPr>
        <w:spacing w:after="120" w:before="0" w:line="264"/>
        <w:jc w:val="both"/>
      </w:pPr>
      <w:r>
        <w:rPr>
          <w:rFonts w:ascii="Times New Roman" w:cs="Times New Roman" w:eastAsia="Times New Roman" w:hAnsi="Times New Roman"/>
          <w:color w:val="1a1a1a"/>
          <w:sz w:val="21"/>
          <w:szCs w:val="21"/>
        </w:rPr>
        <w:t xml:space="preserve">For Bangla SMS, work has progressed from classical classifiers on promotional-spam corpora [7] to transformer-based approaches [8], at inference costs that preclude on-device deployment. Efficient multilingual sentence encoders produced through knowledge distillation [9] make cheap cross-lingual embedding possible, which SecureSpeak exploits. The most directly comparable work is Tanbhir et al. [19], who introduce the BangalaBarta corpus [18] and report 98.47% with a BERT and character-level CNN hybrid; a companion line of work applies BERT-XGBoost with explainable AI to the same corpus [20]. We evaluate on that corpus and position our result against theirs in Section 4.5, including the protocol difference. Khushbu et al. [3] address MFS-specific text fraud with a CNN-LSTM-BiLSTM model on a smaller Bengali corpus. SecureSpeak extends beyond SMS to URLs and network traffic and couples detection with an actionable warning layer.</w:t>
      </w:r>
    </w:p>
    <w:p>
      <w:pPr>
        <w:spacing w:after="140" w:before="0" w:line="264"/>
        <w:jc w:val="both"/>
      </w:pPr>
      <w:r>
        <w:rPr>
          <w:rFonts w:ascii="Times New Roman" w:cs="Times New Roman" w:eastAsia="Times New Roman" w:hAnsi="Times New Roman"/>
          <w:color w:val="1a1a1a"/>
          <w:sz w:val="21"/>
          <w:szCs w:val="21"/>
        </w:rPr>
        <w:t xml:space="preserve">Network-level Android malware detection has been studied on the CICMalAnal2017 and CICMalDroid2020 families [10, 11], where random-split evaluation leaks family knowledge and overstates zero-day performance. Reconstruction-based anomaly detection [14] and intrusion datasets such as UNSW-NB15 [15] inform the zero-day component, and Isolation Forest [16] remains a standard unsupervised baseline. Across all of these our position is to treat each signal as one contributor to an interpretable, updatable decision rather than to claim a single dominant model.</w:t>
      </w:r>
    </w:p>
    <w:p>
      <w:pPr>
        <w:pStyle w:val="Heading1"/>
        <w:spacing w:after="120" w:before="260"/>
      </w:pPr>
      <w:r>
        <w:rPr>
          <w:rFonts w:ascii="Times New Roman" w:cs="Times New Roman" w:eastAsia="Times New Roman" w:hAnsi="Times New Roman"/>
          <w:b/>
          <w:bCs/>
          <w:color w:val="1a1a1a"/>
          <w:sz w:val="26"/>
          <w:szCs w:val="26"/>
        </w:rPr>
        <w:t xml:space="preserve">7   Conclusion</w:t>
      </w:r>
    </w:p>
    <w:p>
      <w:pPr>
        <w:spacing w:after="120" w:before="0" w:line="264"/>
        <w:jc w:val="both"/>
      </w:pPr>
      <w:r>
        <w:rPr>
          <w:rFonts w:ascii="Times New Roman" w:cs="Times New Roman" w:eastAsia="Times New Roman" w:hAnsi="Times New Roman"/>
          <w:color w:val="1a1a1a"/>
          <w:sz w:val="21"/>
          <w:szCs w:val="21"/>
        </w:rPr>
        <w:t xml:space="preserve">SecureSpeak is a layered detection system built for the Bangladeshi MFS threat context. Its URL detector reaches 99.19% accuracy and 0.9976 ROC-AUC under a registered-domain-disjoint split with zero domain overlap, a protocol that establishes generalization rather than sibling recognition. Its Bangla smishing detector reaches 95.95% under a near-duplicate-disjoint split, and improves its false-negative rate to 1.11% under that stricter protocol. Its network detector is reported honestly, including a family-holdout figure that is not comparable to published random-split results and a domain-shift limitation on real device traffic that we decline to convert into a favourable-looking number.</w:t>
      </w:r>
    </w:p>
    <w:p>
      <w:pPr>
        <w:spacing w:after="140" w:before="0" w:line="264"/>
        <w:jc w:val="both"/>
      </w:pPr>
      <w:r>
        <w:rPr>
          <w:rFonts w:ascii="Times New Roman" w:cs="Times New Roman" w:eastAsia="Times New Roman" w:hAnsi="Times New Roman"/>
          <w:color w:val="1a1a1a"/>
          <w:sz w:val="21"/>
          <w:szCs w:val="21"/>
        </w:rPr>
        <w:t xml:space="preserve">The findings we expect to matter most are the negative ones. The MFS-specific features that motivated the system produce no measurable accuracy benefit and rank in the bottom third of the feature set by attribution, and the reason is visible in the data: the phishing corpus contains six MFS-brand URLs in a test set of nearly thirty thousand, and the Bangla SMS benchmark is more than half exact duplicates. The threat that costs Bangladeshi MFS users an average of nine thousand taka per incident is close to absent from the data used to build defences against it. Closing that gap is a precondition for progress, and reporting it is more useful than reporting a claim the data cannot support. For elderly pensioners, first-time smartphone owners, and rural remittance recipients, a warning that is both correct and understandable is the difference between a blocked scam and a lost month’s income—and it has to be built on evaluation that would survive a sceptical reading.</w:t>
      </w:r>
    </w:p>
    <w:p>
      <w:pPr>
        <w:pStyle w:val="Heading1"/>
        <w:spacing w:after="120" w:before="260"/>
      </w:pPr>
      <w:r>
        <w:rPr>
          <w:rFonts w:ascii="Times New Roman" w:cs="Times New Roman" w:eastAsia="Times New Roman" w:hAnsi="Times New Roman"/>
          <w:b/>
          <w:bCs/>
          <w:color w:val="1a1a1a"/>
          <w:sz w:val="26"/>
          <w:szCs w:val="26"/>
        </w:rPr>
        <w:t xml:space="preserve">Ethics and Data</w:t>
      </w:r>
    </w:p>
    <w:p>
      <w:pPr>
        <w:spacing w:after="140" w:before="0" w:line="264"/>
        <w:jc w:val="both"/>
      </w:pPr>
      <w:r>
        <w:rPr>
          <w:rFonts w:ascii="Times New Roman" w:cs="Times New Roman" w:eastAsia="Times New Roman" w:hAnsi="Times New Roman"/>
          <w:color w:val="1a1a1a"/>
          <w:sz w:val="21"/>
          <w:szCs w:val="21"/>
        </w:rPr>
        <w:t xml:space="preserve">All phishing URLs and SMS messages used in this work were obtained from public threat feeds and published datasets. The PCAPdroid network traffic was captured from six Android devices during ordinary use with the informed consent of their owners; no personally identifying content was extracted or retained, and only flow-level statistics were analyzed. No personally identifying user data was collected for this paper.</w:t>
      </w:r>
    </w:p>
    <w:p>
      <w:pPr>
        <w:pStyle w:val="Heading1"/>
        <w:spacing w:after="120" w:before="260"/>
      </w:pPr>
      <w:r>
        <w:rPr>
          <w:rFonts w:ascii="Times New Roman" w:cs="Times New Roman" w:eastAsia="Times New Roman" w:hAnsi="Times New Roman"/>
          <w:b/>
          <w:bCs/>
          <w:color w:val="1a1a1a"/>
          <w:sz w:val="26"/>
          <w:szCs w:val="26"/>
        </w:rPr>
        <w:t xml:space="preserve">Reproducibility</w:t>
      </w:r>
    </w:p>
    <w:p>
      <w:pPr>
        <w:spacing w:after="140" w:before="0" w:line="264"/>
        <w:jc w:val="both"/>
      </w:pPr>
      <w:r>
        <w:rPr>
          <w:rFonts w:ascii="Times New Roman" w:cs="Times New Roman" w:eastAsia="Times New Roman" w:hAnsi="Times New Roman"/>
          <w:color w:val="1a1a1a"/>
          <w:sz w:val="21"/>
          <w:szCs w:val="21"/>
        </w:rPr>
        <w:t xml:space="preserve">Both split protocols, the ablation, the SHAP attribution, and the corpus audits are implemented in scripted notebooks that produce every table in Section 4 from the raw corpora. Group disjointness is enforced by runtime assertion in both the URL and SMS pipelines, and the family-overlap guarantee for the network detector is likewise asserted rather than assumed. Random seeds are fixed at 42 throughout. Code and feature definitions will be released with the paper.</w:t>
      </w:r>
    </w:p>
    <w:p>
      <w:pPr>
        <w:pStyle w:val="Heading1"/>
        <w:spacing w:after="120" w:before="260"/>
      </w:pPr>
      <w:r>
        <w:rPr>
          <w:rFonts w:ascii="Times New Roman" w:cs="Times New Roman" w:eastAsia="Times New Roman" w:hAnsi="Times New Roman"/>
          <w:b/>
          <w:bCs/>
          <w:color w:val="1a1a1a"/>
          <w:sz w:val="26"/>
          <w:szCs w:val="26"/>
        </w:rPr>
        <w:t xml:space="preserve">References</w:t>
      </w:r>
    </w:p>
    <w:p>
      <w:pPr>
        <w:spacing w:after="60" w:line="240"/>
        <w:ind w:left="360" w:hanging="360"/>
        <w:jc w:val="both"/>
      </w:pPr>
      <w:r>
        <w:rPr>
          <w:rFonts w:ascii="Times New Roman" w:cs="Times New Roman" w:eastAsia="Times New Roman" w:hAnsi="Times New Roman"/>
          <w:color w:val="1a1a1a"/>
          <w:sz w:val="18"/>
          <w:szCs w:val="18"/>
        </w:rPr>
        <w:t xml:space="preserve">[1]  Policy Research Institute of Bangladesh (A. Rahman and A. Rede), "The State of DFS Consumer Protection in Bangladesh," 2022.</w:t>
      </w:r>
    </w:p>
    <w:p>
      <w:pPr>
        <w:spacing w:after="60" w:line="240"/>
        <w:ind w:left="360" w:hanging="360"/>
        <w:jc w:val="both"/>
      </w:pPr>
      <w:r>
        <w:rPr>
          <w:rFonts w:ascii="Times New Roman" w:cs="Times New Roman" w:eastAsia="Times New Roman" w:hAnsi="Times New Roman"/>
          <w:color w:val="1a1a1a"/>
          <w:sz w:val="18"/>
          <w:szCs w:val="18"/>
        </w:rPr>
        <w:t xml:space="preserve">[2]  Cyble Research and Intelligence Labs (CRIL), "SikkahBot: An Android malware campaign targeting students and mobile financial services users in Bangladesh," Threat Intelligence Report (campaign active since July 2024).</w:t>
      </w:r>
    </w:p>
    <w:p>
      <w:pPr>
        <w:spacing w:after="60" w:line="240"/>
        <w:ind w:left="360" w:hanging="360"/>
        <w:jc w:val="both"/>
      </w:pPr>
      <w:r>
        <w:rPr>
          <w:rFonts w:ascii="Times New Roman" w:cs="Times New Roman" w:eastAsia="Times New Roman" w:hAnsi="Times New Roman"/>
          <w:color w:val="1a1a1a"/>
          <w:sz w:val="18"/>
          <w:szCs w:val="18"/>
        </w:rPr>
        <w:t xml:space="preserve">[3]  S. A. Khushbu, F. T. Jaigirdar, A. Anwar, and Ohidujjaman, "Be Aware of Your Text Messages: Fraud Attempts Identification Based on Semantic Sequential Learning for Financial Transactions through Mobile Services in Bangladesh," 2024.</w:t>
      </w:r>
    </w:p>
    <w:p>
      <w:pPr>
        <w:spacing w:after="60" w:line="240"/>
        <w:ind w:left="360" w:hanging="360"/>
        <w:jc w:val="both"/>
      </w:pPr>
      <w:r>
        <w:rPr>
          <w:rFonts w:ascii="Times New Roman" w:cs="Times New Roman" w:eastAsia="Times New Roman" w:hAnsi="Times New Roman"/>
          <w:color w:val="1a1a1a"/>
          <w:sz w:val="18"/>
          <w:szCs w:val="18"/>
        </w:rPr>
        <w:t xml:space="preserve">[4]  R. M. Mohammad, F. Thabtah, and L. McCluskey, "Predicting phishing websites based on self-structuring neural network," Neural Computing and Applications, vol. 25, no. 2, pp. 443-458, 2014.</w:t>
      </w:r>
    </w:p>
    <w:p>
      <w:pPr>
        <w:spacing w:after="60" w:line="240"/>
        <w:ind w:left="360" w:hanging="360"/>
        <w:jc w:val="both"/>
      </w:pPr>
      <w:r>
        <w:rPr>
          <w:rFonts w:ascii="Times New Roman" w:cs="Times New Roman" w:eastAsia="Times New Roman" w:hAnsi="Times New Roman"/>
          <w:color w:val="1a1a1a"/>
          <w:sz w:val="18"/>
          <w:szCs w:val="18"/>
        </w:rPr>
        <w:t xml:space="preserve">[5]  O. K. Sahingoz, E. Buber, O. Demir, and B. Diri, "Machine learning based phishing detection from URLs," Expert Systems with Applications, vol. 117, pp. 345-357, 2019.</w:t>
      </w:r>
    </w:p>
    <w:p>
      <w:pPr>
        <w:spacing w:after="60" w:line="240"/>
        <w:ind w:left="360" w:hanging="360"/>
        <w:jc w:val="both"/>
      </w:pPr>
      <w:r>
        <w:rPr>
          <w:rFonts w:ascii="Times New Roman" w:cs="Times New Roman" w:eastAsia="Times New Roman" w:hAnsi="Times New Roman"/>
          <w:color w:val="1a1a1a"/>
          <w:sz w:val="18"/>
          <w:szCs w:val="18"/>
        </w:rPr>
        <w:t xml:space="preserve">[6]  StealthPhisher: A Phishing Attack Dataset. Mendeley Data, 2025. https://data.mendeley.com/datasets/m2479kmybx/1</w:t>
      </w:r>
    </w:p>
    <w:p>
      <w:pPr>
        <w:spacing w:after="60" w:line="240"/>
        <w:ind w:left="360" w:hanging="360"/>
        <w:jc w:val="both"/>
      </w:pPr>
      <w:r>
        <w:rPr>
          <w:rFonts w:ascii="Times New Roman" w:cs="Times New Roman" w:eastAsia="Times New Roman" w:hAnsi="Times New Roman"/>
          <w:color w:val="1a1a1a"/>
          <w:sz w:val="18"/>
          <w:szCs w:val="18"/>
        </w:rPr>
        <w:t xml:space="preserve">[7]  F. Khan, R. Mustafa, F. Tasnim, T. Mahmud, M. S. Hossain, and K. Andersson, "Exploring BERT and ELMo for Bangla Spam SMS Dataset Creation and Detection," in Proc. 26th Int. Conf. on Computer and Information Technology (ICCIT), 2023.</w:t>
      </w:r>
    </w:p>
    <w:p>
      <w:pPr>
        <w:spacing w:after="60" w:line="240"/>
        <w:ind w:left="360" w:hanging="360"/>
        <w:jc w:val="both"/>
      </w:pPr>
      <w:r>
        <w:rPr>
          <w:rFonts w:ascii="Times New Roman" w:cs="Times New Roman" w:eastAsia="Times New Roman" w:hAnsi="Times New Roman"/>
          <w:color w:val="1a1a1a"/>
          <w:sz w:val="18"/>
          <w:szCs w:val="18"/>
        </w:rPr>
        <w:t xml:space="preserve">[8]  M. M. R. Foysal and M. S. Rahman, "Bangla SMS Spam Classification Using LLMs: Evaluating the Performance of BanglaBERT and XLM-RoBERTa," 2025.</w:t>
      </w:r>
    </w:p>
    <w:p>
      <w:pPr>
        <w:spacing w:after="60" w:line="240"/>
        <w:ind w:left="360" w:hanging="360"/>
        <w:jc w:val="both"/>
      </w:pPr>
      <w:r>
        <w:rPr>
          <w:rFonts w:ascii="Times New Roman" w:cs="Times New Roman" w:eastAsia="Times New Roman" w:hAnsi="Times New Roman"/>
          <w:color w:val="1a1a1a"/>
          <w:sz w:val="18"/>
          <w:szCs w:val="18"/>
        </w:rPr>
        <w:t xml:space="preserve">[9]  N. Reimers and I. Gurevych, "Making Monolingual Sentence Embeddings Multilingual using Knowledge Distillation," in Proc. EMNLP, 2020.</w:t>
      </w:r>
    </w:p>
    <w:p>
      <w:pPr>
        <w:spacing w:after="60" w:line="240"/>
        <w:ind w:left="360" w:hanging="360"/>
        <w:jc w:val="both"/>
      </w:pPr>
      <w:r>
        <w:rPr>
          <w:rFonts w:ascii="Times New Roman" w:cs="Times New Roman" w:eastAsia="Times New Roman" w:hAnsi="Times New Roman"/>
          <w:color w:val="1a1a1a"/>
          <w:sz w:val="18"/>
          <w:szCs w:val="18"/>
        </w:rPr>
        <w:t xml:space="preserve">[10]  A. H. Lashkari, A. F. A. Kadir, L. Taheri, and A. A. Ghorbani, "Toward developing a systematic approach to generate benchmark Android malware datasets and classification," in Proc. Int. Carnahan Conf. on Security Technology (ICCST), 2018.</w:t>
      </w:r>
    </w:p>
    <w:p>
      <w:pPr>
        <w:spacing w:after="60" w:line="240"/>
        <w:ind w:left="360" w:hanging="360"/>
        <w:jc w:val="both"/>
      </w:pPr>
      <w:r>
        <w:rPr>
          <w:rFonts w:ascii="Times New Roman" w:cs="Times New Roman" w:eastAsia="Times New Roman" w:hAnsi="Times New Roman"/>
          <w:color w:val="1a1a1a"/>
          <w:sz w:val="18"/>
          <w:szCs w:val="18"/>
        </w:rPr>
        <w:t xml:space="preserve">[11]  S. Mahdavifar, A. F. A. Kadir, R. Mahdikhani, H. Ghorbani, and A. A. Ghorbani, "Dynamic Android malware category classification using semi-supervised deep learning," in Proc. IEEE DASC, 2020.</w:t>
      </w:r>
    </w:p>
    <w:p>
      <w:pPr>
        <w:spacing w:after="60" w:line="240"/>
        <w:ind w:left="360" w:hanging="360"/>
        <w:jc w:val="both"/>
      </w:pPr>
      <w:r>
        <w:rPr>
          <w:rFonts w:ascii="Times New Roman" w:cs="Times New Roman" w:eastAsia="Times New Roman" w:hAnsi="Times New Roman"/>
          <w:color w:val="1a1a1a"/>
          <w:sz w:val="18"/>
          <w:szCs w:val="18"/>
        </w:rPr>
        <w:t xml:space="preserve">[12]  L. Taheri, A. F. A. Kadir, and A. H. Lashkari, "Extensible Android Malware Detection and Family Classification Using Network-Flows and API-Calls," in Proc. Int. Carnahan Conf. on Security Technology (ICCST), 2019.</w:t>
      </w:r>
    </w:p>
    <w:p>
      <w:pPr>
        <w:spacing w:after="60" w:line="240"/>
        <w:ind w:left="360" w:hanging="360"/>
        <w:jc w:val="both"/>
      </w:pPr>
      <w:r>
        <w:rPr>
          <w:rFonts w:ascii="Times New Roman" w:cs="Times New Roman" w:eastAsia="Times New Roman" w:hAnsi="Times New Roman"/>
          <w:color w:val="1a1a1a"/>
          <w:sz w:val="18"/>
          <w:szCs w:val="18"/>
        </w:rPr>
        <w:t xml:space="preserve">[13]  F. Pendlebury, F. Pierazzi, R. Jordaney, J. Kinder, and L. Cavallaro, "TESSERACT: Eliminating experimental bias in malware classification across space and time," in Proc. USENIX Security Symposium, 2019.</w:t>
      </w:r>
    </w:p>
    <w:p>
      <w:pPr>
        <w:spacing w:after="60" w:line="240"/>
        <w:ind w:left="360" w:hanging="360"/>
        <w:jc w:val="both"/>
      </w:pPr>
      <w:r>
        <w:rPr>
          <w:rFonts w:ascii="Times New Roman" w:cs="Times New Roman" w:eastAsia="Times New Roman" w:hAnsi="Times New Roman"/>
          <w:color w:val="1a1a1a"/>
          <w:sz w:val="18"/>
          <w:szCs w:val="18"/>
        </w:rPr>
        <w:t xml:space="preserve">[14]  M. Sakurada and T. Yairi, "Anomaly detection using autoencoders with nonlinear dimensionality reduction," in Proc. MLSDA Workshop, 2014.</w:t>
      </w:r>
    </w:p>
    <w:p>
      <w:pPr>
        <w:spacing w:after="60" w:line="240"/>
        <w:ind w:left="360" w:hanging="360"/>
        <w:jc w:val="both"/>
      </w:pPr>
      <w:r>
        <w:rPr>
          <w:rFonts w:ascii="Times New Roman" w:cs="Times New Roman" w:eastAsia="Times New Roman" w:hAnsi="Times New Roman"/>
          <w:color w:val="1a1a1a"/>
          <w:sz w:val="18"/>
          <w:szCs w:val="18"/>
        </w:rPr>
        <w:t xml:space="preserve">[15]  N. Moustafa and J. Slay, "UNSW-NB15: a comprehensive data set for network intrusion detection systems," in Proc. MilCIS, 2015.</w:t>
      </w:r>
    </w:p>
    <w:p>
      <w:pPr>
        <w:spacing w:after="60" w:line="240"/>
        <w:ind w:left="360" w:hanging="360"/>
        <w:jc w:val="both"/>
      </w:pPr>
      <w:r>
        <w:rPr>
          <w:rFonts w:ascii="Times New Roman" w:cs="Times New Roman" w:eastAsia="Times New Roman" w:hAnsi="Times New Roman"/>
          <w:color w:val="1a1a1a"/>
          <w:sz w:val="18"/>
          <w:szCs w:val="18"/>
        </w:rPr>
        <w:t xml:space="preserve">[16]  F. T. Liu, K. M. Ting, and Z.-H. Zhou, "Isolation Forest," in Proc. IEEE Int. Conf. on Data Mining (ICDM), 2008.</w:t>
      </w:r>
    </w:p>
    <w:p>
      <w:pPr>
        <w:spacing w:after="60" w:line="240"/>
        <w:ind w:left="360" w:hanging="360"/>
        <w:jc w:val="both"/>
      </w:pPr>
      <w:r>
        <w:rPr>
          <w:rFonts w:ascii="Times New Roman" w:cs="Times New Roman" w:eastAsia="Times New Roman" w:hAnsi="Times New Roman"/>
          <w:color w:val="1a1a1a"/>
          <w:sz w:val="18"/>
          <w:szCs w:val="18"/>
        </w:rPr>
        <w:t xml:space="preserve">[17]  S. M. Lundberg and S.-I. Lee, "A Unified Approach to Interpreting Model Predictions," in Proc. NeurIPS, 2017.</w:t>
      </w:r>
    </w:p>
    <w:p>
      <w:pPr>
        <w:spacing w:after="60" w:line="240"/>
        <w:ind w:left="360" w:hanging="360"/>
        <w:jc w:val="both"/>
      </w:pPr>
      <w:r>
        <w:rPr>
          <w:rFonts w:ascii="Times New Roman" w:cs="Times New Roman" w:eastAsia="Times New Roman" w:hAnsi="Times New Roman"/>
          <w:color w:val="1a1a1a"/>
          <w:sz w:val="18"/>
          <w:szCs w:val="18"/>
        </w:rPr>
        <w:t xml:space="preserve">[18]  M. F. Shahriyar and G. Tanbhir, "BangalaBarta: A Spam/Smishing SMS Dataset Bangla," Mendeley Data, 2025. https://data.mendeley.com/datasets/jfkfbw3gzh/2</w:t>
      </w:r>
    </w:p>
    <w:p>
      <w:pPr>
        <w:spacing w:after="60" w:line="240"/>
        <w:ind w:left="360" w:hanging="360"/>
        <w:jc w:val="both"/>
      </w:pPr>
      <w:r>
        <w:rPr>
          <w:rFonts w:ascii="Times New Roman" w:cs="Times New Roman" w:eastAsia="Times New Roman" w:hAnsi="Times New Roman"/>
          <w:color w:val="1a1a1a"/>
          <w:sz w:val="18"/>
          <w:szCs w:val="18"/>
        </w:rPr>
        <w:t xml:space="preserve">[19]  G. Tanbhir, M. F. Shahriyar, K. Shahed, A. M. R. Chy, and M. Al Adnan, "Hybrid Machine Learning Model for Detecting Bangla Smishing Text Using BERT and Character-Level CNN," in Proc. 13th Int. Conf. on Electrical and Computer Engineering (ICECE), pp. 57-62, IEEE, 2024.</w:t>
      </w:r>
    </w:p>
    <w:p>
      <w:pPr>
        <w:spacing w:after="60" w:line="240"/>
        <w:ind w:left="360" w:hanging="360"/>
        <w:jc w:val="both"/>
      </w:pPr>
      <w:r>
        <w:rPr>
          <w:rFonts w:ascii="Times New Roman" w:cs="Times New Roman" w:eastAsia="Times New Roman" w:hAnsi="Times New Roman"/>
          <w:color w:val="1a1a1a"/>
          <w:sz w:val="18"/>
          <w:szCs w:val="18"/>
        </w:rPr>
        <w:t xml:space="preserve">[20]  J. Talukder, G. Tanbhir, M. F. Shahriyar, and G. S. Hossain, "NirapodBarta: A Hybrid BERT-XGBoost Model for Multiclass Bangla Smishing Detection with Explainable AI," in Proc. 16th Int. Conf. on Computing Communication and Networking Technologies (ICCCNT), 2025.</w:t>
      </w:r>
    </w:p>
    <w:sectPr>
      <w:pgSz w:w="12240" w:h="15840" w:orient="portrait"/>
      <w:pgMar w:top="1080" w:right="1200" w:bottom="108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1a1a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33a401a2baac6b299aeac317653dbb5abaff4d68.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SecureSpeak Paper 1 v3</dc:title>
  <dc:creator>SecureSpeak Team</dc:creator>
  <cp:lastModifiedBy>Un-named</cp:lastModifiedBy>
  <cp:revision>1</cp:revision>
  <dcterms:created xsi:type="dcterms:W3CDTF">2026-07-23T18:01:00.089Z</dcterms:created>
  <dcterms:modified xsi:type="dcterms:W3CDTF">2026-07-23T18:01:00.100Z</dcterms:modified>
</cp:coreProperties>
</file>

<file path=docProps/custom.xml><?xml version="1.0" encoding="utf-8"?>
<Properties xmlns="http://schemas.openxmlformats.org/officeDocument/2006/custom-properties" xmlns:vt="http://schemas.openxmlformats.org/officeDocument/2006/docPropsVTypes"/>
</file>