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3B4D9E"/>
          <w:sz w:val="46"/>
          <w:szCs w:val="46"/>
        </w:rPr>
        <w:t xml:space="preserve">Scholarship OS</w:t>
      </w:r>
    </w:p>
    <w:p>
      <w:pPr>
        <w:spacing w:after="0"/>
      </w:pPr>
      <w:r>
        <w:rPr>
          <w:color w:val="2B2B2B"/>
          <w:sz w:val="22"/>
          <w:szCs w:val="22"/>
        </w:rPr>
        <w:t xml:space="preserve">An AI-powered student-success operating system — discover, prepare, win, plan.</w:t>
      </w:r>
    </w:p>
    <w:p>
      <w:pPr>
        <w:pBdr>
          <w:bottom w:val="single" w:color="C5CCEC" w:sz="10" w:space="2"/>
        </w:pBdr>
        <w:spacing w:after="60"/>
      </w:pPr>
      <w:r>
        <w:rPr>
          <w:color w:val="888888"/>
          <w:sz w:val="18"/>
          <w:szCs w:val="18"/>
        </w:rPr>
        <w:t xml:space="preserve">CSE 327 · Software Engineering — Project Concept</w:t>
      </w:r>
    </w:p>
    <w:p>
      <w:pPr>
        <w:pBdr>
          <w:bottom w:val="single" w:color="F3C9BC" w:sz="6" w:space="3"/>
        </w:pBdr>
        <w:spacing w:after="80" w:before="200"/>
      </w:pPr>
      <w:r>
        <w:rPr>
          <w:color w:val="E8623D"/>
          <w:sz w:val="18"/>
          <w:szCs w:val="18"/>
        </w:rPr>
        <w:t xml:space="preserve">● </w:t>
      </w:r>
      <w:r>
        <w:rPr>
          <w:b/>
          <w:bCs/>
          <w:color w:val="E8623D"/>
          <w:sz w:val="24"/>
          <w:szCs w:val="24"/>
        </w:rPr>
        <w:t xml:space="preserve">The Scenario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8623D" w:sz="24"/>
              <w:bottom w:val="none" w:color="FFFFFF" w:sz="0"/>
              <w:right w:val="none" w:color="FFFFFF" w:sz="0"/>
            </w:tcBorders>
            <w:shd w:fill="FDEEE8" w:val="clear"/>
            <w:tcMar>
              <w:top w:type="dxa" w:w="120"/>
              <w:left w:type="dxa" w:w="200"/>
              <w:bottom w:type="dxa" w:w="120"/>
              <w:right w:type="dxa" w:w="160"/>
            </w:tcMar>
          </w:tcPr>
          <w:p>
            <w:pPr>
              <w:spacing w:after="0" w:before="0"/>
            </w:pPr>
            <w:r>
              <w:rPr>
                <w:b/>
                <w:bCs/>
                <w:color w:val="2B2B2B"/>
              </w:rPr>
              <w:t xml:space="preserve">Tahmid</w:t>
            </w:r>
            <w:r>
              <w:rPr>
                <w:color w:val="2B2B2B"/>
              </w:rPr>
              <w:t xml:space="preserve">, a final-year CSE student in Dhaka, has a strong GPA and a side research project — but no idea which scholarships he actually qualifies for. He finds the good ones too late, misses two deadlines, and spends weeks on an SOP he’s not even sure is any good. A “fully-funded UK scholarship” he paid a “processing fee” for turns out to be </w:t>
            </w:r>
            <w:r>
              <w:rPr>
                <w:b/>
                <w:bCs/>
                <w:color w:val="2B2B2B"/>
              </w:rPr>
              <w:t xml:space="preserve">fake</w:t>
            </w:r>
            <w:r>
              <w:rPr>
                <w:color w:val="2B2B2B"/>
              </w:rPr>
              <w:t xml:space="preserve">.</w:t>
            </w:r>
          </w:p>
        </w:tc>
      </w:tr>
    </w:tbl>
    <w:p>
      <w:pPr>
        <w:spacing w:after="80" w:before="0"/>
      </w:pPr>
      <w:r>
        <w:rPr>
          <w:i/>
          <w:iCs/>
          <w:color w:val="2B2B2B"/>
        </w:rPr>
        <w:t xml:space="preserve">He has the talent to win funding abroad — he just has no system guiding him, verifying opportunities, fixing his profile gaps, and keeping him on track. </w:t>
      </w:r>
      <w:r>
        <w:rPr>
          <w:b/>
          <w:bCs/>
          <w:color w:val="E8623D"/>
        </w:rPr>
        <w:t xml:space="preserve">That’s tens of thousands of capable Bangladeshi students every year — the gap Scholarship OS fills.</w:t>
      </w:r>
    </w:p>
    <w:p>
      <w:pPr>
        <w:pBdr>
          <w:bottom w:val="single" w:color="C5CCEC" w:sz="6" w:space="3"/>
        </w:pBdr>
        <w:spacing w:after="80" w:before="200"/>
      </w:pPr>
      <w:r>
        <w:rPr>
          <w:color w:val="3B4D9E"/>
          <w:sz w:val="18"/>
          <w:szCs w:val="18"/>
        </w:rPr>
        <w:t xml:space="preserve">● </w:t>
      </w:r>
      <w:r>
        <w:rPr>
          <w:b/>
          <w:bCs/>
          <w:color w:val="3B4D9E"/>
          <w:sz w:val="24"/>
          <w:szCs w:val="24"/>
        </w:rPr>
        <w:t xml:space="preserve">Why We Exist — What We Build</w:t>
      </w:r>
    </w:p>
    <w:p>
      <w:pPr>
        <w:spacing w:after="80" w:before="0"/>
      </w:pPr>
      <w:r>
        <w:rPr>
          <w:color w:val="2B2B2B"/>
        </w:rPr>
        <w:t xml:space="preserve">Scholarship OS is an </w:t>
      </w:r>
      <w:r>
        <w:rPr>
          <w:b/>
          <w:bCs/>
          <w:color w:val="2B2B2B"/>
        </w:rPr>
        <w:t xml:space="preserve">AI-powered student-success ecosystem</w:t>
      </w:r>
      <w:r>
        <w:rPr>
          <w:color w:val="2B2B2B"/>
        </w:rPr>
        <w:t xml:space="preserve"> that guides students across the </w:t>
      </w:r>
      <w:r>
        <w:rPr>
          <w:i/>
          <w:iCs/>
          <w:color w:val="2B2B2B"/>
        </w:rPr>
        <w:t xml:space="preserve">whole</w:t>
      </w:r>
      <w:r>
        <w:rPr>
          <w:color w:val="2B2B2B"/>
        </w:rPr>
        <w:t xml:space="preserve"> study-abroad journey — not just a list of scholarships. It reads a student’s profile, finds and verifies opportunities, closes eligibility gaps, predicts success, writes application documents, tracks deadlines, and plans the academic + career path ahead.</w:t>
      </w:r>
    </w:p>
    <w:p>
      <w:pPr>
        <w:pStyle w:val="ListParagraph"/>
        <w:numPr>
          <w:ilvl w:val="0"/>
          <w:numId w:val="2"/>
        </w:numPr>
        <w:spacing w:after="50"/>
      </w:pPr>
      <w:r>
        <w:rPr>
          <w:b/>
          <w:bCs/>
          <w:color w:val="2B2B2B"/>
        </w:rPr>
        <w:t xml:space="preserve">Goal: </w:t>
      </w:r>
      <w:r>
        <w:rPr>
          <w:color w:val="2B2B2B"/>
        </w:rPr>
        <w:t xml:space="preserve">more students funded, stronger applications, fewer missed deadlines, and zero money lost to scholarship scams.</w:t>
      </w:r>
    </w:p>
    <w:p>
      <w:pPr>
        <w:pBdr>
          <w:bottom w:val="single" w:color="D6CCEC" w:sz="6" w:space="3"/>
        </w:pBdr>
        <w:spacing w:after="80" w:before="200"/>
      </w:pPr>
      <w:r>
        <w:rPr>
          <w:color w:val="7A5AA6"/>
          <w:sz w:val="18"/>
          <w:szCs w:val="18"/>
        </w:rPr>
        <w:t xml:space="preserve">● </w:t>
      </w:r>
      <w:r>
        <w:rPr>
          <w:b/>
          <w:bCs/>
          <w:color w:val="7A5AA6"/>
          <w:sz w:val="24"/>
          <w:szCs w:val="24"/>
        </w:rPr>
        <w:t xml:space="preserve">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A5AA6" w:sz="24"/>
              <w:bottom w:val="none" w:color="FFFFFF" w:sz="0"/>
              <w:right w:val="none" w:color="FFFFFF" w:sz="0"/>
            </w:tcBorders>
            <w:shd w:fill="F2EEFA" w:val="clear"/>
            <w:tcMar>
              <w:top w:type="dxa" w:w="120"/>
              <w:left w:type="dxa" w:w="200"/>
              <w:bottom w:type="dxa" w:w="120"/>
              <w:right w:type="dxa" w:w="160"/>
            </w:tcMar>
          </w:tcPr>
          <w:p>
            <w:pPr>
              <w:spacing w:after="60" w:before="0"/>
            </w:pPr>
            <w:r>
              <w:rPr>
                <w:b/>
                <w:bCs/>
                <w:color w:val="7A5AA6"/>
                <w:sz w:val="22"/>
                <w:szCs w:val="22"/>
              </w:rPr>
              <w:t xml:space="preserve">Discover → Verify → Match → Plan → Prepare → Track → Apply → Predict</w:t>
            </w:r>
          </w:p>
          <w:p>
            <w:pPr>
              <w:spacing w:after="0" w:before="0"/>
            </w:pPr>
            <w:r>
              <w:rPr>
                <w:color w:val="2B2B2B"/>
              </w:rPr>
              <w:t xml:space="preserve">The </w:t>
            </w:r>
            <w:r>
              <w:rPr>
                <w:b/>
                <w:bCs/>
                <w:color w:val="2B2B2B"/>
              </w:rPr>
              <w:t xml:space="preserve">AI Digital Twin</w:t>
            </w:r>
            <w:r>
              <w:rPr>
                <w:color w:val="2B2B2B"/>
              </w:rPr>
              <w:t xml:space="preserve"> of the student runs through every stage — a living academic profile that learns from the student’s GPA, skills, and research over time, so each recommendation gets sharper the longer they use it.</w:t>
            </w:r>
          </w:p>
        </w:tc>
      </w:tr>
    </w:tbl>
    <w:p>
      <w:pPr>
        <w:pBdr>
          <w:bottom w:val="single" w:color="C5CCEC" w:sz="6" w:space="3"/>
        </w:pBdr>
        <w:spacing w:after="80" w:before="200"/>
      </w:pPr>
      <w:r>
        <w:rPr>
          <w:color w:val="0B7A7A"/>
          <w:sz w:val="18"/>
          <w:szCs w:val="18"/>
        </w:rPr>
        <w:t xml:space="preserve">● </w:t>
      </w:r>
      <w:r>
        <w:rPr>
          <w:b/>
          <w:bCs/>
          <w:color w:val="0B7A7A"/>
          <w:sz w:val="24"/>
          <w:szCs w:val="24"/>
        </w:rPr>
        <w:t xml:space="preserve">Key Features</w:t>
      </w:r>
    </w:p>
    <w:p>
      <w:pPr>
        <w:pStyle w:val="ListParagraph"/>
        <w:numPr>
          <w:ilvl w:val="0"/>
          <w:numId w:val="2"/>
        </w:numPr>
        <w:spacing w:after="50"/>
      </w:pPr>
      <w:r>
        <w:rPr>
          <w:b/>
          <w:bCs/>
          <w:color w:val="2B2B2B"/>
        </w:rPr>
        <w:t xml:space="preserve">Discover &amp; Verify: </w:t>
      </w:r>
      <w:r>
        <w:rPr>
          <w:color w:val="2B2B2B"/>
        </w:rPr>
        <w:t xml:space="preserve">Opportunity Radar continuously finds scholarships, grants, fellowships, internships &amp; exchanges — and a Scam Detector flags fake sites and fraudulent “fee” offers.</w:t>
      </w:r>
    </w:p>
    <w:p>
      <w:pPr>
        <w:pStyle w:val="ListParagraph"/>
        <w:numPr>
          <w:ilvl w:val="0"/>
          <w:numId w:val="2"/>
        </w:numPr>
        <w:spacing w:after="50"/>
      </w:pPr>
      <w:r>
        <w:rPr>
          <w:b/>
          <w:bCs/>
          <w:color w:val="2B2B2B"/>
        </w:rPr>
        <w:t xml:space="preserve">Match &amp; Assess: </w:t>
      </w:r>
      <w:r>
        <w:rPr>
          <w:color w:val="2B2B2B"/>
        </w:rPr>
        <w:t xml:space="preserve">Matching Engine scores best-fit scholarships from GPA, background, skills, test scores &amp; need; a Gap Analyzer shows exactly what’s missing; a Success Predictor estimates acceptance odds with reasons.</w:t>
      </w:r>
    </w:p>
    <w:p>
      <w:pPr>
        <w:pStyle w:val="ListParagraph"/>
        <w:numPr>
          <w:ilvl w:val="0"/>
          <w:numId w:val="2"/>
        </w:numPr>
        <w:spacing w:after="50"/>
      </w:pPr>
      <w:r>
        <w:rPr>
          <w:b/>
          <w:bCs/>
          <w:color w:val="2B2B2B"/>
        </w:rPr>
        <w:t xml:space="preserve">Plan: </w:t>
      </w:r>
      <w:r>
        <w:rPr>
          <w:color w:val="2B2B2B"/>
        </w:rPr>
        <w:t xml:space="preserve">Country Recommender compares tuition, living cost, scholarship availability, visa odds &amp; job prospects to suggest the best destinations.</w:t>
      </w:r>
    </w:p>
    <w:p>
      <w:pPr>
        <w:pStyle w:val="ListParagraph"/>
        <w:numPr>
          <w:ilvl w:val="0"/>
          <w:numId w:val="2"/>
        </w:numPr>
        <w:spacing w:after="50"/>
      </w:pPr>
      <w:r>
        <w:rPr>
          <w:b/>
          <w:bCs/>
          <w:color w:val="2B2B2B"/>
        </w:rPr>
        <w:t xml:space="preserve">Prepare: </w:t>
      </w:r>
      <w:r>
        <w:rPr>
          <w:color w:val="2B2B2B"/>
        </w:rPr>
        <w:t xml:space="preserve">AI SOP / CV Generator drafts and improves statements &amp; scholarship-ready CVs; a Document Readiness Checker reviews transcripts, LORs &amp; essays for gaps.</w:t>
      </w:r>
    </w:p>
    <w:p>
      <w:pPr>
        <w:pStyle w:val="ListParagraph"/>
        <w:numPr>
          <w:ilvl w:val="0"/>
          <w:numId w:val="2"/>
        </w:numPr>
        <w:spacing w:after="50"/>
      </w:pPr>
      <w:r>
        <w:rPr>
          <w:b/>
          <w:bCs/>
          <w:color w:val="2B2B2B"/>
        </w:rPr>
        <w:t xml:space="preserve">Track &amp; Support: </w:t>
      </w:r>
      <w:r>
        <w:rPr>
          <w:color w:val="2B2B2B"/>
        </w:rPr>
        <w:t xml:space="preserve">Deadline Intelligence sends smart reminders; an Application Tracker follows each stage (Interested → Applied → Interview → Result); a 24/7 AI Mentor answers questions any time.</w:t>
      </w:r>
    </w:p>
    <w:p>
      <w:pPr>
        <w:pBdr>
          <w:bottom w:val="single" w:color="BFE0CC" w:sz="6" w:space="3"/>
        </w:pBdr>
        <w:spacing w:after="80" w:before="200"/>
      </w:pPr>
      <w:r>
        <w:rPr>
          <w:color w:val="2E8B57"/>
          <w:sz w:val="18"/>
          <w:szCs w:val="18"/>
        </w:rPr>
        <w:t xml:space="preserve">● </w:t>
      </w:r>
      <w:r>
        <w:rPr>
          <w:b/>
          <w:bCs/>
          <w:color w:val="2E8B57"/>
          <w:sz w:val="24"/>
          <w:szCs w:val="24"/>
        </w:rPr>
        <w:t xml:space="preserve">The Standout: AI Digital Twin Student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8B57" w:sz="24"/>
              <w:bottom w:val="none" w:color="FFFFFF" w:sz="0"/>
              <w:right w:val="none" w:color="FFFFFF" w:sz="0"/>
            </w:tcBorders>
            <w:shd w:fill="EAF6EF" w:val="clear"/>
            <w:tcMar>
              <w:top w:type="dxa" w:w="120"/>
              <w:left w:type="dxa" w:w="200"/>
              <w:bottom w:type="dxa" w:w="120"/>
              <w:right w:type="dxa" w:w="160"/>
            </w:tcMar>
          </w:tcPr>
          <w:p>
            <w:pPr>
              <w:spacing w:after="0" w:before="0"/>
            </w:pPr>
            <w:r>
              <w:rPr>
                <w:color w:val="2B2B2B"/>
              </w:rPr>
              <w:t xml:space="preserve">A persistent virtual academic profile that tracks GPA trends, skills, and research progress </w:t>
            </w:r>
            <w:r>
              <w:rPr>
                <w:i/>
                <w:iCs/>
                <w:color w:val="2B2B2B"/>
              </w:rPr>
              <w:t xml:space="preserve">over time</w:t>
            </w:r>
            <w:r>
              <w:rPr>
                <w:color w:val="2B2B2B"/>
              </w:rPr>
              <w:t xml:space="preserve"> — then predicts </w:t>
            </w:r>
            <w:r>
              <w:rPr>
                <w:b/>
                <w:bCs/>
                <w:color w:val="2B2B2B"/>
              </w:rPr>
              <w:t xml:space="preserve">future</w:t>
            </w:r>
            <w:r>
              <w:rPr>
                <w:color w:val="2B2B2B"/>
              </w:rPr>
              <w:t xml:space="preserve"> opportunities and recommends concrete actions to unlock them (“publish one paper + raise IELTS to 7.5 → unlocks 12 new scholarships”). Competitors give a one-time match; the Twin grows with the student.</w:t>
            </w:r>
          </w:p>
        </w:tc>
      </w:tr>
    </w:tbl>
    <w:p>
      <w:pPr>
        <w:pBdr>
          <w:bottom w:val="single" w:color="EAD9A6" w:sz="6" w:space="3"/>
        </w:pBdr>
        <w:spacing w:after="80" w:before="200"/>
      </w:pPr>
      <w:r>
        <w:rPr>
          <w:color w:val="C9881A"/>
          <w:sz w:val="18"/>
          <w:szCs w:val="18"/>
        </w:rPr>
        <w:t xml:space="preserve">● </w:t>
      </w:r>
      <w:r>
        <w:rPr>
          <w:b/>
          <w:bCs/>
          <w:color w:val="C9881A"/>
          <w:sz w:val="24"/>
          <w:szCs w:val="24"/>
        </w:rPr>
        <w:t xml:space="preserve">Target Users &amp; Business Case</w:t>
      </w:r>
    </w:p>
    <w:p>
      <w:pPr>
        <w:pStyle w:val="ListParagraph"/>
        <w:numPr>
          <w:ilvl w:val="0"/>
          <w:numId w:val="2"/>
        </w:numPr>
        <w:spacing w:after="50"/>
      </w:pPr>
      <w:r>
        <w:rPr>
          <w:b/>
          <w:bCs/>
          <w:color w:val="2B2B2B"/>
        </w:rPr>
        <w:t xml:space="preserve">Users: </w:t>
      </w:r>
      <w:r>
        <w:rPr>
          <w:color w:val="2B2B2B"/>
        </w:rPr>
        <w:t xml:space="preserve">undergrad &amp; grad students aiming abroad, especially capable but under-guided students in Bangladesh &amp; South Asia; also coaching centres and ed-consultancies.</w:t>
      </w:r>
    </w:p>
    <w:p>
      <w:pPr>
        <w:pStyle w:val="ListParagraph"/>
        <w:numPr>
          <w:ilvl w:val="0"/>
          <w:numId w:val="2"/>
        </w:numPr>
        <w:spacing w:after="50"/>
      </w:pPr>
      <w:r>
        <w:rPr>
          <w:b/>
          <w:bCs/>
          <w:color w:val="2B2B2B"/>
        </w:rPr>
        <w:t xml:space="preserve">Model: </w:t>
      </w:r>
      <w:r>
        <w:rPr>
          <w:color w:val="2B2B2B"/>
        </w:rPr>
        <w:t xml:space="preserve">freemium (matching + basic tools free) → premium (full Digital Twin, unlimited SOP/CV, priority mentor) → B2B2C bundles with universities, scholarship bodies, IELTS / test-prep partners and consultancies.</w:t>
      </w:r>
    </w:p>
    <w:p>
      <w:pPr>
        <w:pBdr>
          <w:bottom w:val="single" w:color="C5CCEC" w:sz="6" w:space="3"/>
        </w:pBdr>
        <w:spacing w:after="80" w:before="200"/>
      </w:pPr>
      <w:r>
        <w:rPr>
          <w:color w:val="3B4D9E"/>
          <w:sz w:val="18"/>
          <w:szCs w:val="18"/>
        </w:rPr>
        <w:t xml:space="preserve">● </w:t>
      </w:r>
      <w:r>
        <w:rPr>
          <w:b/>
          <w:bCs/>
          <w:color w:val="3B4D9E"/>
          <w:sz w:val="24"/>
          <w:szCs w:val="24"/>
        </w:rPr>
        <w:t xml:space="preserve">Novelty</w:t>
      </w:r>
    </w:p>
    <w:p>
      <w:pPr>
        <w:pStyle w:val="ListParagraph"/>
        <w:numPr>
          <w:ilvl w:val="0"/>
          <w:numId w:val="2"/>
        </w:numPr>
        <w:spacing w:after="50"/>
      </w:pPr>
      <w:r>
        <w:rPr>
          <w:b/>
          <w:bCs/>
          <w:color w:val="2B2B2B"/>
        </w:rPr>
        <w:t xml:space="preserve">Scholarship-first &amp; student-aligned </w:t>
      </w:r>
      <w:r>
        <w:rPr>
          <w:color w:val="2B2B2B"/>
        </w:rPr>
        <w:t xml:space="preserve">— the big platforms are admission/recruitment funnels that earn commissions from universities; we optimise for the student’s funding, with no conflict of interest.</w:t>
      </w:r>
    </w:p>
    <w:p>
      <w:pPr>
        <w:pStyle w:val="ListParagraph"/>
        <w:numPr>
          <w:ilvl w:val="0"/>
          <w:numId w:val="2"/>
        </w:numPr>
        <w:spacing w:after="50"/>
      </w:pPr>
      <w:r>
        <w:rPr>
          <w:b/>
          <w:bCs/>
          <w:color w:val="2B2B2B"/>
        </w:rPr>
        <w:t xml:space="preserve">AI Digital Twin Student </w:t>
      </w:r>
      <w:r>
        <w:rPr>
          <w:color w:val="2B2B2B"/>
        </w:rPr>
        <w:t xml:space="preserve">— a living, longitudinal profile that predicts future readiness and the actions to get there, not a one-time match.</w:t>
      </w:r>
    </w:p>
    <w:p>
      <w:pPr>
        <w:pStyle w:val="ListParagraph"/>
        <w:numPr>
          <w:ilvl w:val="0"/>
          <w:numId w:val="2"/>
        </w:numPr>
        <w:spacing w:after="50"/>
      </w:pPr>
      <w:r>
        <w:rPr>
          <w:b/>
          <w:bCs/>
          <w:color w:val="2B2B2B"/>
        </w:rPr>
        <w:t xml:space="preserve">Built-in Scholarship Scam Detector </w:t>
      </w:r>
      <w:r>
        <w:rPr>
          <w:color w:val="2B2B2B"/>
        </w:rPr>
        <w:t xml:space="preserve">— none of the major platforms verify authenticity, yet fraud hits developing-country students hardest.</w:t>
      </w:r>
    </w:p>
    <w:p>
      <w:pPr>
        <w:pStyle w:val="ListParagraph"/>
        <w:numPr>
          <w:ilvl w:val="0"/>
          <w:numId w:val="2"/>
        </w:numPr>
        <w:spacing w:after="50"/>
      </w:pPr>
      <w:r>
        <w:rPr>
          <w:b/>
          <w:bCs/>
          <w:color w:val="2B2B2B"/>
        </w:rPr>
        <w:t xml:space="preserve">Gap-to-eligibility roadmap + one integrated ecosystem </w:t>
      </w:r>
      <w:r>
        <w:rPr>
          <w:color w:val="2B2B2B"/>
        </w:rPr>
        <w:t xml:space="preserve">— not “are you eligible now” but “how to become eligible,” with discovery, prep, tracking and planning in one place, localised for Bangladesh.</w:t>
      </w:r>
    </w:p>
    <w:p>
      <w:pPr>
        <w:pBdr>
          <w:bottom w:val="single" w:color="C5CCEC" w:sz="6" w:space="3"/>
        </w:pBdr>
        <w:spacing w:after="80" w:before="200"/>
      </w:pPr>
      <w:r>
        <w:rPr>
          <w:color w:val="0B7A7A"/>
          <w:sz w:val="18"/>
          <w:szCs w:val="18"/>
        </w:rPr>
        <w:t xml:space="preserve">● </w:t>
      </w:r>
      <w:r>
        <w:rPr>
          <w:b/>
          <w:bCs/>
          <w:color w:val="0B7A7A"/>
          <w:sz w:val="24"/>
          <w:szCs w:val="24"/>
        </w:rPr>
        <w:t xml:space="preserve">Competitors &amp; Our Difference</w:t>
      </w:r>
    </w:p>
    <w:p>
      <w:pPr>
        <w:pStyle w:val="ListParagraph"/>
        <w:numPr>
          <w:ilvl w:val="0"/>
          <w:numId w:val="2"/>
        </w:numPr>
        <w:spacing w:after="50"/>
      </w:pPr>
      <w:r>
        <w:rPr>
          <w:b/>
          <w:bCs/>
          <w:color w:val="2B2B2B"/>
        </w:rPr>
        <w:t xml:space="preserve">Leverage Edu / Yocket / Leap Scholar (India) </w:t>
      </w:r>
      <w:r>
        <w:rPr>
          <w:color w:val="2B2B2B"/>
        </w:rPr>
        <w:t xml:space="preserve">— admission &amp; recruitment focused, counsellor-heavy, India-centric; scholarships are a side filter. We’re scholarship-first, AI-native, Bangladesh-focused.</w:t>
      </w:r>
    </w:p>
    <w:p>
      <w:pPr>
        <w:pStyle w:val="ListParagraph"/>
        <w:numPr>
          <w:ilvl w:val="0"/>
          <w:numId w:val="2"/>
        </w:numPr>
        <w:spacing w:after="50"/>
      </w:pPr>
      <w:r>
        <w:rPr>
          <w:b/>
          <w:bCs/>
          <w:color w:val="2B2B2B"/>
        </w:rPr>
        <w:t xml:space="preserve">ApplyBoard (Canada) </w:t>
      </w:r>
      <w:r>
        <w:rPr>
          <w:color w:val="2B2B2B"/>
        </w:rPr>
        <w:t xml:space="preserve">— huge recruitment platform that earns commission from universities; great reach, but an admission funnel — no scam detection, no Digital Twin, not student-aligned.</w:t>
      </w:r>
    </w:p>
    <w:p>
      <w:pPr>
        <w:pStyle w:val="ListParagraph"/>
        <w:numPr>
          <w:ilvl w:val="0"/>
          <w:numId w:val="2"/>
        </w:numPr>
        <w:spacing w:after="50"/>
      </w:pPr>
      <w:r>
        <w:rPr>
          <w:b/>
          <w:bCs/>
          <w:color w:val="2B2B2B"/>
        </w:rPr>
        <w:t xml:space="preserve">Studyportals / scholarship directories </w:t>
      </w:r>
      <w:r>
        <w:rPr>
          <w:color w:val="2B2B2B"/>
        </w:rPr>
        <w:t xml:space="preserve">— searchable databases only; no personalisation, prediction, document help, or fraud-checking.</w:t>
      </w:r>
    </w:p>
    <w:p>
      <w:pPr>
        <w:pStyle w:val="ListParagraph"/>
        <w:numPr>
          <w:ilvl w:val="0"/>
          <w:numId w:val="2"/>
        </w:numPr>
        <w:spacing w:after="50"/>
      </w:pPr>
      <w:r>
        <w:rPr>
          <w:b/>
          <w:bCs/>
          <w:color w:val="2B2B2B"/>
        </w:rPr>
        <w:t xml:space="preserve">Generic AI (ChatGPT, Grammarly, Kickresume) </w:t>
      </w:r>
      <w:r>
        <w:rPr>
          <w:color w:val="2B2B2B"/>
        </w:rPr>
        <w:t xml:space="preserve">— do isolated pieces (an SOP, a CV) with no matching, tracking, verification, or memory of the student.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2026-06-23T20:08:36.921Z</dcterms:created>
  <dcterms:modified xsi:type="dcterms:W3CDTF">2026-06-23T20:08:36.934Z</dcterms:modified>
</cp:coreProperties>
</file>

<file path=docProps/custom.xml><?xml version="1.0" encoding="utf-8"?>
<Properties xmlns="http://schemas.openxmlformats.org/officeDocument/2006/custom-properties" xmlns:vt="http://schemas.openxmlformats.org/officeDocument/2006/docPropsVTypes"/>
</file>