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D8077CA0">
      <w:pPr>
        <w:pStyle w:val="style0"/>
        <w:spacing w:after="20"/>
        <w:rPr/>
      </w:pPr>
      <w:r>
        <w:rPr>
          <w:rFonts w:ascii="Calibri" w:cs="Calibri" w:eastAsia="Calibri" w:hAnsi="Calibri"/>
          <w:b/>
          <w:bCs/>
          <w:color w:val="1f6f6b"/>
          <w:sz w:val="18"/>
          <w:szCs w:val="18"/>
        </w:rPr>
        <w:t>DIGITAL DHAAL  ·  ডিজিটাল ঢাল</w:t>
      </w:r>
    </w:p>
    <w:p w14:paraId="7F8414AC">
      <w:pPr>
        <w:pStyle w:val="style0"/>
        <w:spacing w:after="40"/>
        <w:rPr/>
      </w:pPr>
      <w:r>
        <w:rPr>
          <w:rFonts w:ascii="Calibri" w:cs="Calibri" w:eastAsia="Calibri" w:hAnsi="Calibri"/>
          <w:b/>
          <w:bCs/>
          <w:color w:val="1b2a4a"/>
          <w:sz w:val="36"/>
          <w:szCs w:val="36"/>
        </w:rPr>
        <w:t>Technical Design &amp; Operations Report</w:t>
      </w:r>
    </w:p>
    <w:p w14:paraId="AB18047F">
      <w:pPr>
        <w:pStyle w:val="style0"/>
        <w:spacing w:after="260"/>
        <w:rPr/>
      </w:pPr>
      <w:r>
        <w:rPr>
          <w:rFonts w:ascii="Calibri" w:cs="Calibri" w:eastAsia="Calibri" w:hAnsi="Calibri"/>
          <w:i/>
          <w:iCs/>
          <w:color w:val="6e6e6e"/>
          <w:sz w:val="19"/>
          <w:szCs w:val="19"/>
        </w:rPr>
        <w:t>System architecture, scope, trust framework, and case operations · v1 · CSE 327 project team</w:t>
      </w:r>
    </w:p>
    <w:p w14:paraId="1841661A">
      <w:pPr>
        <w:pStyle w:val="style0"/>
        <w:spacing w:after="100"/>
        <w:rPr/>
      </w:pPr>
      <w:r>
        <w:rPr>
          <w:rFonts w:ascii="Calibri" w:cs="Calibri" w:eastAsia="Calibri" w:hAnsi="Calibri"/>
          <w:b/>
          <w:bCs/>
          <w:color w:val="1f6f6b"/>
          <w:sz w:val="20"/>
          <w:szCs w:val="20"/>
        </w:rPr>
        <w:t>In this report</w:t>
      </w:r>
    </w:p>
    <w:p w14:paraId="9535F744">
      <w:pPr>
        <w:pStyle w:val="style0"/>
        <w:spacing w:after="60"/>
        <w:rPr/>
      </w:pPr>
      <w:r>
        <w:rPr>
          <w:rFonts w:ascii="Calibri" w:cs="Calibri" w:eastAsia="Calibri" w:hAnsi="Calibri"/>
          <w:b w:val="false"/>
          <w:bCs w:val="false"/>
          <w:color w:val="2b2b2b"/>
          <w:sz w:val="21"/>
          <w:szCs w:val="21"/>
        </w:rPr>
        <w:t>Executive Summary</w:t>
      </w:r>
    </w:p>
    <w:p w14:paraId="A59992B8">
      <w:pPr>
        <w:pStyle w:val="style0"/>
        <w:spacing w:after="60"/>
        <w:rPr/>
      </w:pPr>
      <w:r>
        <w:rPr>
          <w:rFonts w:ascii="Calibri" w:cs="Calibri" w:eastAsia="Calibri" w:hAnsi="Calibri"/>
          <w:b w:val="false"/>
          <w:bCs w:val="false"/>
          <w:color w:val="2b2b2b"/>
          <w:sz w:val="21"/>
          <w:szCs w:val="21"/>
        </w:rPr>
        <w:t>1.  Positioning &amp; Market Rationale</w:t>
      </w:r>
    </w:p>
    <w:p w14:paraId="D95971C9">
      <w:pPr>
        <w:pStyle w:val="style0"/>
        <w:spacing w:after="60"/>
        <w:rPr/>
      </w:pPr>
      <w:r>
        <w:rPr>
          <w:rFonts w:ascii="Calibri" w:cs="Calibri" w:eastAsia="Calibri" w:hAnsi="Calibri"/>
          <w:b w:val="false"/>
          <w:bCs w:val="false"/>
          <w:color w:val="2b2b2b"/>
          <w:sz w:val="21"/>
          <w:szCs w:val="21"/>
        </w:rPr>
        <w:t>2.  Scope</w:t>
      </w:r>
    </w:p>
    <w:p w14:paraId="5678F674">
      <w:pPr>
        <w:pStyle w:val="style0"/>
        <w:spacing w:after="60"/>
        <w:rPr/>
      </w:pPr>
      <w:r>
        <w:rPr>
          <w:rFonts w:ascii="Calibri" w:cs="Calibri" w:eastAsia="Calibri" w:hAnsi="Calibri"/>
          <w:b w:val="false"/>
          <w:bCs w:val="false"/>
          <w:color w:val="2b2b2b"/>
          <w:sz w:val="21"/>
          <w:szCs w:val="21"/>
        </w:rPr>
        <w:t>3.  System Architecture</w:t>
      </w:r>
    </w:p>
    <w:p w14:paraId="365DD2EF">
      <w:pPr>
        <w:pStyle w:val="style0"/>
        <w:spacing w:after="60"/>
        <w:rPr/>
      </w:pPr>
      <w:r>
        <w:rPr>
          <w:rFonts w:ascii="Calibri" w:cs="Calibri" w:eastAsia="Calibri" w:hAnsi="Calibri"/>
          <w:b w:val="false"/>
          <w:bCs w:val="false"/>
          <w:color w:val="2b2b2b"/>
          <w:sz w:val="21"/>
          <w:szCs w:val="21"/>
        </w:rPr>
        <w:t>4.  Pillar-Specific Design</w:t>
      </w:r>
    </w:p>
    <w:p w14:paraId="399187FD">
      <w:pPr>
        <w:pStyle w:val="style0"/>
        <w:spacing w:after="60"/>
        <w:rPr/>
      </w:pPr>
      <w:r>
        <w:rPr>
          <w:rFonts w:ascii="Calibri" w:cs="Calibri" w:eastAsia="Calibri" w:hAnsi="Calibri"/>
          <w:b w:val="false"/>
          <w:bCs w:val="false"/>
          <w:color w:val="2b2b2b"/>
          <w:sz w:val="21"/>
          <w:szCs w:val="21"/>
        </w:rPr>
        <w:t>5.  Platform Strategy</w:t>
      </w:r>
    </w:p>
    <w:p w14:paraId="A4BD1E8B">
      <w:pPr>
        <w:pStyle w:val="style0"/>
        <w:spacing w:after="60"/>
        <w:rPr/>
      </w:pPr>
      <w:r>
        <w:rPr>
          <w:rFonts w:ascii="Calibri" w:cs="Calibri" w:eastAsia="Calibri" w:hAnsi="Calibri"/>
          <w:b w:val="false"/>
          <w:bCs w:val="false"/>
          <w:color w:val="2b2b2b"/>
          <w:sz w:val="21"/>
          <w:szCs w:val="21"/>
        </w:rPr>
        <w:t>6.  Trust, Legal &amp; Security Framework</w:t>
      </w:r>
    </w:p>
    <w:p w14:paraId="48E3CF63">
      <w:pPr>
        <w:pStyle w:val="style0"/>
        <w:spacing w:after="60"/>
        <w:rPr/>
      </w:pPr>
      <w:r>
        <w:rPr>
          <w:rFonts w:ascii="Calibri" w:cs="Calibri" w:eastAsia="Calibri" w:hAnsi="Calibri"/>
          <w:b w:val="false"/>
          <w:bCs w:val="false"/>
          <w:color w:val="2b2b2b"/>
          <w:sz w:val="21"/>
          <w:szCs w:val="21"/>
        </w:rPr>
        <w:t>7.  Payment Model</w:t>
      </w:r>
    </w:p>
    <w:p w14:paraId="06031712">
      <w:pPr>
        <w:pStyle w:val="style0"/>
        <w:spacing w:after="60"/>
        <w:rPr/>
      </w:pPr>
      <w:r>
        <w:rPr>
          <w:rFonts w:ascii="Calibri" w:cs="Calibri" w:eastAsia="Calibri" w:hAnsi="Calibri"/>
          <w:b w:val="false"/>
          <w:bCs w:val="false"/>
          <w:color w:val="2b2b2b"/>
          <w:sz w:val="21"/>
          <w:szCs w:val="21"/>
        </w:rPr>
        <w:t>8.  Case Operations</w:t>
      </w:r>
    </w:p>
    <w:p w14:paraId="19D8033C">
      <w:pPr>
        <w:pStyle w:val="style0"/>
        <w:spacing w:after="60"/>
        <w:rPr/>
      </w:pPr>
      <w:r>
        <w:rPr>
          <w:rFonts w:ascii="Calibri" w:cs="Calibri" w:eastAsia="Calibri" w:hAnsi="Calibri"/>
          <w:b w:val="false"/>
          <w:bCs w:val="false"/>
          <w:color w:val="2b2b2b"/>
          <w:sz w:val="21"/>
          <w:szCs w:val="21"/>
        </w:rPr>
        <w:t>9.  Conclusions &amp; Open Decisions</w:t>
      </w:r>
    </w:p>
    <w:p w14:paraId="836613BD">
      <w:pPr>
        <w:pStyle w:val="style0"/>
        <w:spacing w:after="60"/>
        <w:rPr/>
      </w:pPr>
      <w:r>
        <w:rPr>
          <w:rFonts w:ascii="Calibri" w:cs="Calibri" w:eastAsia="Calibri" w:hAnsi="Calibri"/>
          <w:b w:val="false"/>
          <w:bCs w:val="false"/>
          <w:color w:val="2b2b2b"/>
          <w:sz w:val="21"/>
          <w:szCs w:val="21"/>
        </w:rPr>
        <w:t>Sources Consulted</w:t>
      </w:r>
    </w:p>
    <w:p w14:paraId="EF175420">
      <w:pPr>
        <w:pStyle w:val="style0"/>
        <w:spacing w:after="80"/>
        <w:rPr/>
      </w:pPr>
    </w:p>
    <w:p w14:paraId="3B15C224">
      <w:pPr>
        <w:pStyle w:val="style4097"/>
        <w:keepNext/>
        <w:pBdr>
          <w:bottom w:val="single" w:sz="6" w:space="4" w:color="1f6f6b"/>
        </w:pBdr>
        <w:spacing w:before="60" w:after="140"/>
        <w:rPr/>
      </w:pPr>
      <w:r>
        <w:rPr>
          <w:rFonts w:ascii="Calibri" w:cs="Calibri" w:eastAsia="Calibri" w:hAnsi="Calibri"/>
          <w:b/>
          <w:bCs/>
          <w:color w:val="1b2a4a"/>
          <w:sz w:val="27"/>
          <w:szCs w:val="27"/>
        </w:rPr>
        <w:t>Executive Summary</w:t>
      </w:r>
    </w:p>
    <w:p w14:paraId="0B66A3D3">
      <w:pPr>
        <w:pStyle w:val="style0"/>
        <w:spacing w:after="120"/>
        <w:rPr/>
      </w:pPr>
      <w:r>
        <w:rPr>
          <w:rFonts w:ascii="Calibri" w:cs="Calibri" w:eastAsia="Calibri" w:hAnsi="Calibri"/>
          <w:b w:val="false"/>
          <w:bCs w:val="false"/>
          <w:i w:val="false"/>
          <w:iCs w:val="false"/>
          <w:color w:val="2b2b2b"/>
          <w:sz w:val="21"/>
          <w:szCs w:val="21"/>
        </w:rPr>
        <w:t>Digital Dhaal is a Bangla-first cyber incident response service built for people who are non-technical, underserved by existing channels, and can't afford enterprise-grade security. Rather than competing on infrastructure spend, it positions itself as the trusted, verified front door to protection infrastructure that already exists and costs nothing to use — global hash-matching networks, platforms' own official reporting channels — wrapped around a human engineer's judgment and a bKash-native trust loop.</w:t>
      </w:r>
    </w:p>
    <w:p w14:paraId="AE6ADC25">
      <w:pPr>
        <w:pStyle w:val="style0"/>
        <w:spacing w:after="60"/>
        <w:rPr/>
      </w:pPr>
      <w:r>
        <w:rPr>
          <w:rFonts w:ascii="Calibri" w:cs="Calibri" w:eastAsia="Calibri" w:hAnsi="Calibri"/>
          <w:b w:val="false"/>
          <w:bCs w:val="false"/>
          <w:i w:val="false"/>
          <w:iCs w:val="false"/>
          <w:color w:val="2b2b2b"/>
          <w:sz w:val="21"/>
          <w:szCs w:val="21"/>
        </w:rPr>
        <w:t>The scope is deliberately narrow: three problems, chosen for how common and how poorly served they currently are — account takeover, non-consensual intimate imagery and deepfakes, and impersonation. This report documents the architecture, trust framework, and operating model agreed for all three.</w:t>
      </w:r>
    </w:p>
    <w:p w14:paraId="E5007769">
      <w:pPr>
        <w:pStyle w:val="style4097"/>
        <w:keepNext/>
        <w:pBdr>
          <w:bottom w:val="single" w:sz="6" w:space="4" w:color="b9791a"/>
        </w:pBdr>
        <w:spacing w:before="420" w:after="140"/>
        <w:rPr/>
      </w:pPr>
      <w:r>
        <w:rPr>
          <w:rFonts w:ascii="Calibri" w:cs="Calibri" w:eastAsia="Calibri" w:hAnsi="Calibri"/>
          <w:b/>
          <w:bCs/>
          <w:color w:val="1b2a4a"/>
          <w:sz w:val="27"/>
          <w:szCs w:val="27"/>
        </w:rPr>
        <w:t>1.  Positioning &amp; Market Rationale</w:t>
      </w:r>
    </w:p>
    <w:p w14:paraId="8D255BF6">
      <w:pPr>
        <w:pStyle w:val="style4098"/>
        <w:keepNext/>
        <w:spacing w:before="200" w:after="80"/>
        <w:rPr/>
      </w:pPr>
      <w:r>
        <w:rPr>
          <w:rFonts w:ascii="Calibri" w:cs="Calibri" w:eastAsia="Calibri" w:hAnsi="Calibri"/>
          <w:b/>
          <w:bCs/>
          <w:color w:val="1f6f6b"/>
          <w:sz w:val="22"/>
          <w:szCs w:val="22"/>
        </w:rPr>
        <w:t>Why the moat isn't infrastructure</w:t>
      </w:r>
    </w:p>
    <w:p w14:paraId="BA23EB89">
      <w:pPr>
        <w:pStyle w:val="style0"/>
        <w:spacing w:after="120"/>
        <w:rPr/>
      </w:pPr>
      <w:r>
        <w:rPr>
          <w:rFonts w:ascii="Calibri" w:cs="Calibri" w:eastAsia="Calibri" w:hAnsi="Calibri"/>
          <w:b w:val="false"/>
          <w:bCs w:val="false"/>
          <w:i w:val="false"/>
          <w:iCs w:val="false"/>
          <w:color w:val="2b2b2b"/>
          <w:sz w:val="21"/>
          <w:szCs w:val="21"/>
        </w:rPr>
        <w:t>A ৳20,00,000 enterprise-grade system was never the plan, and was never necessary. With a starting budget of roughly ৳20,000, the strategy is to spend nothing rebuilding infrastructure that already exists for free, and spend everything on the parts that are actually defensible:</w:t>
      </w:r>
    </w:p>
    <w:p w14:paraId="C9042383">
      <w:pPr>
        <w:pStyle w:val="style179"/>
        <w:numPr>
          <w:ilvl w:val="0"/>
          <w:numId w:val="1"/>
        </w:numPr>
        <w:spacing w:after="60"/>
        <w:rPr/>
      </w:pPr>
      <w:r>
        <w:rPr>
          <w:rFonts w:ascii="Calibri" w:cs="Calibri" w:eastAsia="Calibri" w:hAnsi="Calibri"/>
          <w:b/>
          <w:bCs/>
          <w:color w:val="1b2a4a"/>
          <w:sz w:val="21"/>
          <w:szCs w:val="21"/>
        </w:rPr>
        <w:t>Verified local identity rails —</w:t>
      </w:r>
      <w:r>
        <w:rPr>
          <w:rFonts w:ascii="Calibri" w:cs="Calibri" w:eastAsia="Calibri" w:hAnsi="Calibri"/>
          <w:color w:val="2b2b2b"/>
          <w:sz w:val="21"/>
          <w:szCs w:val="21"/>
        </w:rPr>
        <w:t xml:space="preserve"> NID plus bKash Porichoy verification, which no foreign or generic service can replicate, and which anchors both fraud prevention and payment trust.</w:t>
      </w:r>
    </w:p>
    <w:p w14:paraId="6350B380">
      <w:pPr>
        <w:pStyle w:val="style179"/>
        <w:numPr>
          <w:ilvl w:val="0"/>
          <w:numId w:val="1"/>
        </w:numPr>
        <w:spacing w:after="60"/>
        <w:rPr/>
      </w:pPr>
      <w:r>
        <w:rPr>
          <w:rFonts w:ascii="Calibri" w:cs="Calibri" w:eastAsia="Calibri" w:hAnsi="Calibri"/>
          <w:b/>
          <w:bCs/>
          <w:color w:val="1b2a4a"/>
          <w:sz w:val="21"/>
          <w:szCs w:val="21"/>
        </w:rPr>
        <w:t>Hybrid triage —</w:t>
      </w:r>
      <w:r>
        <w:rPr>
          <w:rFonts w:ascii="Calibri" w:cs="Calibri" w:eastAsia="Calibri" w:hAnsi="Calibri"/>
          <w:color w:val="2b2b2b"/>
          <w:sz w:val="21"/>
          <w:szCs w:val="21"/>
        </w:rPr>
        <w:t xml:space="preserve"> an AI agent handles structuring and classification at near-zero marginal cost; a human engineer handles judgment. This beats a pure chatbot (cold, generic, fails non-technical users) and a pure human helpdesk (expensive, slow, doesn't scale) at the same time.</w:t>
      </w:r>
    </w:p>
    <w:p w14:paraId="1C6ABFA0">
      <w:pPr>
        <w:pStyle w:val="style179"/>
        <w:numPr>
          <w:ilvl w:val="0"/>
          <w:numId w:val="1"/>
        </w:numPr>
        <w:spacing w:after="60"/>
        <w:rPr/>
      </w:pPr>
      <w:r>
        <w:rPr>
          <w:rFonts w:ascii="Calibri" w:cs="Calibri" w:eastAsia="Calibri" w:hAnsi="Calibri"/>
          <w:b/>
          <w:bCs/>
          <w:color w:val="1b2a4a"/>
          <w:sz w:val="21"/>
          <w:szCs w:val="21"/>
        </w:rPr>
        <w:t>Radical narrowness —</w:t>
      </w:r>
      <w:r>
        <w:rPr>
          <w:rFonts w:ascii="Calibri" w:cs="Calibri" w:eastAsia="Calibri" w:hAnsi="Calibri"/>
          <w:color w:val="2b2b2b"/>
          <w:sz w:val="21"/>
          <w:szCs w:val="21"/>
        </w:rPr>
        <w:t xml:space="preserve"> three problems, solved properly, instead of a platform trying to do everything shallowly.</w:t>
      </w:r>
    </w:p>
    <w:p w14:paraId="52ED2332">
      <w:pPr>
        <w:pStyle w:val="style0"/>
        <w:spacing w:after="60"/>
        <w:rPr/>
      </w:pPr>
      <w:r>
        <w:rPr>
          <w:rFonts w:ascii="Calibri" w:cs="Calibri" w:eastAsia="Calibri" w:hAnsi="Calibri"/>
          <w:b w:val="false"/>
          <w:bCs w:val="false"/>
          <w:i w:val="false"/>
          <w:iCs w:val="false"/>
          <w:color w:val="2b2b2b"/>
          <w:sz w:val="21"/>
          <w:szCs w:val="21"/>
        </w:rPr>
        <w:t>The “top-notch” capability every serious player in this space relies on — hash-matching detection, official platform reporting channels — is free, public infrastructure. Digital Dhaal's job is not to rebuild it. It's to be the trusted, Bangla-speaking, verified layer that knows how to use it correctly, which almost no one currently offers the average user in Bangladesh.</w:t>
      </w:r>
    </w:p>
    <w:p w14:paraId="F37C6568">
      <w:pPr>
        <w:pStyle w:val="style4098"/>
        <w:keepNext/>
        <w:spacing w:before="200" w:after="80"/>
        <w:rPr/>
      </w:pPr>
      <w:r>
        <w:rPr>
          <w:rFonts w:ascii="Calibri" w:cs="Calibri" w:eastAsia="Calibri" w:hAnsi="Calibri"/>
          <w:b/>
          <w:bCs/>
          <w:color w:val="1f6f6b"/>
          <w:sz w:val="22"/>
          <w:szCs w:val="22"/>
        </w:rPr>
        <w:t>What already exists</w:t>
      </w:r>
    </w:p>
    <w:p w14:paraId="48A8DAFC">
      <w:pPr>
        <w:pStyle w:val="style0"/>
        <w:spacing w:after="120"/>
        <w:rPr/>
      </w:pPr>
      <w:r>
        <w:rPr>
          <w:rFonts w:ascii="Calibri" w:cs="Calibri" w:eastAsia="Calibri" w:hAnsi="Calibri"/>
          <w:b w:val="false"/>
          <w:bCs w:val="false"/>
          <w:i w:val="false"/>
          <w:iCs w:val="false"/>
          <w:color w:val="2b2b2b"/>
          <w:sz w:val="21"/>
          <w:szCs w:val="21"/>
        </w:rPr>
        <w:t>Bangladesh's national CIRT (BGD e-GOV CIRT) protects government networks and the National Data Centre — its mandate does not extend to helping an individual recover a personal Facebook account. Dhaka's Cyber Crime unit (CTTC) runs a citizen-facing hotline, email, and the “Hello CT” app, but formally registering a complaint means an in-person police station visit, a written application with attached documents, and an investigation-paced timeline — built for prosecution, not same-day remediation.</w:t>
      </w:r>
    </w:p>
    <w:p w14:paraId="3000B0AC">
      <w:pPr>
        <w:pStyle w:val="style0"/>
        <w:spacing w:after="120"/>
        <w:rPr/>
      </w:pPr>
      <w:r>
        <w:rPr>
          <w:rFonts w:ascii="Calibri" w:cs="Calibri" w:eastAsia="Calibri" w:hAnsi="Calibri"/>
          <w:b w:val="false"/>
          <w:bCs w:val="false"/>
          <w:i w:val="false"/>
          <w:iCs w:val="false"/>
          <w:color w:val="2b2b2b"/>
          <w:sz w:val="21"/>
          <w:szCs w:val="21"/>
        </w:rPr>
        <w:t>Globally, StopNCII.org (operated by the UK's Revenge Porn Helpline / SWGfL, in partnership with Meta) provides free, on-device hash matching for adults' intimate images, including deepfakes, across a defined list of partner platforms — but it does not cover encrypted messaging, and cases involving minors are routed to NCMEC's separate Take It Down tool.</w:t>
      </w:r>
    </w:p>
    <w:p w14:paraId="F9C8C2BD">
      <w:pPr>
        <w:pStyle w:val="style0"/>
        <w:spacing w:after="60"/>
        <w:rPr/>
      </w:pPr>
      <w:r>
        <w:rPr>
          <w:rFonts w:ascii="Calibri" w:cs="Calibri" w:eastAsia="Calibri" w:hAnsi="Calibri"/>
          <w:b w:val="false"/>
          <w:bCs w:val="false"/>
          <w:i w:val="false"/>
          <w:iCs w:val="false"/>
          <w:color w:val="2b2b2b"/>
          <w:sz w:val="21"/>
          <w:szCs w:val="21"/>
        </w:rPr>
        <w:t>The closest regional comparison is India: a fast government hotline for financial fraud (1930), a static-form national complaint portal (NCRP), and an NGO helpline (CyberPeace Foundation) that has assisted roughly 35,000 victims through counseling and awareness — but none of these personally executes the fix on a user's behalf.</w:t>
      </w:r>
    </w:p>
    <w:p w14:paraId="CD46B8F1">
      <w:pPr>
        <w:pStyle w:val="style4098"/>
        <w:keepNext/>
        <w:spacing w:before="200" w:after="80"/>
        <w:rPr/>
      </w:pPr>
      <w:r>
        <w:rPr>
          <w:rFonts w:ascii="Calibri" w:cs="Calibri" w:eastAsia="Calibri" w:hAnsi="Calibri"/>
          <w:b/>
          <w:bCs/>
          <w:color w:val="1f6f6b"/>
          <w:sz w:val="22"/>
          <w:szCs w:val="22"/>
        </w:rPr>
        <w:t>The gap</w:t>
      </w:r>
    </w:p>
    <w:p w14:paraId="5CB489F8">
      <w:pPr>
        <w:pStyle w:val="style0"/>
        <w:spacing w:after="120"/>
        <w:rPr/>
      </w:pPr>
      <w:r>
        <w:rPr>
          <w:rFonts w:ascii="Calibri" w:cs="Calibri" w:eastAsia="Calibri" w:hAnsi="Calibri"/>
          <w:b w:val="false"/>
          <w:bCs w:val="false"/>
          <w:i w:val="false"/>
          <w:iCs w:val="false"/>
          <w:color w:val="2b2b2b"/>
          <w:sz w:val="21"/>
          <w:szCs w:val="21"/>
        </w:rPr>
        <w:t>Nobody in Bangladesh, or in the closest comparable regional market, currently offers a paid, hands-on, human-executed remediation service — in Bangla, verified, fast, and priced for people who don't have ৳20,00,000 problems to spend ৳20,00,000 solving. That is the seat Digital Dhaal fills.</w:t>
      </w:r>
    </w:p>
    <w:p w14:paraId="58EAF789">
      <w:pPr>
        <w:pStyle w:val="style4097"/>
        <w:keepNext/>
        <w:pBdr>
          <w:bottom w:val="single" w:sz="6" w:space="4" w:color="b9791a"/>
        </w:pBdr>
        <w:spacing w:before="420" w:after="140"/>
        <w:rPr/>
      </w:pPr>
      <w:r>
        <w:rPr>
          <w:rFonts w:ascii="Calibri" w:cs="Calibri" w:eastAsia="Calibri" w:hAnsi="Calibri"/>
          <w:b/>
          <w:bCs/>
          <w:color w:val="1b2a4a"/>
          <w:sz w:val="27"/>
          <w:szCs w:val="27"/>
        </w:rPr>
        <w:t>2.  Scope</w:t>
      </w:r>
    </w:p>
    <w:p w14:paraId="1BED8CA0">
      <w:pPr>
        <w:pStyle w:val="style4098"/>
        <w:keepNext/>
        <w:spacing w:before="200" w:after="80"/>
        <w:rPr/>
      </w:pPr>
      <w:r>
        <w:rPr>
          <w:rFonts w:ascii="Calibri" w:cs="Calibri" w:eastAsia="Calibri" w:hAnsi="Calibri"/>
          <w:b/>
          <w:bCs/>
          <w:color w:val="1f6f6b"/>
          <w:sz w:val="22"/>
          <w:szCs w:val="22"/>
        </w:rPr>
        <w:t>In scope — three pillars</w:t>
      </w:r>
    </w:p>
    <w:p w14:paraId="7C937DDA">
      <w:pPr>
        <w:pStyle w:val="style179"/>
        <w:numPr>
          <w:ilvl w:val="0"/>
          <w:numId w:val="1"/>
        </w:numPr>
        <w:spacing w:after="60"/>
        <w:rPr/>
      </w:pPr>
      <w:r>
        <w:rPr>
          <w:rFonts w:ascii="Calibri" w:cs="Calibri" w:eastAsia="Calibri" w:hAnsi="Calibri"/>
          <w:b/>
          <w:bCs/>
          <w:color w:val="1b2a4a"/>
          <w:sz w:val="21"/>
          <w:szCs w:val="21"/>
        </w:rPr>
        <w:t>Pillar A — Account takeover:</w:t>
      </w:r>
      <w:r>
        <w:rPr>
          <w:rFonts w:ascii="Calibri" w:cs="Calibri" w:eastAsia="Calibri" w:hAnsi="Calibri"/>
          <w:color w:val="2b2b2b"/>
          <w:sz w:val="21"/>
          <w:szCs w:val="21"/>
        </w:rPr>
        <w:t xml:space="preserve"> recovering hijacked Facebook, Instagram, Snapchat, and Gmail accounts, including recurring cases.</w:t>
      </w:r>
    </w:p>
    <w:p w14:paraId="0119D015">
      <w:pPr>
        <w:pStyle w:val="style179"/>
        <w:numPr>
          <w:ilvl w:val="0"/>
          <w:numId w:val="1"/>
        </w:numPr>
        <w:spacing w:after="60"/>
        <w:rPr/>
      </w:pPr>
      <w:r>
        <w:rPr>
          <w:rFonts w:ascii="Calibri" w:cs="Calibri" w:eastAsia="Calibri" w:hAnsi="Calibri"/>
          <w:b/>
          <w:bCs/>
          <w:color w:val="1b2a4a"/>
          <w:sz w:val="21"/>
          <w:szCs w:val="21"/>
        </w:rPr>
        <w:t>Pillar B — NCII / deepfakes:</w:t>
      </w:r>
      <w:r>
        <w:rPr>
          <w:rFonts w:ascii="Calibri" w:cs="Calibri" w:eastAsia="Calibri" w:hAnsi="Calibri"/>
          <w:color w:val="2b2b2b"/>
          <w:sz w:val="21"/>
          <w:szCs w:val="21"/>
        </w:rPr>
        <w:t xml:space="preserve"> hash-based prevention and takedown support for non-consensual intimate imagery, real or synthetic.</w:t>
      </w:r>
    </w:p>
    <w:p w14:paraId="786341AC">
      <w:pPr>
        <w:pStyle w:val="style179"/>
        <w:numPr>
          <w:ilvl w:val="0"/>
          <w:numId w:val="1"/>
        </w:numPr>
        <w:spacing w:after="60"/>
        <w:rPr/>
      </w:pPr>
      <w:r>
        <w:rPr>
          <w:rFonts w:ascii="Calibri" w:cs="Calibri" w:eastAsia="Calibri" w:hAnsi="Calibri"/>
          <w:b/>
          <w:bCs/>
          <w:color w:val="1b2a4a"/>
          <w:sz w:val="21"/>
          <w:szCs w:val="21"/>
        </w:rPr>
        <w:t>Pillar C — Impersonation:</w:t>
      </w:r>
      <w:r>
        <w:rPr>
          <w:rFonts w:ascii="Calibri" w:cs="Calibri" w:eastAsia="Calibri" w:hAnsi="Calibri"/>
          <w:color w:val="2b2b2b"/>
          <w:sz w:val="21"/>
          <w:szCs w:val="21"/>
        </w:rPr>
        <w:t xml:space="preserve"> getting fake accounts impersonating a real person reported and removed through official channels.</w:t>
      </w:r>
    </w:p>
    <w:p w14:paraId="2A703032">
      <w:pPr>
        <w:pStyle w:val="style4098"/>
        <w:keepNext/>
        <w:spacing w:before="200" w:after="80"/>
        <w:rPr/>
      </w:pPr>
      <w:r>
        <w:rPr>
          <w:rFonts w:ascii="Calibri" w:cs="Calibri" w:eastAsia="Calibri" w:hAnsi="Calibri"/>
          <w:b/>
          <w:bCs/>
          <w:color w:val="1f6f6b"/>
          <w:sz w:val="22"/>
          <w:szCs w:val="22"/>
        </w:rPr>
        <w:t>Deliberately out of scope, for now</w:t>
      </w:r>
    </w:p>
    <w:p w14:paraId="58B89388">
      <w:pPr>
        <w:pStyle w:val="style0"/>
        <w:spacing w:after="120"/>
        <w:rPr/>
      </w:pPr>
      <w:r>
        <w:rPr>
          <w:rFonts w:ascii="Calibri" w:cs="Calibri" w:eastAsia="Calibri" w:hAnsi="Calibri"/>
          <w:b w:val="false"/>
          <w:bCs w:val="false"/>
          <w:i w:val="false"/>
          <w:iCs w:val="false"/>
          <w:color w:val="2b2b2b"/>
          <w:sz w:val="21"/>
          <w:szCs w:val="21"/>
        </w:rPr>
        <w:t>Voice interfaces are excluded by design. They add real complexity — Bangla dialect recognition, latency, privacy handling of voice data — for a use case a well-designed text chat already serves. Revisit only once the three pillars are working reliably, not before.</w:t>
      </w:r>
    </w:p>
    <w:p w14:paraId="6120EF4C">
      <w:pPr>
        <w:pStyle w:val="style4097"/>
        <w:keepNext/>
        <w:pBdr>
          <w:bottom w:val="single" w:sz="6" w:space="4" w:color="b9791a"/>
        </w:pBdr>
        <w:spacing w:before="420" w:after="140"/>
        <w:rPr/>
      </w:pPr>
      <w:r>
        <w:rPr>
          <w:rFonts w:ascii="Calibri" w:cs="Calibri" w:eastAsia="Calibri" w:hAnsi="Calibri"/>
          <w:b/>
          <w:bCs/>
          <w:color w:val="1b2a4a"/>
          <w:sz w:val="27"/>
          <w:szCs w:val="27"/>
        </w:rPr>
        <w:t>3.  System Architecture</w:t>
      </w:r>
    </w:p>
    <w:p w14:paraId="7136E0AA">
      <w:pPr>
        <w:pStyle w:val="style4098"/>
        <w:keepNext/>
        <w:spacing w:before="200" w:after="80"/>
        <w:rPr/>
      </w:pPr>
      <w:r>
        <w:rPr>
          <w:rFonts w:ascii="Calibri" w:cs="Calibri" w:eastAsia="Calibri" w:hAnsi="Calibri"/>
          <w:b/>
          <w:bCs/>
          <w:color w:val="1f6f6b"/>
          <w:sz w:val="22"/>
          <w:szCs w:val="22"/>
        </w:rPr>
        <w:t>The five gates</w:t>
      </w:r>
    </w:p>
    <w:p w14:paraId="60F28128">
      <w:pPr>
        <w:pStyle w:val="style0"/>
        <w:spacing w:after="120"/>
        <w:rPr/>
      </w:pPr>
      <w:r>
        <w:rPr>
          <w:rFonts w:ascii="Calibri" w:cs="Calibri" w:eastAsia="Calibri" w:hAnsi="Calibri"/>
          <w:b w:val="false"/>
          <w:bCs w:val="false"/>
          <w:i w:val="false"/>
          <w:iCs w:val="false"/>
          <w:color w:val="2b2b2b"/>
          <w:sz w:val="21"/>
          <w:szCs w:val="21"/>
        </w:rPr>
        <w:t>Every case, regardless of pillar, passes through the same five stages:</w:t>
      </w:r>
    </w:p>
    <w:tbl>
      <w:tblPr>
        <w:tblW w:w="9746" w:type="dxa"/>
        <w:tblBorders>
          <w:top w:val="single" w:sz="4" w:space="0" w:color="e9ecf2"/>
          <w:left w:val="single" w:sz="4" w:space="0" w:color="e9ecf2"/>
          <w:bottom w:val="single" w:sz="4" w:space="0" w:color="e9ecf2"/>
          <w:right w:val="single" w:sz="4" w:space="0" w:color="e9ecf2"/>
          <w:insideH w:val="single" w:sz="4" w:space="0" w:color="e9ecf2"/>
          <w:insideV w:val="single" w:sz="4" w:space="0" w:color="e9ecf2"/>
        </w:tblBorders>
      </w:tblPr>
      <w:tblGrid>
        <w:gridCol w:w="2400"/>
        <w:gridCol w:w="7346"/>
      </w:tblGrid>
      <w:tr w14:paraId="329DB192">
        <w:trPr>
          <w:tblHeader/>
        </w:trPr>
        <w:tc>
          <w:tcPr>
            <w:tcW w:w="0" w:type="auto"/>
            <w:tcBorders/>
            <w:shd w:val="clear" w:color="auto" w:fill="1f6f6b"/>
            <w:tcMar>
              <w:top w:w="100" w:type="dxa"/>
              <w:left w:w="140" w:type="dxa"/>
              <w:bottom w:w="100" w:type="dxa"/>
              <w:right w:w="140" w:type="dxa"/>
            </w:tcMar>
            <w:vAlign w:val="center"/>
          </w:tcPr>
          <w:p w14:paraId="80815EA0">
            <w:pPr>
              <w:pStyle w:val="style0"/>
              <w:rPr/>
            </w:pPr>
            <w:r>
              <w:rPr>
                <w:rFonts w:ascii="Calibri" w:cs="Calibri" w:eastAsia="Calibri" w:hAnsi="Calibri"/>
                <w:b/>
                <w:bCs/>
                <w:color w:val="ffffff"/>
                <w:sz w:val="19"/>
                <w:szCs w:val="19"/>
              </w:rPr>
              <w:t>Gate</w:t>
            </w:r>
          </w:p>
        </w:tc>
        <w:tc>
          <w:tcPr>
            <w:tcW w:w="0" w:type="auto"/>
            <w:tcBorders/>
            <w:shd w:val="clear" w:color="auto" w:fill="1f6f6b"/>
            <w:tcMar>
              <w:top w:w="100" w:type="dxa"/>
              <w:left w:w="140" w:type="dxa"/>
              <w:bottom w:w="100" w:type="dxa"/>
              <w:right w:w="140" w:type="dxa"/>
            </w:tcMar>
            <w:vAlign w:val="center"/>
          </w:tcPr>
          <w:p w14:paraId="0A47300A">
            <w:pPr>
              <w:pStyle w:val="style0"/>
              <w:rPr/>
            </w:pPr>
            <w:r>
              <w:rPr>
                <w:rFonts w:ascii="Calibri" w:cs="Calibri" w:eastAsia="Calibri" w:hAnsi="Calibri"/>
                <w:b/>
                <w:bCs/>
                <w:color w:val="ffffff"/>
                <w:sz w:val="19"/>
                <w:szCs w:val="19"/>
              </w:rPr>
              <w:t>What happens</w:t>
            </w:r>
          </w:p>
        </w:tc>
      </w:tr>
      <w:tr w14:paraId="1A2DA14F">
        <w:tblPrEx/>
        <w:trPr/>
        <w:tc>
          <w:tcPr>
            <w:tcW w:w="0" w:type="auto"/>
            <w:tcBorders/>
            <w:shd w:val="clear" w:color="auto" w:fill="ffffff"/>
            <w:tcMar>
              <w:top w:w="90" w:type="dxa"/>
              <w:left w:w="140" w:type="dxa"/>
              <w:bottom w:w="90" w:type="dxa"/>
              <w:right w:w="140" w:type="dxa"/>
            </w:tcMar>
            <w:vAlign w:val="center"/>
          </w:tcPr>
          <w:p w14:paraId="8AFAA431">
            <w:pPr>
              <w:pStyle w:val="style0"/>
              <w:rPr/>
            </w:pPr>
            <w:r>
              <w:rPr>
                <w:rFonts w:ascii="Calibri" w:cs="Calibri" w:eastAsia="Calibri" w:hAnsi="Calibri"/>
                <w:b/>
                <w:bCs/>
                <w:color w:val="2b2b2b"/>
                <w:sz w:val="19"/>
                <w:szCs w:val="19"/>
              </w:rPr>
              <w:t>Listen</w:t>
            </w:r>
          </w:p>
        </w:tc>
        <w:tc>
          <w:tcPr>
            <w:tcW w:w="0" w:type="auto"/>
            <w:tcBorders/>
            <w:shd w:val="clear" w:color="auto" w:fill="ffffff"/>
            <w:tcMar>
              <w:top w:w="90" w:type="dxa"/>
              <w:left w:w="140" w:type="dxa"/>
              <w:bottom w:w="90" w:type="dxa"/>
              <w:right w:w="140" w:type="dxa"/>
            </w:tcMar>
            <w:vAlign w:val="center"/>
          </w:tcPr>
          <w:p w14:paraId="B7F29366">
            <w:pPr>
              <w:pStyle w:val="style0"/>
              <w:rPr/>
            </w:pPr>
            <w:r>
              <w:rPr>
                <w:rFonts w:ascii="Calibri" w:cs="Calibri" w:eastAsia="Calibri" w:hAnsi="Calibri"/>
                <w:b w:val="false"/>
                <w:bCs w:val="false"/>
                <w:color w:val="2b2b2b"/>
                <w:sz w:val="19"/>
                <w:szCs w:val="19"/>
              </w:rPr>
              <w:t>The user describes the issue in their own words — no rigid form.</w:t>
            </w:r>
          </w:p>
        </w:tc>
      </w:tr>
      <w:tr w14:paraId="A63AC8C2">
        <w:tblPrEx/>
        <w:trPr/>
        <w:tc>
          <w:tcPr>
            <w:tcW w:w="0" w:type="auto"/>
            <w:tcBorders/>
            <w:shd w:val="clear" w:color="auto" w:fill="ffffff"/>
            <w:tcMar>
              <w:top w:w="90" w:type="dxa"/>
              <w:left w:w="140" w:type="dxa"/>
              <w:bottom w:w="90" w:type="dxa"/>
              <w:right w:w="140" w:type="dxa"/>
            </w:tcMar>
            <w:vAlign w:val="center"/>
          </w:tcPr>
          <w:p w14:paraId="A14B0ECC">
            <w:pPr>
              <w:pStyle w:val="style0"/>
              <w:rPr/>
            </w:pPr>
            <w:r>
              <w:rPr>
                <w:rFonts w:ascii="Calibri" w:cs="Calibri" w:eastAsia="Calibri" w:hAnsi="Calibri"/>
                <w:b/>
                <w:bCs/>
                <w:color w:val="2b2b2b"/>
                <w:sz w:val="19"/>
                <w:szCs w:val="19"/>
              </w:rPr>
              <w:t>Classify</w:t>
            </w:r>
          </w:p>
        </w:tc>
        <w:tc>
          <w:tcPr>
            <w:tcW w:w="0" w:type="auto"/>
            <w:tcBorders/>
            <w:shd w:val="clear" w:color="auto" w:fill="ffffff"/>
            <w:tcMar>
              <w:top w:w="90" w:type="dxa"/>
              <w:left w:w="140" w:type="dxa"/>
              <w:bottom w:w="90" w:type="dxa"/>
              <w:right w:w="140" w:type="dxa"/>
            </w:tcMar>
            <w:vAlign w:val="center"/>
          </w:tcPr>
          <w:p w14:paraId="B938330F">
            <w:pPr>
              <w:pStyle w:val="style0"/>
              <w:rPr/>
            </w:pPr>
            <w:r>
              <w:rPr>
                <w:rFonts w:ascii="Calibri" w:cs="Calibri" w:eastAsia="Calibri" w:hAnsi="Calibri"/>
                <w:b w:val="false"/>
                <w:bCs w:val="false"/>
                <w:color w:val="2b2b2b"/>
                <w:sz w:val="19"/>
                <w:szCs w:val="19"/>
              </w:rPr>
              <w:t>The agent routes the case to the correct pillar, or flags it out of scope.</w:t>
            </w:r>
          </w:p>
        </w:tc>
      </w:tr>
      <w:tr w14:paraId="7C034340">
        <w:tblPrEx/>
        <w:trPr/>
        <w:tc>
          <w:tcPr>
            <w:tcW w:w="0" w:type="auto"/>
            <w:tcBorders/>
            <w:shd w:val="clear" w:color="auto" w:fill="ffffff"/>
            <w:tcMar>
              <w:top w:w="90" w:type="dxa"/>
              <w:left w:w="140" w:type="dxa"/>
              <w:bottom w:w="90" w:type="dxa"/>
              <w:right w:w="140" w:type="dxa"/>
            </w:tcMar>
            <w:vAlign w:val="center"/>
          </w:tcPr>
          <w:p w14:paraId="ABA01DA0">
            <w:pPr>
              <w:pStyle w:val="style0"/>
              <w:rPr/>
            </w:pPr>
            <w:r>
              <w:rPr>
                <w:rFonts w:ascii="Calibri" w:cs="Calibri" w:eastAsia="Calibri" w:hAnsi="Calibri"/>
                <w:b/>
                <w:bCs/>
                <w:color w:val="2b2b2b"/>
                <w:sz w:val="19"/>
                <w:szCs w:val="19"/>
              </w:rPr>
              <w:t>Verify</w:t>
            </w:r>
          </w:p>
        </w:tc>
        <w:tc>
          <w:tcPr>
            <w:tcW w:w="0" w:type="auto"/>
            <w:tcBorders/>
            <w:shd w:val="clear" w:color="auto" w:fill="ffffff"/>
            <w:tcMar>
              <w:top w:w="90" w:type="dxa"/>
              <w:left w:w="140" w:type="dxa"/>
              <w:bottom w:w="90" w:type="dxa"/>
              <w:right w:w="140" w:type="dxa"/>
            </w:tcMar>
            <w:vAlign w:val="center"/>
          </w:tcPr>
          <w:p w14:paraId="29408AC7">
            <w:pPr>
              <w:pStyle w:val="style0"/>
              <w:rPr/>
            </w:pPr>
            <w:r>
              <w:rPr>
                <w:rFonts w:ascii="Calibri" w:cs="Calibri" w:eastAsia="Calibri" w:hAnsi="Calibri"/>
                <w:b w:val="false"/>
                <w:bCs w:val="false"/>
                <w:color w:val="2b2b2b"/>
                <w:sz w:val="19"/>
                <w:szCs w:val="19"/>
              </w:rPr>
              <w:t>NID + bKash Porichoy confirms identity before anything is assigned or costs money.</w:t>
            </w:r>
          </w:p>
        </w:tc>
      </w:tr>
      <w:tr w14:paraId="C12ABFB2">
        <w:tblPrEx/>
        <w:trPr/>
        <w:tc>
          <w:tcPr>
            <w:tcW w:w="0" w:type="auto"/>
            <w:tcBorders/>
            <w:shd w:val="clear" w:color="auto" w:fill="ffffff"/>
            <w:tcMar>
              <w:top w:w="90" w:type="dxa"/>
              <w:left w:w="140" w:type="dxa"/>
              <w:bottom w:w="90" w:type="dxa"/>
              <w:right w:w="140" w:type="dxa"/>
            </w:tcMar>
            <w:vAlign w:val="center"/>
          </w:tcPr>
          <w:p w14:paraId="48983B64">
            <w:pPr>
              <w:pStyle w:val="style0"/>
              <w:rPr/>
            </w:pPr>
            <w:r>
              <w:rPr>
                <w:rFonts w:ascii="Calibri" w:cs="Calibri" w:eastAsia="Calibri" w:hAnsi="Calibri"/>
                <w:b/>
                <w:bCs/>
                <w:color w:val="2b2b2b"/>
                <w:sz w:val="19"/>
                <w:szCs w:val="19"/>
              </w:rPr>
              <w:t>Escalate</w:t>
            </w:r>
          </w:p>
        </w:tc>
        <w:tc>
          <w:tcPr>
            <w:tcW w:w="0" w:type="auto"/>
            <w:tcBorders/>
            <w:shd w:val="clear" w:color="auto" w:fill="ffffff"/>
            <w:tcMar>
              <w:top w:w="90" w:type="dxa"/>
              <w:left w:w="140" w:type="dxa"/>
              <w:bottom w:w="90" w:type="dxa"/>
              <w:right w:w="140" w:type="dxa"/>
            </w:tcMar>
            <w:vAlign w:val="center"/>
          </w:tcPr>
          <w:p w14:paraId="B96C0D28">
            <w:pPr>
              <w:pStyle w:val="style0"/>
              <w:rPr/>
            </w:pPr>
            <w:r>
              <w:rPr>
                <w:rFonts w:ascii="Calibri" w:cs="Calibri" w:eastAsia="Calibri" w:hAnsi="Calibri"/>
                <w:b w:val="false"/>
                <w:bCs w:val="false"/>
                <w:color w:val="2b2b2b"/>
                <w:sz w:val="19"/>
                <w:szCs w:val="19"/>
              </w:rPr>
              <w:t>The completed, structured case file reaches an engineer's queue.</w:t>
            </w:r>
          </w:p>
        </w:tc>
      </w:tr>
      <w:tr w14:paraId="6393177F">
        <w:tblPrEx/>
        <w:trPr/>
        <w:tc>
          <w:tcPr>
            <w:tcW w:w="0" w:type="auto"/>
            <w:tcBorders/>
            <w:shd w:val="clear" w:color="auto" w:fill="ffffff"/>
            <w:tcMar>
              <w:top w:w="90" w:type="dxa"/>
              <w:left w:w="140" w:type="dxa"/>
              <w:bottom w:w="90" w:type="dxa"/>
              <w:right w:w="140" w:type="dxa"/>
            </w:tcMar>
            <w:vAlign w:val="center"/>
          </w:tcPr>
          <w:p w14:paraId="097AB67D">
            <w:pPr>
              <w:pStyle w:val="style0"/>
              <w:rPr/>
            </w:pPr>
            <w:r>
              <w:rPr>
                <w:rFonts w:ascii="Calibri" w:cs="Calibri" w:eastAsia="Calibri" w:hAnsi="Calibri"/>
                <w:b/>
                <w:bCs/>
                <w:color w:val="2b2b2b"/>
                <w:sz w:val="19"/>
                <w:szCs w:val="19"/>
              </w:rPr>
              <w:t>Resolve</w:t>
            </w:r>
          </w:p>
        </w:tc>
        <w:tc>
          <w:tcPr>
            <w:tcW w:w="0" w:type="auto"/>
            <w:tcBorders/>
            <w:shd w:val="clear" w:color="auto" w:fill="ffffff"/>
            <w:tcMar>
              <w:top w:w="90" w:type="dxa"/>
              <w:left w:w="140" w:type="dxa"/>
              <w:bottom w:w="90" w:type="dxa"/>
              <w:right w:w="140" w:type="dxa"/>
            </w:tcMar>
            <w:vAlign w:val="center"/>
          </w:tcPr>
          <w:p w14:paraId="98C16E18">
            <w:pPr>
              <w:pStyle w:val="style0"/>
              <w:rPr/>
            </w:pPr>
            <w:r>
              <w:rPr>
                <w:rFonts w:ascii="Calibri" w:cs="Calibri" w:eastAsia="Calibri" w:hAnsi="Calibri"/>
                <w:b w:val="false"/>
                <w:bCs w:val="false"/>
                <w:color w:val="2b2b2b"/>
                <w:sz w:val="19"/>
                <w:szCs w:val="19"/>
              </w:rPr>
              <w:t>The fix is delivered, payment is confirmed, the case is closed.</w:t>
            </w:r>
          </w:p>
        </w:tc>
      </w:tr>
    </w:tbl>
    <w:p w14:paraId="65C4546E">
      <w:pPr>
        <w:pStyle w:val="style0"/>
        <w:spacing w:after="160"/>
        <w:rPr/>
      </w:pPr>
    </w:p>
    <w:p w14:paraId="03FEAB69">
      <w:pPr>
        <w:pStyle w:val="style4098"/>
        <w:keepNext/>
        <w:spacing w:before="200" w:after="80"/>
        <w:rPr/>
      </w:pPr>
      <w:r>
        <w:rPr>
          <w:rFonts w:ascii="Calibri" w:cs="Calibri" w:eastAsia="Calibri" w:hAnsi="Calibri"/>
          <w:b/>
          <w:bCs/>
          <w:color w:val="1f6f6b"/>
          <w:sz w:val="22"/>
          <w:szCs w:val="22"/>
        </w:rPr>
        <w:t>The intake agent</w:t>
      </w:r>
    </w:p>
    <w:p w14:paraId="2F6178DE">
      <w:pPr>
        <w:pStyle w:val="style0"/>
        <w:spacing w:after="120"/>
        <w:rPr/>
      </w:pPr>
      <w:r>
        <w:rPr>
          <w:rFonts w:ascii="Calibri" w:cs="Calibri" w:eastAsia="Calibri" w:hAnsi="Calibri"/>
          <w:b w:val="false"/>
          <w:bCs w:val="false"/>
          <w:i w:val="false"/>
          <w:iCs w:val="false"/>
          <w:color w:val="2b2b2b"/>
          <w:sz w:val="21"/>
          <w:szCs w:val="21"/>
        </w:rPr>
        <w:t>The hardest engineering problem here is not the hashing or the platform APIs — it's getting a complete, usable case file out of a non-technical user without making them fill out a form. The answer is a slot-filling agent: a defined set of required fields per case type, checked after every message. If a field is missing or ambiguous, the agent asks exactly one targeted follow-up question, then re-checks, continuing until the case file is complete. This is a well-established dialogue-system pattern (frame-based / slot-filling dialogue), and it's what lets the same agent handle a clean, orderly report and a messy, non-linear, incomplete one equally well — which matters, because most real reports from panicked or non-technical users will look like the latter.</w:t>
      </w:r>
    </w:p>
    <w:p w14:paraId="DEC20275">
      <w:pPr>
        <w:pStyle w:val="style4098"/>
        <w:keepNext/>
        <w:spacing w:before="200" w:after="80"/>
        <w:rPr/>
      </w:pPr>
      <w:r>
        <w:rPr>
          <w:rFonts w:ascii="Calibri" w:cs="Calibri" w:eastAsia="Calibri" w:hAnsi="Calibri"/>
          <w:b/>
          <w:bCs/>
          <w:color w:val="1f6f6b"/>
          <w:sz w:val="22"/>
          <w:szCs w:val="22"/>
        </w:rPr>
        <w:t>What the user sees immediately vs. what waits for a human</w:t>
      </w:r>
    </w:p>
    <w:p w14:paraId="B4C00544">
      <w:pPr>
        <w:pStyle w:val="style0"/>
        <w:spacing w:after="120"/>
        <w:rPr/>
      </w:pPr>
      <w:r>
        <w:rPr>
          <w:rFonts w:ascii="Calibri" w:cs="Calibri" w:eastAsia="Calibri" w:hAnsi="Calibri"/>
          <w:b w:val="false"/>
          <w:bCs w:val="false"/>
          <w:i w:val="false"/>
          <w:iCs w:val="false"/>
          <w:color w:val="2b2b2b"/>
          <w:sz w:val="21"/>
          <w:szCs w:val="21"/>
        </w:rPr>
        <w:t>The moment a case file is complete, two things happen in parallel:</w:t>
      </w:r>
    </w:p>
    <w:p w14:paraId="56280BBD">
      <w:pPr>
        <w:pStyle w:val="style179"/>
        <w:numPr>
          <w:ilvl w:val="0"/>
          <w:numId w:val="1"/>
        </w:numPr>
        <w:spacing w:after="60"/>
        <w:rPr/>
      </w:pPr>
      <w:r>
        <w:rPr>
          <w:rFonts w:ascii="Calibri" w:cs="Calibri" w:eastAsia="Calibri" w:hAnsi="Calibri"/>
          <w:b/>
          <w:bCs/>
          <w:color w:val="1b2a4a"/>
          <w:sz w:val="21"/>
          <w:szCs w:val="21"/>
        </w:rPr>
        <w:t>Instant safety tips —</w:t>
      </w:r>
      <w:r>
        <w:rPr>
          <w:rFonts w:ascii="Calibri" w:cs="Calibri" w:eastAsia="Calibri" w:hAnsi="Calibri"/>
          <w:color w:val="2b2b2b"/>
          <w:sz w:val="21"/>
          <w:szCs w:val="21"/>
        </w:rPr>
        <w:t xml:space="preserve"> the user immediately receives generic, non-diagnostic safety steps — change your password now if you still have access, don't click any links, warn close contacts not to send money. These require no human and cost nothing, and they stop damage in the first critical minutes.</w:t>
      </w:r>
    </w:p>
    <w:p w14:paraId="061EB354">
      <w:pPr>
        <w:pStyle w:val="style179"/>
        <w:numPr>
          <w:ilvl w:val="0"/>
          <w:numId w:val="1"/>
        </w:numPr>
        <w:spacing w:after="60"/>
        <w:rPr/>
      </w:pPr>
      <w:r>
        <w:rPr>
          <w:rFonts w:ascii="Calibri" w:cs="Calibri" w:eastAsia="Calibri" w:hAnsi="Calibri"/>
          <w:b/>
          <w:bCs/>
          <w:color w:val="1b2a4a"/>
          <w:sz w:val="21"/>
          <w:szCs w:val="21"/>
        </w:rPr>
        <w:t>Reserved diagnosis —</w:t>
      </w:r>
      <w:r>
        <w:rPr>
          <w:rFonts w:ascii="Calibri" w:cs="Calibri" w:eastAsia="Calibri" w:hAnsi="Calibri"/>
          <w:color w:val="2b2b2b"/>
          <w:sz w:val="21"/>
          <w:szCs w:val="21"/>
        </w:rPr>
        <w:t xml:space="preserve"> the case is held for identity verification, then handed to a human engineer for the specific diagnosis and remediation plan. No case-specific guidance is given directly by the agent — that's reserved for the engineer, for both accuracy and accountability.</w:t>
      </w:r>
    </w:p>
    <w:p w14:paraId="3F4D2424">
      <w:pPr>
        <w:pStyle w:val="style4097"/>
        <w:keepNext/>
        <w:pBdr>
          <w:bottom w:val="single" w:sz="6" w:space="4" w:color="b9791a"/>
        </w:pBdr>
        <w:spacing w:before="420" w:after="140"/>
        <w:rPr/>
      </w:pPr>
      <w:r>
        <w:rPr>
          <w:rFonts w:ascii="Calibri" w:cs="Calibri" w:eastAsia="Calibri" w:hAnsi="Calibri"/>
          <w:b/>
          <w:bCs/>
          <w:color w:val="1b2a4a"/>
          <w:sz w:val="27"/>
          <w:szCs w:val="27"/>
        </w:rPr>
        <w:t>4.  Pillar-Specific Design</w:t>
      </w:r>
    </w:p>
    <w:tbl>
      <w:tblPr>
        <w:tblW w:w="9746" w:type="dxa"/>
        <w:tblBorders>
          <w:top w:val="single" w:sz="8" w:space="0" w:color="1b2a4a"/>
          <w:left w:val="single" w:sz="4" w:space="0" w:color="1b2a4a"/>
          <w:bottom w:val="single" w:sz="4" w:space="0" w:color="1b2a4a"/>
          <w:right w:val="single" w:sz="4" w:space="0" w:color="1b2a4a"/>
          <w:insideH w:val="none" w:sz="0" w:space="0" w:color="ffffff"/>
          <w:insideV w:val="none" w:sz="0" w:space="0" w:color="ffffff"/>
        </w:tblBorders>
      </w:tblPr>
      <w:tblGrid>
        <w:gridCol w:w="9746"/>
      </w:tblGrid>
      <w:tr w14:paraId="9D830622">
        <w:trPr/>
        <w:tc>
          <w:tcPr>
            <w:tcW w:w="9746" w:type="dxa"/>
            <w:tcBorders/>
            <w:shd w:val="clear" w:color="auto" w:fill="e9ecf2"/>
            <w:tcMar>
              <w:top w:w="160" w:type="dxa"/>
              <w:left w:w="220" w:type="dxa"/>
              <w:bottom w:w="160" w:type="dxa"/>
              <w:right w:w="220" w:type="dxa"/>
            </w:tcMar>
          </w:tcPr>
          <w:p w14:paraId="51516161">
            <w:pPr>
              <w:pStyle w:val="style0"/>
              <w:spacing w:after="80"/>
              <w:rPr/>
            </w:pPr>
            <w:r>
              <w:rPr>
                <w:rFonts w:ascii="Calibri" w:cs="Calibri" w:eastAsia="Calibri" w:hAnsi="Calibri"/>
                <w:b/>
                <w:bCs/>
                <w:color w:val="1b2a4a"/>
                <w:sz w:val="23"/>
                <w:szCs w:val="23"/>
              </w:rPr>
              <w:t>Pillar A — Account Takeover</w:t>
            </w:r>
          </w:p>
          <w:p w14:paraId="8B06D77A">
            <w:pPr>
              <w:pStyle w:val="style179"/>
              <w:numPr>
                <w:ilvl w:val="0"/>
                <w:numId w:val="3"/>
              </w:numPr>
              <w:spacing w:after="50"/>
              <w:rPr/>
            </w:pPr>
            <w:r>
              <w:rPr>
                <w:rFonts w:ascii="Calibri" w:cs="Calibri" w:eastAsia="Calibri" w:hAnsi="Calibri"/>
                <w:color w:val="2b2b2b"/>
                <w:sz w:val="20"/>
                <w:szCs w:val="20"/>
              </w:rPr>
              <w:t>Required fields: platform(s) affected, current access status (locked out / partial access / compromised but accessible), timeline, suspected vector, whether contacts were messaged or asked for money, and whether this is a first-time or recurring case.</w:t>
            </w:r>
          </w:p>
          <w:p w14:paraId="5F0ADA86">
            <w:pPr>
              <w:pStyle w:val="style179"/>
              <w:numPr>
                <w:ilvl w:val="0"/>
                <w:numId w:val="3"/>
              </w:numPr>
              <w:spacing w:after="50"/>
              <w:rPr/>
            </w:pPr>
            <w:r>
              <w:rPr>
                <w:rFonts w:ascii="Calibri" w:cs="Calibri" w:eastAsia="Calibri" w:hAnsi="Calibri"/>
                <w:color w:val="2b2b2b"/>
                <w:sz w:val="20"/>
                <w:szCs w:val="20"/>
              </w:rPr>
              <w:t>Recurring cases get root-cause diagnosis — reused password, malware, SIM-swap exposure — rather than a repeat patch.</w:t>
            </w:r>
          </w:p>
          <w:p w14:paraId="E5863C8B">
            <w:pPr>
              <w:pStyle w:val="style179"/>
              <w:numPr>
                <w:ilvl w:val="0"/>
                <w:numId w:val="3"/>
              </w:numPr>
              <w:spacing w:after="50"/>
              <w:rPr/>
            </w:pPr>
            <w:r>
              <w:rPr>
                <w:rFonts w:ascii="Calibri" w:cs="Calibri" w:eastAsia="Calibri" w:hAnsi="Calibri"/>
                <w:color w:val="2b2b2b"/>
                <w:sz w:val="20"/>
                <w:szCs w:val="20"/>
              </w:rPr>
              <w:t>Urgency flag: if money is actively being solicited from the user's contacts, the case jumps the queue.</w:t>
            </w:r>
          </w:p>
        </w:tc>
      </w:tr>
    </w:tbl>
    <w:p w14:paraId="2682B10C">
      <w:pPr>
        <w:pStyle w:val="style0"/>
        <w:spacing w:after="160"/>
        <w:rPr/>
      </w:pPr>
    </w:p>
    <w:tbl>
      <w:tblPr>
        <w:tblW w:w="9746" w:type="dxa"/>
        <w:tblBorders>
          <w:top w:val="single" w:sz="8" w:space="0" w:color="1f6f6b"/>
          <w:left w:val="single" w:sz="4" w:space="0" w:color="1f6f6b"/>
          <w:bottom w:val="single" w:sz="4" w:space="0" w:color="1f6f6b"/>
          <w:right w:val="single" w:sz="4" w:space="0" w:color="1f6f6b"/>
          <w:insideH w:val="none" w:sz="0" w:space="0" w:color="ffffff"/>
          <w:insideV w:val="none" w:sz="0" w:space="0" w:color="ffffff"/>
        </w:tblBorders>
      </w:tblPr>
      <w:tblGrid>
        <w:gridCol w:w="9746"/>
      </w:tblGrid>
      <w:tr w14:paraId="20613CCB">
        <w:trPr/>
        <w:tc>
          <w:tcPr>
            <w:tcW w:w="9746" w:type="dxa"/>
            <w:tcBorders/>
            <w:shd w:val="clear" w:color="auto" w:fill="e1f0ee"/>
            <w:tcMar>
              <w:top w:w="160" w:type="dxa"/>
              <w:left w:w="220" w:type="dxa"/>
              <w:bottom w:w="160" w:type="dxa"/>
              <w:right w:w="220" w:type="dxa"/>
            </w:tcMar>
          </w:tcPr>
          <w:p w14:paraId="3D0651E3">
            <w:pPr>
              <w:pStyle w:val="style0"/>
              <w:spacing w:after="80"/>
              <w:rPr/>
            </w:pPr>
            <w:r>
              <w:rPr>
                <w:rFonts w:ascii="Calibri" w:cs="Calibri" w:eastAsia="Calibri" w:hAnsi="Calibri"/>
                <w:b/>
                <w:bCs/>
                <w:color w:val="1f6f6b"/>
                <w:sz w:val="23"/>
                <w:szCs w:val="23"/>
              </w:rPr>
              <w:t>Pillar B — NCII / Deepfakes</w:t>
            </w:r>
          </w:p>
          <w:p w14:paraId="200158C1">
            <w:pPr>
              <w:pStyle w:val="style179"/>
              <w:numPr>
                <w:ilvl w:val="0"/>
                <w:numId w:val="3"/>
              </w:numPr>
              <w:spacing w:after="50"/>
              <w:rPr/>
            </w:pPr>
            <w:r>
              <w:rPr>
                <w:rFonts w:ascii="Calibri" w:cs="Calibri" w:eastAsia="Calibri" w:hAnsi="Calibri"/>
                <w:color w:val="2b2b2b"/>
                <w:sz w:val="20"/>
                <w:szCs w:val="20"/>
              </w:rPr>
              <w:t>Hashing happens on the user's own device through their own StopNCII submission — Digital Dhaal never touches or stores the image. The engineer's job is to walk the user through doing this correctly, and to handle what StopNCII doesn't cover: encrypted DM threats, non-partner platforms, and follow-up.</w:t>
            </w:r>
          </w:p>
          <w:p w14:paraId="AB5B9ED8">
            <w:pPr>
              <w:pStyle w:val="style179"/>
              <w:numPr>
                <w:ilvl w:val="0"/>
                <w:numId w:val="3"/>
              </w:numPr>
              <w:spacing w:after="50"/>
              <w:rPr/>
            </w:pPr>
            <w:r>
              <w:rPr>
                <w:rFonts w:ascii="Calibri" w:cs="Calibri" w:eastAsia="Calibri" w:hAnsi="Calibri"/>
                <w:color w:val="2b2b2b"/>
                <w:sz w:val="20"/>
                <w:szCs w:val="20"/>
              </w:rPr>
              <w:t>Deepfakes are covered as long as the user has access to the image and is 18 or older.</w:t>
            </w:r>
          </w:p>
          <w:p w14:paraId="4C1933F1">
            <w:pPr>
              <w:pStyle w:val="style179"/>
              <w:numPr>
                <w:ilvl w:val="0"/>
                <w:numId w:val="3"/>
              </w:numPr>
              <w:spacing w:after="50"/>
              <w:rPr/>
            </w:pPr>
            <w:r>
              <w:rPr>
                <w:rFonts w:ascii="Calibri" w:cs="Calibri" w:eastAsia="Calibri" w:hAnsi="Calibri"/>
                <w:color w:val="2b2b2b"/>
                <w:sz w:val="20"/>
                <w:szCs w:val="20"/>
              </w:rPr>
              <w:t>Any case involving a minor is routed immediately to the appropriate child-protection / law-enforcement channel — never processed as a standard paid case.</w:t>
            </w:r>
          </w:p>
          <w:p w14:paraId="BB682680">
            <w:pPr>
              <w:pStyle w:val="style0"/>
              <w:spacing w:before="90"/>
              <w:rPr/>
            </w:pPr>
            <w:r>
              <w:rPr>
                <w:rFonts w:ascii="Calibri" w:cs="Calibri" w:eastAsia="Calibri" w:hAnsi="Calibri"/>
                <w:i/>
                <w:iCs/>
                <w:color w:val="6e6e6e"/>
                <w:sz w:val="19"/>
                <w:szCs w:val="19"/>
              </w:rPr>
              <w:t>Legal grounding: Bangladesh's 2026 cyber security amendment pushes platforms toward faster takedown timelines for harmful AI-generated content, and the new Personal Data Protection Act (2026) gives the “we don't store sensitive data” principle real legal backing.</w:t>
            </w:r>
          </w:p>
        </w:tc>
      </w:tr>
    </w:tbl>
    <w:p w14:paraId="BE7CCB4B">
      <w:pPr>
        <w:pStyle w:val="style0"/>
        <w:spacing w:after="160"/>
        <w:rPr/>
      </w:pPr>
    </w:p>
    <w:tbl>
      <w:tblPr>
        <w:tblW w:w="9746" w:type="dxa"/>
        <w:tblBorders>
          <w:top w:val="single" w:sz="8" w:space="0" w:color="b9791a"/>
          <w:left w:val="single" w:sz="4" w:space="0" w:color="b9791a"/>
          <w:bottom w:val="single" w:sz="4" w:space="0" w:color="b9791a"/>
          <w:right w:val="single" w:sz="4" w:space="0" w:color="b9791a"/>
          <w:insideH w:val="none" w:sz="0" w:space="0" w:color="ffffff"/>
          <w:insideV w:val="none" w:sz="0" w:space="0" w:color="ffffff"/>
        </w:tblBorders>
      </w:tblPr>
      <w:tblGrid>
        <w:gridCol w:w="9746"/>
      </w:tblGrid>
      <w:tr w14:paraId="0B657F12">
        <w:trPr/>
        <w:tc>
          <w:tcPr>
            <w:tcW w:w="9746" w:type="dxa"/>
            <w:tcBorders/>
            <w:shd w:val="clear" w:color="auto" w:fill="fbf0da"/>
            <w:tcMar>
              <w:top w:w="160" w:type="dxa"/>
              <w:left w:w="220" w:type="dxa"/>
              <w:bottom w:w="160" w:type="dxa"/>
              <w:right w:w="220" w:type="dxa"/>
            </w:tcMar>
          </w:tcPr>
          <w:p w14:paraId="076DA1F0">
            <w:pPr>
              <w:pStyle w:val="style0"/>
              <w:spacing w:after="80"/>
              <w:rPr/>
            </w:pPr>
            <w:r>
              <w:rPr>
                <w:rFonts w:ascii="Calibri" w:cs="Calibri" w:eastAsia="Calibri" w:hAnsi="Calibri"/>
                <w:b/>
                <w:bCs/>
                <w:color w:val="b9791a"/>
                <w:sz w:val="23"/>
                <w:szCs w:val="23"/>
              </w:rPr>
              <w:t>Pillar C — Impersonation</w:t>
            </w:r>
          </w:p>
          <w:p w14:paraId="5BAB62D9">
            <w:pPr>
              <w:pStyle w:val="style179"/>
              <w:numPr>
                <w:ilvl w:val="0"/>
                <w:numId w:val="3"/>
              </w:numPr>
              <w:spacing w:after="50"/>
              <w:rPr/>
            </w:pPr>
            <w:r>
              <w:rPr>
                <w:rFonts w:ascii="Calibri" w:cs="Calibri" w:eastAsia="Calibri" w:hAnsi="Calibri"/>
                <w:color w:val="2b2b2b"/>
                <w:sz w:val="20"/>
                <w:szCs w:val="20"/>
              </w:rPr>
              <w:t>Digital Dhaal acts as a concierge, not an enforcer — compiling the evidence package and filing it correctly, the first time, through the platform's own official impersonation-report channel.</w:t>
            </w:r>
          </w:p>
          <w:p w14:paraId="AEA12A72">
            <w:pPr>
              <w:pStyle w:val="style179"/>
              <w:numPr>
                <w:ilvl w:val="0"/>
                <w:numId w:val="3"/>
              </w:numPr>
              <w:spacing w:after="50"/>
              <w:rPr/>
            </w:pPr>
            <w:r>
              <w:rPr>
                <w:rFonts w:ascii="Calibri" w:cs="Calibri" w:eastAsia="Calibri" w:hAnsi="Calibri"/>
                <w:color w:val="2b2b2b"/>
                <w:sz w:val="20"/>
                <w:szCs w:val="20"/>
              </w:rPr>
              <w:t>Identity verification is most critical here: the main failure mode is a false report used to get a rival account taken down.</w:t>
            </w:r>
          </w:p>
          <w:p w14:paraId="EA870392">
            <w:pPr>
              <w:pStyle w:val="style179"/>
              <w:numPr>
                <w:ilvl w:val="0"/>
                <w:numId w:val="3"/>
              </w:numPr>
              <w:spacing w:after="50"/>
              <w:rPr/>
            </w:pPr>
            <w:r>
              <w:rPr>
                <w:rFonts w:ascii="Calibri" w:cs="Calibri" w:eastAsia="Calibri" w:hAnsi="Calibri"/>
                <w:color w:val="2b2b2b"/>
                <w:sz w:val="20"/>
                <w:szCs w:val="20"/>
              </w:rPr>
              <w:t>A per-NID rate limit on filed reports guards against exactly that.</w:t>
            </w:r>
          </w:p>
        </w:tc>
      </w:tr>
    </w:tbl>
    <w:p w14:paraId="525ADAD9">
      <w:pPr>
        <w:pStyle w:val="style4097"/>
        <w:keepNext/>
        <w:pBdr>
          <w:bottom w:val="single" w:sz="6" w:space="4" w:color="b9791a"/>
        </w:pBdr>
        <w:spacing w:before="420" w:after="140"/>
        <w:rPr/>
      </w:pPr>
      <w:r>
        <w:rPr>
          <w:rFonts w:ascii="Calibri" w:cs="Calibri" w:eastAsia="Calibri" w:hAnsi="Calibri"/>
          <w:b/>
          <w:bCs/>
          <w:color w:val="1b2a4a"/>
          <w:sz w:val="27"/>
          <w:szCs w:val="27"/>
        </w:rPr>
        <w:t>5.  Platform Strategy</w:t>
      </w:r>
    </w:p>
    <w:p w14:paraId="33A1141A">
      <w:pPr>
        <w:pStyle w:val="style4098"/>
        <w:keepNext/>
        <w:spacing w:before="200" w:after="80"/>
        <w:rPr/>
      </w:pPr>
      <w:r>
        <w:rPr>
          <w:rFonts w:ascii="Calibri" w:cs="Calibri" w:eastAsia="Calibri" w:hAnsi="Calibri"/>
          <w:b/>
          <w:bCs/>
          <w:color w:val="1f6f6b"/>
          <w:sz w:val="22"/>
          <w:szCs w:val="22"/>
        </w:rPr>
        <w:t>Mobile-first, Android by default</w:t>
      </w:r>
    </w:p>
    <w:p w14:paraId="5D603968">
      <w:pPr>
        <w:pStyle w:val="style0"/>
        <w:spacing w:after="120"/>
        <w:rPr/>
      </w:pPr>
      <w:r>
        <w:rPr>
          <w:rFonts w:ascii="Calibri" w:cs="Calibri" w:eastAsia="Calibri" w:hAnsi="Calibri"/>
          <w:b w:val="false"/>
          <w:bCs w:val="false"/>
          <w:i w:val="false"/>
          <w:iCs w:val="false"/>
          <w:color w:val="2b2b2b"/>
          <w:sz w:val="21"/>
          <w:szCs w:val="21"/>
        </w:rPr>
        <w:t>Most Facebook / Instagram / Gmail recovery flows already work fully inside their own mobile apps or mobile web. The product is designed so the large majority of cases resolve without ever requiring a computer.</w:t>
      </w:r>
    </w:p>
    <w:p w14:paraId="9DAAF970">
      <w:pPr>
        <w:pStyle w:val="style4098"/>
        <w:keepNext/>
        <w:spacing w:before="200" w:after="80"/>
        <w:rPr/>
      </w:pPr>
      <w:r>
        <w:rPr>
          <w:rFonts w:ascii="Calibri" w:cs="Calibri" w:eastAsia="Calibri" w:hAnsi="Calibri"/>
          <w:b/>
          <w:bCs/>
          <w:color w:val="1f6f6b"/>
          <w:sz w:val="22"/>
          <w:szCs w:val="22"/>
        </w:rPr>
        <w:t>The rare desktop-only case</w:t>
      </w:r>
    </w:p>
    <w:p w14:paraId="A51F7DB0">
      <w:pPr>
        <w:pStyle w:val="style0"/>
        <w:spacing w:after="120"/>
        <w:rPr/>
      </w:pPr>
      <w:r>
        <w:rPr>
          <w:rFonts w:ascii="Calibri" w:cs="Calibri" w:eastAsia="Calibri" w:hAnsi="Calibri"/>
          <w:b w:val="false"/>
          <w:bCs w:val="false"/>
          <w:i w:val="false"/>
          <w:iCs w:val="false"/>
          <w:color w:val="2b2b2b"/>
          <w:sz w:val="21"/>
          <w:szCs w:val="21"/>
        </w:rPr>
        <w:t>For the small number of cases that genuinely require desktop access — certain admin flows, detailed forms — use Google Meet or Chrome Remote Desktop, with the user's explicit consent and the session recorded: we drive, you watch. No custom remote-access tooling should be built. It's expensive, and it's also exactly the kind of tool scammers use to build false trust — which would work directly against the brand.</w:t>
      </w:r>
    </w:p>
    <w:p w14:paraId="16ACA424">
      <w:pPr>
        <w:pStyle w:val="style4097"/>
        <w:keepNext/>
        <w:pBdr>
          <w:bottom w:val="single" w:sz="6" w:space="4" w:color="b9791a"/>
        </w:pBdr>
        <w:spacing w:before="420" w:after="140"/>
        <w:rPr/>
      </w:pPr>
      <w:r>
        <w:rPr>
          <w:rFonts w:ascii="Calibri" w:cs="Calibri" w:eastAsia="Calibri" w:hAnsi="Calibri"/>
          <w:b/>
          <w:bCs/>
          <w:color w:val="1b2a4a"/>
          <w:sz w:val="27"/>
          <w:szCs w:val="27"/>
        </w:rPr>
        <w:t>6.  Trust, Legal &amp; Security Framework</w:t>
      </w:r>
    </w:p>
    <w:p w14:paraId="EC239318">
      <w:pPr>
        <w:pStyle w:val="style179"/>
        <w:numPr>
          <w:ilvl w:val="0"/>
          <w:numId w:val="1"/>
        </w:numPr>
        <w:spacing w:after="60"/>
        <w:rPr/>
      </w:pPr>
      <w:r>
        <w:rPr>
          <w:rFonts w:ascii="Calibri" w:cs="Calibri" w:eastAsia="Calibri" w:hAnsi="Calibri"/>
          <w:b/>
          <w:bCs/>
          <w:color w:val="1b2a4a"/>
          <w:sz w:val="21"/>
          <w:szCs w:val="21"/>
        </w:rPr>
        <w:t>Data minimization —</w:t>
      </w:r>
      <w:r>
        <w:rPr>
          <w:rFonts w:ascii="Calibri" w:cs="Calibri" w:eastAsia="Calibri" w:hAnsi="Calibri"/>
          <w:color w:val="2b2b2b"/>
          <w:sz w:val="21"/>
          <w:szCs w:val="21"/>
        </w:rPr>
        <w:t xml:space="preserve"> hash-not-hold as a standing rule, backed by an actual retention policy (e.g. case data purged 30–60 days after closure) and encryption at rest. Bangladesh's Personal Data Protection Act (2026) gives this real legal weight, not just a design preference.</w:t>
      </w:r>
    </w:p>
    <w:p w14:paraId="8476ADF1">
      <w:pPr>
        <w:pStyle w:val="style179"/>
        <w:numPr>
          <w:ilvl w:val="0"/>
          <w:numId w:val="1"/>
        </w:numPr>
        <w:spacing w:after="60"/>
        <w:rPr/>
      </w:pPr>
      <w:r>
        <w:rPr>
          <w:rFonts w:ascii="Calibri" w:cs="Calibri" w:eastAsia="Calibri" w:hAnsi="Calibri"/>
          <w:b/>
          <w:bCs/>
          <w:color w:val="1b2a4a"/>
          <w:sz w:val="21"/>
          <w:szCs w:val="21"/>
        </w:rPr>
        <w:t>Professional handling of remote work —</w:t>
      </w:r>
      <w:r>
        <w:rPr>
          <w:rFonts w:ascii="Calibri" w:cs="Calibri" w:eastAsia="Calibri" w:hAnsi="Calibri"/>
          <w:color w:val="2b2b2b"/>
          <w:sz w:val="21"/>
          <w:szCs w:val="21"/>
        </w:rPr>
        <w:t xml:space="preserve"> Google Meet / Chrome Remote Desktop only, consented and recorded, never custom tooling.</w:t>
      </w:r>
    </w:p>
    <w:p w14:paraId="75BC1971">
      <w:pPr>
        <w:pStyle w:val="style179"/>
        <w:numPr>
          <w:ilvl w:val="0"/>
          <w:numId w:val="1"/>
        </w:numPr>
        <w:spacing w:after="60"/>
        <w:rPr/>
      </w:pPr>
      <w:r>
        <w:rPr>
          <w:rFonts w:ascii="Calibri" w:cs="Calibri" w:eastAsia="Calibri" w:hAnsi="Calibri"/>
          <w:b/>
          <w:bCs/>
          <w:color w:val="1b2a4a"/>
          <w:sz w:val="21"/>
          <w:szCs w:val="21"/>
        </w:rPr>
        <w:t>Transparency —</w:t>
      </w:r>
      <w:r>
        <w:rPr>
          <w:rFonts w:ascii="Calibri" w:cs="Calibri" w:eastAsia="Calibri" w:hAnsi="Calibri"/>
          <w:color w:val="2b2b2b"/>
          <w:sz w:val="21"/>
          <w:szCs w:val="21"/>
        </w:rPr>
        <w:t xml:space="preserve"> a public “what we access, what we never touch” page, and a simple case-status tracker so users always know where their case stands.</w:t>
      </w:r>
    </w:p>
    <w:p w14:paraId="BABCFE30">
      <w:pPr>
        <w:pStyle w:val="style179"/>
        <w:numPr>
          <w:ilvl w:val="0"/>
          <w:numId w:val="1"/>
        </w:numPr>
        <w:spacing w:after="60"/>
        <w:rPr/>
      </w:pPr>
      <w:r>
        <w:rPr>
          <w:rFonts w:ascii="Calibri" w:cs="Calibri" w:eastAsia="Calibri" w:hAnsi="Calibri"/>
          <w:b/>
          <w:bCs/>
          <w:color w:val="1b2a4a"/>
          <w:sz w:val="21"/>
          <w:szCs w:val="21"/>
        </w:rPr>
        <w:t>The trust promise —</w:t>
      </w:r>
      <w:r>
        <w:rPr>
          <w:rFonts w:ascii="Calibri" w:cs="Calibri" w:eastAsia="Calibri" w:hAnsi="Calibri"/>
          <w:color w:val="2b2b2b"/>
          <w:sz w:val="21"/>
          <w:szCs w:val="21"/>
        </w:rPr>
        <w:t xml:space="preserve"> only credible because it's backed by the three principles above, not because it's stated. Unbacked trust claims read as marketing; backed ones read as strength.</w:t>
      </w:r>
    </w:p>
    <w:p w14:paraId="4CD0F252">
      <w:pPr>
        <w:pStyle w:val="style179"/>
        <w:numPr>
          <w:ilvl w:val="0"/>
          <w:numId w:val="1"/>
        </w:numPr>
        <w:spacing w:after="60"/>
        <w:rPr/>
      </w:pPr>
      <w:r>
        <w:rPr>
          <w:rFonts w:ascii="Calibri" w:cs="Calibri" w:eastAsia="Calibri" w:hAnsi="Calibri"/>
          <w:b/>
          <w:bCs/>
          <w:color w:val="1b2a4a"/>
          <w:sz w:val="21"/>
          <w:szCs w:val="21"/>
        </w:rPr>
        <w:t>Identity verification &amp; anti-abuse —</w:t>
      </w:r>
      <w:r>
        <w:rPr>
          <w:rFonts w:ascii="Calibri" w:cs="Calibri" w:eastAsia="Calibri" w:hAnsi="Calibri"/>
          <w:color w:val="2b2b2b"/>
          <w:sz w:val="21"/>
          <w:szCs w:val="21"/>
        </w:rPr>
        <w:t xml:space="preserve"> NID + bKash Porichoy required before any case is escalated or any payment requested, with per-NID rate-limiting to prevent the system being weaponized. The agent's intake also needs protection against prompt injection — a submitted “incident description” that actually contains hidden instructions aimed at manipulating the agent. Mitigation: the agent's ability to take costly or irreversible action stays constrained regardless of what the input text says, and nothing significant happens without a human sign-off.</w:t>
      </w:r>
    </w:p>
    <w:p w14:paraId="975D5416">
      <w:pPr>
        <w:pStyle w:val="style0"/>
        <w:spacing w:after="100"/>
        <w:rPr/>
      </w:pPr>
    </w:p>
    <w:p w14:paraId="22B20023">
      <w:pPr>
        <w:pStyle w:val="style4098"/>
        <w:keepNext/>
        <w:spacing w:before="200" w:after="80"/>
        <w:rPr/>
      </w:pPr>
      <w:r>
        <w:rPr>
          <w:rFonts w:ascii="Calibri" w:cs="Calibri" w:eastAsia="Calibri" w:hAnsi="Calibri"/>
          <w:b/>
          <w:bCs/>
          <w:color w:val="1f6f6b"/>
          <w:sz w:val="22"/>
          <w:szCs w:val="22"/>
        </w:rPr>
        <w:t>Legal environment</w:t>
      </w:r>
    </w:p>
    <w:p w14:paraId="51E10173">
      <w:pPr>
        <w:pStyle w:val="style0"/>
        <w:spacing w:after="120"/>
        <w:rPr/>
      </w:pPr>
      <w:r>
        <w:rPr>
          <w:rFonts w:ascii="Calibri" w:cs="Calibri" w:eastAsia="Calibri" w:hAnsi="Calibri"/>
          <w:b w:val="false"/>
          <w:bCs w:val="false"/>
          <w:i w:val="false"/>
          <w:iCs w:val="false"/>
          <w:color w:val="2b2b2b"/>
          <w:sz w:val="21"/>
          <w:szCs w:val="21"/>
        </w:rPr>
        <w:t>Bangladesh's cyber law framework has changed three times since 2023 (Cyber Security Act 2023 → Cyber Security Ordinance 2025 → Cyber Security Amendment Bill 2026), most recently moving toward mandated, faster platform takedown timelines and greater BTRC authority. This trend works in Digital Dhaal's favor — but the ground is still shifting. A real legal consult on registration requirements is worth doing before charging at real scale, not just at MVP. This is a flag, not legal advice — confirm with an actual lawyer when the time comes.</w:t>
      </w:r>
    </w:p>
    <w:p w14:paraId="23D67A23">
      <w:pPr>
        <w:pStyle w:val="style4097"/>
        <w:keepNext/>
        <w:pBdr>
          <w:bottom w:val="single" w:sz="6" w:space="4" w:color="b9791a"/>
        </w:pBdr>
        <w:spacing w:before="420" w:after="140"/>
        <w:rPr/>
      </w:pPr>
      <w:r>
        <w:rPr>
          <w:rFonts w:ascii="Calibri" w:cs="Calibri" w:eastAsia="Calibri" w:hAnsi="Calibri"/>
          <w:b/>
          <w:bCs/>
          <w:color w:val="1b2a4a"/>
          <w:sz w:val="27"/>
          <w:szCs w:val="27"/>
        </w:rPr>
        <w:t>7.  Payment Model</w:t>
      </w:r>
    </w:p>
    <w:p w14:paraId="4918610F">
      <w:pPr>
        <w:pStyle w:val="style0"/>
        <w:spacing w:after="120"/>
        <w:rPr/>
      </w:pPr>
      <w:r>
        <w:rPr>
          <w:rFonts w:ascii="Calibri" w:cs="Calibri" w:eastAsia="Calibri" w:hAnsi="Calibri"/>
          <w:b w:val="false"/>
          <w:bCs w:val="false"/>
          <w:i w:val="false"/>
          <w:iCs w:val="false"/>
          <w:color w:val="2b2b2b"/>
          <w:sz w:val="21"/>
          <w:szCs w:val="21"/>
        </w:rPr>
        <w:t>Every case starts free, at the safety-tip stage. Payment is requested only after a verified case file is complete and the user has agreed to the plan — never before.</w:t>
      </w:r>
    </w:p>
    <w:p w14:paraId="EAC99F97">
      <w:pPr>
        <w:pStyle w:val="style0"/>
        <w:spacing w:after="80"/>
        <w:rPr/>
      </w:pPr>
    </w:p>
    <w:tbl>
      <w:tblPr>
        <w:tblW w:w="9746" w:type="dxa"/>
        <w:tblBorders>
          <w:top w:val="single" w:sz="8" w:space="0" w:color="b9791a"/>
          <w:left w:val="single" w:sz="4" w:space="0" w:color="b9791a"/>
          <w:bottom w:val="single" w:sz="4" w:space="0" w:color="b9791a"/>
          <w:right w:val="single" w:sz="4" w:space="0" w:color="b9791a"/>
          <w:insideH w:val="none" w:sz="0" w:space="0" w:color="ffffff"/>
          <w:insideV w:val="none" w:sz="0" w:space="0" w:color="ffffff"/>
        </w:tblBorders>
      </w:tblPr>
      <w:tblGrid>
        <w:gridCol w:w="9746"/>
      </w:tblGrid>
      <w:tr w14:paraId="F0C88D65">
        <w:trPr/>
        <w:tc>
          <w:tcPr>
            <w:tcW w:w="9746" w:type="dxa"/>
            <w:tcBorders/>
            <w:shd w:val="clear" w:color="auto" w:fill="fbf0da"/>
            <w:tcMar>
              <w:top w:w="160" w:type="dxa"/>
              <w:left w:w="220" w:type="dxa"/>
              <w:bottom w:w="160" w:type="dxa"/>
              <w:right w:w="220" w:type="dxa"/>
            </w:tcMar>
          </w:tcPr>
          <w:p w14:paraId="C8E1058F">
            <w:pPr>
              <w:pStyle w:val="style0"/>
              <w:spacing w:after="80"/>
              <w:rPr/>
            </w:pPr>
            <w:r>
              <w:rPr>
                <w:rFonts w:ascii="Calibri" w:cs="Calibri" w:eastAsia="Calibri" w:hAnsi="Calibri"/>
                <w:b/>
                <w:bCs/>
                <w:color w:val="b9791a"/>
                <w:sz w:val="23"/>
                <w:szCs w:val="23"/>
              </w:rPr>
              <w:t>Tier 1 — Basic Remediation</w:t>
            </w:r>
          </w:p>
          <w:p w14:paraId="06D46945">
            <w:pPr>
              <w:pStyle w:val="style179"/>
              <w:numPr>
                <w:ilvl w:val="0"/>
                <w:numId w:val="3"/>
              </w:numPr>
              <w:spacing w:after="50"/>
              <w:rPr/>
            </w:pPr>
            <w:r>
              <w:rPr>
                <w:rFonts w:ascii="Calibri" w:cs="Calibri" w:eastAsia="Calibri" w:hAnsi="Calibri"/>
                <w:color w:val="2b2b2b"/>
                <w:sz w:val="20"/>
                <w:szCs w:val="20"/>
              </w:rPr>
              <w:t>The guided fix for the verified issue — account recovery walkthrough, StopNCII on-device hash submission, or an impersonation report filed correctly the first time.</w:t>
            </w:r>
          </w:p>
          <w:p w14:paraId="645F9B72">
            <w:pPr>
              <w:pStyle w:val="style179"/>
              <w:numPr>
                <w:ilvl w:val="0"/>
                <w:numId w:val="3"/>
              </w:numPr>
              <w:spacing w:after="50"/>
              <w:rPr/>
            </w:pPr>
            <w:r>
              <w:rPr>
                <w:rFonts w:ascii="Calibri" w:cs="Calibri" w:eastAsia="Calibri" w:hAnsi="Calibri"/>
                <w:color w:val="2b2b2b"/>
                <w:sz w:val="20"/>
                <w:szCs w:val="20"/>
              </w:rPr>
              <w:t>Root-cause diagnosis if the case is recurring, not just a patch.</w:t>
            </w:r>
          </w:p>
          <w:p w14:paraId="54FB9328">
            <w:pPr>
              <w:pStyle w:val="style179"/>
              <w:numPr>
                <w:ilvl w:val="0"/>
                <w:numId w:val="3"/>
              </w:numPr>
              <w:spacing w:after="50"/>
              <w:rPr/>
            </w:pPr>
            <w:r>
              <w:rPr>
                <w:rFonts w:ascii="Calibri" w:cs="Calibri" w:eastAsia="Calibri" w:hAnsi="Calibri"/>
                <w:color w:val="2b2b2b"/>
                <w:sz w:val="20"/>
                <w:szCs w:val="20"/>
              </w:rPr>
              <w:t>Confirmation once the fix is verified working.</w:t>
            </w:r>
          </w:p>
          <w:p w14:paraId="CD034D92">
            <w:pPr>
              <w:pStyle w:val="style0"/>
              <w:spacing w:before="90"/>
              <w:rPr/>
            </w:pPr>
            <w:r>
              <w:rPr>
                <w:rFonts w:ascii="Calibri" w:cs="Calibri" w:eastAsia="Calibri" w:hAnsi="Calibri"/>
                <w:i/>
                <w:iCs/>
                <w:color w:val="6e6e6e"/>
                <w:sz w:val="19"/>
                <w:szCs w:val="19"/>
              </w:rPr>
              <w:t>Price: [Tk ___] — anchor this low. It's the tier people compare against doing nothing.</w:t>
            </w:r>
          </w:p>
        </w:tc>
      </w:tr>
    </w:tbl>
    <w:p w14:paraId="D4BCB637">
      <w:pPr>
        <w:pStyle w:val="style0"/>
        <w:spacing w:after="160"/>
        <w:rPr/>
      </w:pPr>
    </w:p>
    <w:tbl>
      <w:tblPr>
        <w:tblW w:w="9746" w:type="dxa"/>
        <w:tblBorders>
          <w:top w:val="single" w:sz="8" w:space="0" w:color="1f6f6b"/>
          <w:left w:val="single" w:sz="4" w:space="0" w:color="1f6f6b"/>
          <w:bottom w:val="single" w:sz="4" w:space="0" w:color="1f6f6b"/>
          <w:right w:val="single" w:sz="4" w:space="0" w:color="1f6f6b"/>
          <w:insideH w:val="none" w:sz="0" w:space="0" w:color="ffffff"/>
          <w:insideV w:val="none" w:sz="0" w:space="0" w:color="ffffff"/>
        </w:tblBorders>
      </w:tblPr>
      <w:tblGrid>
        <w:gridCol w:w="9746"/>
      </w:tblGrid>
      <w:tr w14:paraId="66DA90DE">
        <w:trPr/>
        <w:tc>
          <w:tcPr>
            <w:tcW w:w="9746" w:type="dxa"/>
            <w:tcBorders/>
            <w:shd w:val="clear" w:color="auto" w:fill="e1f0ee"/>
            <w:tcMar>
              <w:top w:w="160" w:type="dxa"/>
              <w:left w:w="220" w:type="dxa"/>
              <w:bottom w:w="160" w:type="dxa"/>
              <w:right w:w="220" w:type="dxa"/>
            </w:tcMar>
          </w:tcPr>
          <w:p w14:paraId="15DE0F0F">
            <w:pPr>
              <w:pStyle w:val="style0"/>
              <w:spacing w:after="80"/>
              <w:rPr/>
            </w:pPr>
            <w:r>
              <w:rPr>
                <w:rFonts w:ascii="Calibri" w:cs="Calibri" w:eastAsia="Calibri" w:hAnsi="Calibri"/>
                <w:b/>
                <w:bCs/>
                <w:color w:val="1f6f6b"/>
                <w:sz w:val="23"/>
                <w:szCs w:val="23"/>
              </w:rPr>
              <w:t>Tier 2 — Basic + Evidence Package</w:t>
            </w:r>
          </w:p>
          <w:p w14:paraId="9424EB0B">
            <w:pPr>
              <w:pStyle w:val="style179"/>
              <w:numPr>
                <w:ilvl w:val="0"/>
                <w:numId w:val="3"/>
              </w:numPr>
              <w:spacing w:after="50"/>
              <w:rPr/>
            </w:pPr>
            <w:r>
              <w:rPr>
                <w:rFonts w:ascii="Calibri" w:cs="Calibri" w:eastAsia="Calibri" w:hAnsi="Calibri"/>
                <w:color w:val="2b2b2b"/>
                <w:sz w:val="20"/>
                <w:szCs w:val="20"/>
              </w:rPr>
              <w:t>Everything in Tier 1.</w:t>
            </w:r>
          </w:p>
          <w:p w14:paraId="6F29F208">
            <w:pPr>
              <w:pStyle w:val="style179"/>
              <w:numPr>
                <w:ilvl w:val="0"/>
                <w:numId w:val="3"/>
              </w:numPr>
              <w:spacing w:after="50"/>
              <w:rPr/>
            </w:pPr>
            <w:r>
              <w:rPr>
                <w:rFonts w:ascii="Calibri" w:cs="Calibri" w:eastAsia="Calibri" w:hAnsi="Calibri"/>
                <w:color w:val="2b2b2b"/>
                <w:sz w:val="20"/>
                <w:szCs w:val="20"/>
              </w:rPr>
              <w:t>A police-station-ready evidence package, assembled from the same case file (contents below).</w:t>
            </w:r>
          </w:p>
          <w:p w14:paraId="238A8C5D">
            <w:pPr>
              <w:pStyle w:val="style0"/>
              <w:spacing w:before="90"/>
              <w:rPr/>
            </w:pPr>
            <w:r>
              <w:rPr>
                <w:rFonts w:ascii="Calibri" w:cs="Calibri" w:eastAsia="Calibri" w:hAnsi="Calibri"/>
                <w:i/>
                <w:iCs/>
                <w:color w:val="6e6e6e"/>
                <w:sz w:val="19"/>
                <w:szCs w:val="19"/>
              </w:rPr>
              <w:t>Price: [Tier 1 price + Tk ___ flat add-on] — the extra cost is mostly engineer time spent organizing, not a new service, so it shouldn't be priced like one.</w:t>
            </w:r>
          </w:p>
        </w:tc>
      </w:tr>
    </w:tbl>
    <w:p w14:paraId="2B6FABFF">
      <w:pPr>
        <w:pStyle w:val="style0"/>
        <w:spacing w:after="140"/>
        <w:rPr/>
      </w:pPr>
    </w:p>
    <w:p w14:paraId="4A8D32BA">
      <w:pPr>
        <w:pStyle w:val="style0"/>
        <w:spacing w:before="60" w:after="160"/>
        <w:rPr/>
      </w:pPr>
      <w:r>
        <w:rPr>
          <w:rFonts w:ascii="Calibri" w:cs="Calibri" w:eastAsia="Calibri" w:hAnsi="Calibri"/>
          <w:i/>
          <w:iCs/>
          <w:color w:val="6e6e6e"/>
          <w:sz w:val="19"/>
          <w:szCs w:val="19"/>
        </w:rPr>
        <w:t>Payment channel: bKash only, requested after the plan is confirmed. This is what makes “the user gets the service, you get the money” a two-way trust signal instead of a one-way ask.</w:t>
      </w:r>
    </w:p>
    <w:p w14:paraId="6777632A">
      <w:pPr>
        <w:pStyle w:val="style4098"/>
        <w:keepNext/>
        <w:spacing w:before="200" w:after="80"/>
        <w:rPr/>
      </w:pPr>
      <w:r>
        <w:rPr>
          <w:rFonts w:ascii="Calibri" w:cs="Calibri" w:eastAsia="Calibri" w:hAnsi="Calibri"/>
          <w:b/>
          <w:bCs/>
          <w:color w:val="1f6f6b"/>
          <w:sz w:val="22"/>
          <w:szCs w:val="22"/>
        </w:rPr>
        <w:t>Evidence package contents (the Tier 2 deliverable)</w:t>
      </w:r>
    </w:p>
    <w:p w14:paraId="C575D97B">
      <w:pPr>
        <w:pStyle w:val="style179"/>
        <w:numPr>
          <w:ilvl w:val="0"/>
          <w:numId w:val="1"/>
        </w:numPr>
        <w:spacing w:after="60"/>
        <w:rPr/>
      </w:pPr>
      <w:r>
        <w:rPr>
          <w:rFonts w:ascii="Calibri" w:cs="Calibri" w:eastAsia="Calibri" w:hAnsi="Calibri"/>
          <w:color w:val="2b2b2b"/>
          <w:sz w:val="21"/>
          <w:szCs w:val="21"/>
        </w:rPr>
        <w:t>A plain-language cover summary — what happened, when, who's affected.</w:t>
      </w:r>
    </w:p>
    <w:p w14:paraId="1D95239D">
      <w:pPr>
        <w:pStyle w:val="style179"/>
        <w:numPr>
          <w:ilvl w:val="0"/>
          <w:numId w:val="1"/>
        </w:numPr>
        <w:spacing w:after="60"/>
        <w:rPr/>
      </w:pPr>
      <w:r>
        <w:rPr>
          <w:rFonts w:ascii="Calibri" w:cs="Calibri" w:eastAsia="Calibri" w:hAnsi="Calibri"/>
          <w:color w:val="2b2b2b"/>
          <w:sz w:val="21"/>
          <w:szCs w:val="21"/>
        </w:rPr>
        <w:t>A timeline reconstructed from the case file.</w:t>
      </w:r>
    </w:p>
    <w:p w14:paraId="244F5BEC">
      <w:pPr>
        <w:pStyle w:val="style179"/>
        <w:numPr>
          <w:ilvl w:val="0"/>
          <w:numId w:val="1"/>
        </w:numPr>
        <w:spacing w:after="60"/>
        <w:rPr/>
      </w:pPr>
      <w:r>
        <w:rPr>
          <w:rFonts w:ascii="Calibri" w:cs="Calibri" w:eastAsia="Calibri" w:hAnsi="Calibri"/>
          <w:color w:val="2b2b2b"/>
          <w:sz w:val="21"/>
          <w:szCs w:val="21"/>
        </w:rPr>
        <w:t>A numbered, captioned list of evidence — each screenshot or recording referenced with a one-line caption, not just dumped in.</w:t>
      </w:r>
    </w:p>
    <w:p w14:paraId="C78B90B4">
      <w:pPr>
        <w:pStyle w:val="style179"/>
        <w:numPr>
          <w:ilvl w:val="0"/>
          <w:numId w:val="1"/>
        </w:numPr>
        <w:spacing w:after="60"/>
        <w:rPr/>
      </w:pPr>
      <w:r>
        <w:rPr>
          <w:rFonts w:ascii="Calibri" w:cs="Calibri" w:eastAsia="Calibri" w:hAnsi="Calibri"/>
          <w:color w:val="2b2b2b"/>
          <w:sz w:val="21"/>
          <w:szCs w:val="21"/>
        </w:rPr>
        <w:t>Known perpetrator details, if any — fake account link, phone number used, and so on.</w:t>
      </w:r>
    </w:p>
    <w:p w14:paraId="F0DBC52D">
      <w:pPr>
        <w:pStyle w:val="style179"/>
        <w:numPr>
          <w:ilvl w:val="0"/>
          <w:numId w:val="1"/>
        </w:numPr>
        <w:spacing w:after="60"/>
        <w:rPr/>
      </w:pPr>
      <w:r>
        <w:rPr>
          <w:rFonts w:ascii="Calibri" w:cs="Calibri" w:eastAsia="Calibri" w:hAnsi="Calibri"/>
          <w:color w:val="2b2b2b"/>
          <w:sz w:val="21"/>
          <w:szCs w:val="21"/>
        </w:rPr>
        <w:t>Digital Dhaal's own case reference number and contact info, so police can verify the package if needed.</w:t>
      </w:r>
    </w:p>
    <w:p w14:paraId="2F887BEF">
      <w:pPr>
        <w:pStyle w:val="style179"/>
        <w:numPr>
          <w:ilvl w:val="0"/>
          <w:numId w:val="1"/>
        </w:numPr>
        <w:spacing w:after="60"/>
        <w:rPr/>
      </w:pPr>
      <w:r>
        <w:rPr>
          <w:rFonts w:ascii="Calibri" w:cs="Calibri" w:eastAsia="Calibri" w:hAnsi="Calibri"/>
          <w:color w:val="2b2b2b"/>
          <w:sz w:val="21"/>
          <w:szCs w:val="21"/>
        </w:rPr>
        <w:t>A clear line stating this is an organizing aid for the complaint process, not a legal document itself — that line matters; never let the claim overreach.</w:t>
      </w:r>
    </w:p>
    <w:p w14:paraId="361AEEB4">
      <w:pPr>
        <w:pStyle w:val="style4097"/>
        <w:keepNext/>
        <w:pBdr>
          <w:bottom w:val="single" w:sz="6" w:space="4" w:color="b9791a"/>
        </w:pBdr>
        <w:spacing w:before="420" w:after="140"/>
        <w:rPr/>
      </w:pPr>
      <w:r>
        <w:rPr>
          <w:rFonts w:ascii="Calibri" w:cs="Calibri" w:eastAsia="Calibri" w:hAnsi="Calibri"/>
          <w:b/>
          <w:bCs/>
          <w:color w:val="1b2a4a"/>
          <w:sz w:val="27"/>
          <w:szCs w:val="27"/>
        </w:rPr>
        <w:t>8.  Case Operations</w:t>
      </w:r>
    </w:p>
    <w:p w14:paraId="10AA4408">
      <w:pPr>
        <w:pStyle w:val="style4098"/>
        <w:keepNext/>
        <w:spacing w:before="200" w:after="80"/>
        <w:rPr/>
      </w:pPr>
      <w:r>
        <w:rPr>
          <w:rFonts w:ascii="Calibri" w:cs="Calibri" w:eastAsia="Calibri" w:hAnsi="Calibri"/>
          <w:b/>
          <w:bCs/>
          <w:color w:val="1f6f6b"/>
          <w:sz w:val="22"/>
          <w:szCs w:val="22"/>
        </w:rPr>
        <w:t>Case assignment</w:t>
      </w:r>
    </w:p>
    <w:p w14:paraId="88AB3472">
      <w:pPr>
        <w:pStyle w:val="style179"/>
        <w:numPr>
          <w:ilvl w:val="0"/>
          <w:numId w:val="1"/>
        </w:numPr>
        <w:spacing w:after="60"/>
        <w:rPr/>
      </w:pPr>
      <w:r>
        <w:rPr>
          <w:rFonts w:ascii="Calibri" w:cs="Calibri" w:eastAsia="Calibri" w:hAnsi="Calibri"/>
          <w:color w:val="2b2b2b"/>
          <w:sz w:val="21"/>
          <w:szCs w:val="21"/>
        </w:rPr>
        <w:t>New, verified cases land in a shared queue visible to every engineer — nothing is assigned automatically behind the scenes.</w:t>
      </w:r>
    </w:p>
    <w:p w14:paraId="A7698275">
      <w:pPr>
        <w:pStyle w:val="style179"/>
        <w:numPr>
          <w:ilvl w:val="0"/>
          <w:numId w:val="1"/>
        </w:numPr>
        <w:spacing w:after="60"/>
        <w:rPr/>
      </w:pPr>
      <w:r>
        <w:rPr>
          <w:rFonts w:ascii="Calibri" w:cs="Calibri" w:eastAsia="Calibri" w:hAnsi="Calibri"/>
          <w:color w:val="2b2b2b"/>
          <w:sz w:val="21"/>
          <w:szCs w:val="21"/>
        </w:rPr>
        <w:t>Recommended for a small, part-time team: on-duty self-assignment. Whoever is on duty that shift picks up the next case and it's logged the moment they do — a rigid round-robin doesn't survive real class schedules.</w:t>
      </w:r>
    </w:p>
    <w:p w14:paraId="56A562F3">
      <w:pPr>
        <w:pStyle w:val="style179"/>
        <w:numPr>
          <w:ilvl w:val="0"/>
          <w:numId w:val="1"/>
        </w:numPr>
        <w:spacing w:after="60"/>
        <w:rPr/>
      </w:pPr>
      <w:r>
        <w:rPr>
          <w:rFonts w:ascii="Calibri" w:cs="Calibri" w:eastAsia="Calibri" w:hAnsi="Calibri"/>
          <w:color w:val="2b2b2b"/>
          <w:sz w:val="21"/>
          <w:szCs w:val="21"/>
        </w:rPr>
        <w:t>If a case sits unassigned past a set window (say, 4 hours), or an engineer flags it as outside their depth, it gets reassigned — and that reassignment is logged too, not silent.</w:t>
      </w:r>
    </w:p>
    <w:p w14:paraId="3699EF5A">
      <w:pPr>
        <w:pStyle w:val="style179"/>
        <w:numPr>
          <w:ilvl w:val="0"/>
          <w:numId w:val="1"/>
        </w:numPr>
        <w:spacing w:after="60"/>
        <w:rPr/>
      </w:pPr>
      <w:r>
        <w:rPr>
          <w:rFonts w:ascii="Calibri" w:cs="Calibri" w:eastAsia="Calibri" w:hAnsi="Calibri"/>
          <w:color w:val="2b2b2b"/>
          <w:sz w:val="21"/>
          <w:szCs w:val="21"/>
        </w:rPr>
        <w:t>One person keeps visibility across the whole queue to catch anything stuck.</w:t>
      </w:r>
    </w:p>
    <w:p w14:paraId="B8E6A111">
      <w:pPr>
        <w:pStyle w:val="style0"/>
        <w:spacing w:after="100"/>
        <w:rPr/>
      </w:pPr>
    </w:p>
    <w:p w14:paraId="043F91E7">
      <w:pPr>
        <w:pStyle w:val="style4098"/>
        <w:keepNext/>
        <w:spacing w:before="200" w:after="80"/>
        <w:rPr/>
      </w:pPr>
      <w:r>
        <w:rPr>
          <w:rFonts w:ascii="Calibri" w:cs="Calibri" w:eastAsia="Calibri" w:hAnsi="Calibri"/>
          <w:b/>
          <w:bCs/>
          <w:color w:val="1f6f6b"/>
          <w:sz w:val="22"/>
          <w:szCs w:val="22"/>
        </w:rPr>
        <w:t>Audit log</w:t>
      </w:r>
    </w:p>
    <w:p w14:paraId="3968049A">
      <w:pPr>
        <w:pStyle w:val="style0"/>
        <w:spacing w:after="120"/>
        <w:rPr/>
      </w:pPr>
      <w:r>
        <w:rPr>
          <w:rFonts w:ascii="Calibri" w:cs="Calibri" w:eastAsia="Calibri" w:hAnsi="Calibri"/>
          <w:b w:val="false"/>
          <w:bCs w:val="false"/>
          <w:i w:val="false"/>
          <w:iCs w:val="false"/>
          <w:color w:val="2b2b2b"/>
          <w:sz w:val="21"/>
          <w:szCs w:val="21"/>
        </w:rPr>
        <w:t>This is what makes “who was assigned, and who did what” answerable after the fact — and it's the same data that quietly powers the transparent case-status tracker users see on their end.</w:t>
      </w:r>
    </w:p>
    <w:tbl>
      <w:tblPr>
        <w:tblW w:w="9746" w:type="dxa"/>
        <w:tblBorders>
          <w:top w:val="single" w:sz="4" w:space="0" w:color="e9ecf2"/>
          <w:left w:val="single" w:sz="4" w:space="0" w:color="e9ecf2"/>
          <w:bottom w:val="single" w:sz="4" w:space="0" w:color="e9ecf2"/>
          <w:right w:val="single" w:sz="4" w:space="0" w:color="e9ecf2"/>
          <w:insideH w:val="single" w:sz="4" w:space="0" w:color="e9ecf2"/>
          <w:insideV w:val="single" w:sz="4" w:space="0" w:color="e9ecf2"/>
        </w:tblBorders>
      </w:tblPr>
      <w:tblGrid>
        <w:gridCol w:w="2400"/>
        <w:gridCol w:w="7346"/>
      </w:tblGrid>
      <w:tr w14:paraId="B3BBC6BA">
        <w:trPr>
          <w:tblHeader/>
        </w:trPr>
        <w:tc>
          <w:tcPr>
            <w:tcW w:w="0" w:type="auto"/>
            <w:tcBorders/>
            <w:shd w:val="clear" w:color="auto" w:fill="1b2a4a"/>
            <w:tcMar>
              <w:top w:w="100" w:type="dxa"/>
              <w:left w:w="140" w:type="dxa"/>
              <w:bottom w:w="100" w:type="dxa"/>
              <w:right w:w="140" w:type="dxa"/>
            </w:tcMar>
            <w:vAlign w:val="center"/>
          </w:tcPr>
          <w:p w14:paraId="E65826EA">
            <w:pPr>
              <w:pStyle w:val="style0"/>
              <w:rPr/>
            </w:pPr>
            <w:r>
              <w:rPr>
                <w:rFonts w:ascii="Calibri" w:cs="Calibri" w:eastAsia="Calibri" w:hAnsi="Calibri"/>
                <w:b/>
                <w:bCs/>
                <w:color w:val="ffffff"/>
                <w:sz w:val="19"/>
                <w:szCs w:val="19"/>
              </w:rPr>
              <w:t>Field</w:t>
            </w:r>
          </w:p>
        </w:tc>
        <w:tc>
          <w:tcPr>
            <w:tcW w:w="0" w:type="auto"/>
            <w:tcBorders/>
            <w:shd w:val="clear" w:color="auto" w:fill="1b2a4a"/>
            <w:tcMar>
              <w:top w:w="100" w:type="dxa"/>
              <w:left w:w="140" w:type="dxa"/>
              <w:bottom w:w="100" w:type="dxa"/>
              <w:right w:w="140" w:type="dxa"/>
            </w:tcMar>
            <w:vAlign w:val="center"/>
          </w:tcPr>
          <w:p w14:paraId="41D8CAA4">
            <w:pPr>
              <w:pStyle w:val="style0"/>
              <w:rPr/>
            </w:pPr>
            <w:r>
              <w:rPr>
                <w:rFonts w:ascii="Calibri" w:cs="Calibri" w:eastAsia="Calibri" w:hAnsi="Calibri"/>
                <w:b/>
                <w:bCs/>
                <w:color w:val="ffffff"/>
                <w:sz w:val="19"/>
                <w:szCs w:val="19"/>
              </w:rPr>
              <w:t>What it captures</w:t>
            </w:r>
          </w:p>
        </w:tc>
      </w:tr>
      <w:tr w14:paraId="CF31CB9F">
        <w:tblPrEx/>
        <w:trPr/>
        <w:tc>
          <w:tcPr>
            <w:tcW w:w="0" w:type="auto"/>
            <w:tcBorders/>
            <w:shd w:val="clear" w:color="auto" w:fill="ffffff"/>
            <w:tcMar>
              <w:top w:w="90" w:type="dxa"/>
              <w:left w:w="140" w:type="dxa"/>
              <w:bottom w:w="90" w:type="dxa"/>
              <w:right w:w="140" w:type="dxa"/>
            </w:tcMar>
            <w:vAlign w:val="center"/>
          </w:tcPr>
          <w:p w14:paraId="D8A17F39">
            <w:pPr>
              <w:pStyle w:val="style0"/>
              <w:rPr/>
            </w:pPr>
            <w:r>
              <w:rPr>
                <w:rFonts w:ascii="Calibri" w:cs="Calibri" w:eastAsia="Calibri" w:hAnsi="Calibri"/>
                <w:b/>
                <w:bCs/>
                <w:color w:val="2b2b2b"/>
                <w:sz w:val="19"/>
                <w:szCs w:val="19"/>
              </w:rPr>
              <w:t>log_id</w:t>
            </w:r>
          </w:p>
        </w:tc>
        <w:tc>
          <w:tcPr>
            <w:tcW w:w="0" w:type="auto"/>
            <w:tcBorders/>
            <w:shd w:val="clear" w:color="auto" w:fill="ffffff"/>
            <w:tcMar>
              <w:top w:w="90" w:type="dxa"/>
              <w:left w:w="140" w:type="dxa"/>
              <w:bottom w:w="90" w:type="dxa"/>
              <w:right w:w="140" w:type="dxa"/>
            </w:tcMar>
            <w:vAlign w:val="center"/>
          </w:tcPr>
          <w:p w14:paraId="1544A786">
            <w:pPr>
              <w:pStyle w:val="style0"/>
              <w:rPr/>
            </w:pPr>
            <w:r>
              <w:rPr>
                <w:rFonts w:ascii="Calibri" w:cs="Calibri" w:eastAsia="Calibri" w:hAnsi="Calibri"/>
                <w:b w:val="false"/>
                <w:bCs w:val="false"/>
                <w:color w:val="2b2b2b"/>
                <w:sz w:val="19"/>
                <w:szCs w:val="19"/>
              </w:rPr>
              <w:t>Unique ID for this log entry</w:t>
            </w:r>
          </w:p>
        </w:tc>
      </w:tr>
      <w:tr w14:paraId="92FFD193">
        <w:tblPrEx/>
        <w:trPr/>
        <w:tc>
          <w:tcPr>
            <w:tcW w:w="0" w:type="auto"/>
            <w:tcBorders/>
            <w:shd w:val="clear" w:color="auto" w:fill="ffffff"/>
            <w:tcMar>
              <w:top w:w="90" w:type="dxa"/>
              <w:left w:w="140" w:type="dxa"/>
              <w:bottom w:w="90" w:type="dxa"/>
              <w:right w:w="140" w:type="dxa"/>
            </w:tcMar>
            <w:vAlign w:val="center"/>
          </w:tcPr>
          <w:p w14:paraId="DA8F191B">
            <w:pPr>
              <w:pStyle w:val="style0"/>
              <w:rPr/>
            </w:pPr>
            <w:r>
              <w:rPr>
                <w:rFonts w:ascii="Calibri" w:cs="Calibri" w:eastAsia="Calibri" w:hAnsi="Calibri"/>
                <w:b/>
                <w:bCs/>
                <w:color w:val="2b2b2b"/>
                <w:sz w:val="19"/>
                <w:szCs w:val="19"/>
              </w:rPr>
              <w:t>case_id</w:t>
            </w:r>
          </w:p>
        </w:tc>
        <w:tc>
          <w:tcPr>
            <w:tcW w:w="0" w:type="auto"/>
            <w:tcBorders/>
            <w:shd w:val="clear" w:color="auto" w:fill="ffffff"/>
            <w:tcMar>
              <w:top w:w="90" w:type="dxa"/>
              <w:left w:w="140" w:type="dxa"/>
              <w:bottom w:w="90" w:type="dxa"/>
              <w:right w:w="140" w:type="dxa"/>
            </w:tcMar>
            <w:vAlign w:val="center"/>
          </w:tcPr>
          <w:p w14:paraId="72447002">
            <w:pPr>
              <w:pStyle w:val="style0"/>
              <w:rPr/>
            </w:pPr>
            <w:r>
              <w:rPr>
                <w:rFonts w:ascii="Calibri" w:cs="Calibri" w:eastAsia="Calibri" w:hAnsi="Calibri"/>
                <w:b w:val="false"/>
                <w:bCs w:val="false"/>
                <w:color w:val="2b2b2b"/>
                <w:sz w:val="19"/>
                <w:szCs w:val="19"/>
              </w:rPr>
              <w:t>Which case this action belongs to</w:t>
            </w:r>
          </w:p>
        </w:tc>
      </w:tr>
      <w:tr w14:paraId="87860941">
        <w:tblPrEx/>
        <w:trPr/>
        <w:tc>
          <w:tcPr>
            <w:tcW w:w="0" w:type="auto"/>
            <w:tcBorders/>
            <w:shd w:val="clear" w:color="auto" w:fill="ffffff"/>
            <w:tcMar>
              <w:top w:w="90" w:type="dxa"/>
              <w:left w:w="140" w:type="dxa"/>
              <w:bottom w:w="90" w:type="dxa"/>
              <w:right w:w="140" w:type="dxa"/>
            </w:tcMar>
            <w:vAlign w:val="center"/>
          </w:tcPr>
          <w:p w14:paraId="EF0B09B5">
            <w:pPr>
              <w:pStyle w:val="style0"/>
              <w:rPr/>
            </w:pPr>
            <w:r>
              <w:rPr>
                <w:rFonts w:ascii="Calibri" w:cs="Calibri" w:eastAsia="Calibri" w:hAnsi="Calibri"/>
                <w:b/>
                <w:bCs/>
                <w:color w:val="2b2b2b"/>
                <w:sz w:val="19"/>
                <w:szCs w:val="19"/>
              </w:rPr>
              <w:t>engineer_id</w:t>
            </w:r>
          </w:p>
        </w:tc>
        <w:tc>
          <w:tcPr>
            <w:tcW w:w="0" w:type="auto"/>
            <w:tcBorders/>
            <w:shd w:val="clear" w:color="auto" w:fill="ffffff"/>
            <w:tcMar>
              <w:top w:w="90" w:type="dxa"/>
              <w:left w:w="140" w:type="dxa"/>
              <w:bottom w:w="90" w:type="dxa"/>
              <w:right w:w="140" w:type="dxa"/>
            </w:tcMar>
            <w:vAlign w:val="center"/>
          </w:tcPr>
          <w:p w14:paraId="AF49DB57">
            <w:pPr>
              <w:pStyle w:val="style0"/>
              <w:rPr/>
            </w:pPr>
            <w:r>
              <w:rPr>
                <w:rFonts w:ascii="Calibri" w:cs="Calibri" w:eastAsia="Calibri" w:hAnsi="Calibri"/>
                <w:b w:val="false"/>
                <w:bCs w:val="false"/>
                <w:color w:val="2b2b2b"/>
                <w:sz w:val="19"/>
                <w:szCs w:val="19"/>
              </w:rPr>
              <w:t>Who performed the action</w:t>
            </w:r>
          </w:p>
        </w:tc>
      </w:tr>
      <w:tr w14:paraId="30DD13C8">
        <w:tblPrEx/>
        <w:trPr/>
        <w:tc>
          <w:tcPr>
            <w:tcW w:w="0" w:type="auto"/>
            <w:tcBorders/>
            <w:shd w:val="clear" w:color="auto" w:fill="ffffff"/>
            <w:tcMar>
              <w:top w:w="90" w:type="dxa"/>
              <w:left w:w="140" w:type="dxa"/>
              <w:bottom w:w="90" w:type="dxa"/>
              <w:right w:w="140" w:type="dxa"/>
            </w:tcMar>
            <w:vAlign w:val="center"/>
          </w:tcPr>
          <w:p w14:paraId="002F5FF9">
            <w:pPr>
              <w:pStyle w:val="style0"/>
              <w:rPr/>
            </w:pPr>
            <w:r>
              <w:rPr>
                <w:rFonts w:ascii="Calibri" w:cs="Calibri" w:eastAsia="Calibri" w:hAnsi="Calibri"/>
                <w:b/>
                <w:bCs/>
                <w:color w:val="2b2b2b"/>
                <w:sz w:val="19"/>
                <w:szCs w:val="19"/>
              </w:rPr>
              <w:t>action_type</w:t>
            </w:r>
          </w:p>
        </w:tc>
        <w:tc>
          <w:tcPr>
            <w:tcW w:w="0" w:type="auto"/>
            <w:tcBorders/>
            <w:shd w:val="clear" w:color="auto" w:fill="ffffff"/>
            <w:tcMar>
              <w:top w:w="90" w:type="dxa"/>
              <w:left w:w="140" w:type="dxa"/>
              <w:bottom w:w="90" w:type="dxa"/>
              <w:right w:w="140" w:type="dxa"/>
            </w:tcMar>
            <w:vAlign w:val="center"/>
          </w:tcPr>
          <w:p w14:paraId="236D545B">
            <w:pPr>
              <w:pStyle w:val="style0"/>
              <w:rPr/>
            </w:pPr>
            <w:r>
              <w:rPr>
                <w:rFonts w:ascii="Calibri" w:cs="Calibri" w:eastAsia="Calibri" w:hAnsi="Calibri"/>
                <w:b w:val="false"/>
                <w:bCs w:val="false"/>
                <w:color w:val="2b2b2b"/>
                <w:sz w:val="19"/>
                <w:szCs w:val="19"/>
              </w:rPr>
              <w:t>One of the fixed types listed below</w:t>
            </w:r>
          </w:p>
        </w:tc>
      </w:tr>
      <w:tr w14:paraId="CB447411">
        <w:tblPrEx/>
        <w:trPr/>
        <w:tc>
          <w:tcPr>
            <w:tcW w:w="0" w:type="auto"/>
            <w:tcBorders/>
            <w:shd w:val="clear" w:color="auto" w:fill="ffffff"/>
            <w:tcMar>
              <w:top w:w="90" w:type="dxa"/>
              <w:left w:w="140" w:type="dxa"/>
              <w:bottom w:w="90" w:type="dxa"/>
              <w:right w:w="140" w:type="dxa"/>
            </w:tcMar>
            <w:vAlign w:val="center"/>
          </w:tcPr>
          <w:p w14:paraId="8EB2ACC3">
            <w:pPr>
              <w:pStyle w:val="style0"/>
              <w:rPr/>
            </w:pPr>
            <w:r>
              <w:rPr>
                <w:rFonts w:ascii="Calibri" w:cs="Calibri" w:eastAsia="Calibri" w:hAnsi="Calibri"/>
                <w:b/>
                <w:bCs/>
                <w:color w:val="2b2b2b"/>
                <w:sz w:val="19"/>
                <w:szCs w:val="19"/>
              </w:rPr>
              <w:t>detail</w:t>
            </w:r>
          </w:p>
        </w:tc>
        <w:tc>
          <w:tcPr>
            <w:tcW w:w="0" w:type="auto"/>
            <w:tcBorders/>
            <w:shd w:val="clear" w:color="auto" w:fill="ffffff"/>
            <w:tcMar>
              <w:top w:w="90" w:type="dxa"/>
              <w:left w:w="140" w:type="dxa"/>
              <w:bottom w:w="90" w:type="dxa"/>
              <w:right w:w="140" w:type="dxa"/>
            </w:tcMar>
            <w:vAlign w:val="center"/>
          </w:tcPr>
          <w:p w14:paraId="B840E0C7">
            <w:pPr>
              <w:pStyle w:val="style0"/>
              <w:rPr/>
            </w:pPr>
            <w:r>
              <w:rPr>
                <w:rFonts w:ascii="Calibri" w:cs="Calibri" w:eastAsia="Calibri" w:hAnsi="Calibri"/>
                <w:b w:val="false"/>
                <w:bCs w:val="false"/>
                <w:color w:val="2b2b2b"/>
                <w:sz w:val="19"/>
                <w:szCs w:val="19"/>
              </w:rPr>
              <w:t>Short free-text note (what actually happened)</w:t>
            </w:r>
          </w:p>
        </w:tc>
      </w:tr>
      <w:tr w14:paraId="6B05081E">
        <w:tblPrEx/>
        <w:trPr/>
        <w:tc>
          <w:tcPr>
            <w:tcW w:w="0" w:type="auto"/>
            <w:tcBorders/>
            <w:shd w:val="clear" w:color="auto" w:fill="ffffff"/>
            <w:tcMar>
              <w:top w:w="90" w:type="dxa"/>
              <w:left w:w="140" w:type="dxa"/>
              <w:bottom w:w="90" w:type="dxa"/>
              <w:right w:w="140" w:type="dxa"/>
            </w:tcMar>
            <w:vAlign w:val="center"/>
          </w:tcPr>
          <w:p w14:paraId="D2E1C6B3">
            <w:pPr>
              <w:pStyle w:val="style0"/>
              <w:rPr/>
            </w:pPr>
            <w:r>
              <w:rPr>
                <w:rFonts w:ascii="Calibri" w:cs="Calibri" w:eastAsia="Calibri" w:hAnsi="Calibri"/>
                <w:b/>
                <w:bCs/>
                <w:color w:val="2b2b2b"/>
                <w:sz w:val="19"/>
                <w:szCs w:val="19"/>
              </w:rPr>
              <w:t>timestamp</w:t>
            </w:r>
          </w:p>
        </w:tc>
        <w:tc>
          <w:tcPr>
            <w:tcW w:w="0" w:type="auto"/>
            <w:tcBorders/>
            <w:shd w:val="clear" w:color="auto" w:fill="ffffff"/>
            <w:tcMar>
              <w:top w:w="90" w:type="dxa"/>
              <w:left w:w="140" w:type="dxa"/>
              <w:bottom w:w="90" w:type="dxa"/>
              <w:right w:w="140" w:type="dxa"/>
            </w:tcMar>
            <w:vAlign w:val="center"/>
          </w:tcPr>
          <w:p w14:paraId="3B0F6DEE">
            <w:pPr>
              <w:pStyle w:val="style0"/>
              <w:rPr/>
            </w:pPr>
            <w:r>
              <w:rPr>
                <w:rFonts w:ascii="Calibri" w:cs="Calibri" w:eastAsia="Calibri" w:hAnsi="Calibri"/>
                <w:b w:val="false"/>
                <w:bCs w:val="false"/>
                <w:color w:val="2b2b2b"/>
                <w:sz w:val="19"/>
                <w:szCs w:val="19"/>
              </w:rPr>
              <w:t>When it happened</w:t>
            </w:r>
          </w:p>
        </w:tc>
      </w:tr>
    </w:tbl>
    <w:p w14:paraId="843608E6">
      <w:pPr>
        <w:pStyle w:val="style0"/>
        <w:spacing w:after="140"/>
        <w:rPr/>
      </w:pPr>
    </w:p>
    <w:p w14:paraId="1EDF9D87">
      <w:pPr>
        <w:pStyle w:val="style4098"/>
        <w:keepNext/>
        <w:spacing w:before="200" w:after="80"/>
        <w:rPr/>
      </w:pPr>
      <w:r>
        <w:rPr>
          <w:rFonts w:ascii="Calibri" w:cs="Calibri" w:eastAsia="Calibri" w:hAnsi="Calibri"/>
          <w:b/>
          <w:bCs/>
          <w:color w:val="1f6f6b"/>
          <w:sz w:val="22"/>
          <w:szCs w:val="22"/>
        </w:rPr>
        <w:t>Fixed action_type values</w:t>
      </w:r>
    </w:p>
    <w:p w14:paraId="0A44AB22">
      <w:pPr>
        <w:pStyle w:val="style179"/>
        <w:numPr>
          <w:ilvl w:val="0"/>
          <w:numId w:val="1"/>
        </w:numPr>
        <w:spacing w:after="60"/>
        <w:rPr/>
      </w:pPr>
      <w:r>
        <w:rPr>
          <w:rFonts w:ascii="Calibri" w:cs="Calibri" w:eastAsia="Calibri" w:hAnsi="Calibri"/>
          <w:color w:val="2b2b2b"/>
          <w:sz w:val="21"/>
          <w:szCs w:val="21"/>
        </w:rPr>
        <w:t>case_assigned  ·  user_contacted  ·  evidence_reviewed  ·  remediation_step_sent  ·  evidence_package_generated  ·  payment_confirmed  ·  case_escalated  ·  case_closed</w:t>
      </w:r>
    </w:p>
    <w:p w14:paraId="7B165723">
      <w:pPr>
        <w:pStyle w:val="style0"/>
        <w:spacing w:after="60"/>
        <w:rPr/>
      </w:pPr>
    </w:p>
    <w:p w14:paraId="18DE352C">
      <w:pPr>
        <w:pStyle w:val="style0"/>
        <w:spacing w:before="60" w:after="160"/>
        <w:rPr/>
      </w:pPr>
      <w:r>
        <w:rPr>
          <w:rFonts w:ascii="Calibri" w:cs="Calibri" w:eastAsia="Calibri" w:hAnsi="Calibri"/>
          <w:i/>
          <w:iCs/>
          <w:color w:val="6e6e6e"/>
          <w:sz w:val="19"/>
          <w:szCs w:val="19"/>
        </w:rPr>
        <w:t>Where to keep this for now: for 2–3 engineers and early case volume, a shared Google Sheet — one row per action — is genuinely enough. Move to a real database table once volume makes a spreadsheet slow, not before.</w:t>
      </w:r>
    </w:p>
    <w:p w14:paraId="9745811A">
      <w:pPr>
        <w:pStyle w:val="style4097"/>
        <w:keepNext/>
        <w:pBdr>
          <w:bottom w:val="single" w:sz="6" w:space="4" w:color="b9791a"/>
        </w:pBdr>
        <w:spacing w:before="420" w:after="140"/>
        <w:rPr/>
      </w:pPr>
      <w:r>
        <w:rPr>
          <w:rFonts w:ascii="Calibri" w:cs="Calibri" w:eastAsia="Calibri" w:hAnsi="Calibri"/>
          <w:b/>
          <w:bCs/>
          <w:color w:val="1b2a4a"/>
          <w:sz w:val="27"/>
          <w:szCs w:val="27"/>
        </w:rPr>
        <w:t>9.  Conclusions &amp; Open Decisions</w:t>
      </w:r>
    </w:p>
    <w:p w14:paraId="43502C9F">
      <w:pPr>
        <w:pStyle w:val="style4098"/>
        <w:keepNext/>
        <w:spacing w:before="200" w:after="80"/>
        <w:rPr/>
      </w:pPr>
      <w:r>
        <w:rPr>
          <w:rFonts w:ascii="Calibri" w:cs="Calibri" w:eastAsia="Calibri" w:hAnsi="Calibri"/>
          <w:b/>
          <w:bCs/>
          <w:color w:val="1f6f6b"/>
          <w:sz w:val="22"/>
          <w:szCs w:val="22"/>
        </w:rPr>
        <w:t>Settled</w:t>
      </w:r>
    </w:p>
    <w:p w14:paraId="911D017F">
      <w:pPr>
        <w:pStyle w:val="style179"/>
        <w:numPr>
          <w:ilvl w:val="0"/>
          <w:numId w:val="1"/>
        </w:numPr>
        <w:spacing w:after="60"/>
        <w:rPr/>
      </w:pPr>
      <w:r>
        <w:rPr>
          <w:rFonts w:ascii="Calibri" w:cs="Calibri" w:eastAsia="Calibri" w:hAnsi="Calibri"/>
          <w:color w:val="2b2b2b"/>
          <w:sz w:val="21"/>
          <w:szCs w:val="21"/>
        </w:rPr>
        <w:t>Three pillars, in build order: Account Takeover first (most common, hardest intake to get right), then NCII, then Impersonation.</w:t>
      </w:r>
    </w:p>
    <w:p w14:paraId="C64BAB1A">
      <w:pPr>
        <w:pStyle w:val="style179"/>
        <w:numPr>
          <w:ilvl w:val="0"/>
          <w:numId w:val="1"/>
        </w:numPr>
        <w:spacing w:after="60"/>
        <w:rPr/>
      </w:pPr>
      <w:r>
        <w:rPr>
          <w:rFonts w:ascii="Calibri" w:cs="Calibri" w:eastAsia="Calibri" w:hAnsi="Calibri"/>
          <w:color w:val="2b2b2b"/>
          <w:sz w:val="21"/>
          <w:szCs w:val="21"/>
        </w:rPr>
        <w:t>Five-gate architecture (Listen → Classify → Verify → Escalate → Resolve) applies to all three pillars.</w:t>
      </w:r>
    </w:p>
    <w:p w14:paraId="C10F7431">
      <w:pPr>
        <w:pStyle w:val="style179"/>
        <w:numPr>
          <w:ilvl w:val="0"/>
          <w:numId w:val="1"/>
        </w:numPr>
        <w:spacing w:after="60"/>
        <w:rPr/>
      </w:pPr>
      <w:r>
        <w:rPr>
          <w:rFonts w:ascii="Calibri" w:cs="Calibri" w:eastAsia="Calibri" w:hAnsi="Calibri"/>
          <w:color w:val="2b2b2b"/>
          <w:sz w:val="21"/>
          <w:szCs w:val="21"/>
        </w:rPr>
        <w:t>Two-tier pricing: Basic Remediation, and Basic + Evidence Package.</w:t>
      </w:r>
    </w:p>
    <w:p w14:paraId="B3F5A610">
      <w:pPr>
        <w:pStyle w:val="style179"/>
        <w:numPr>
          <w:ilvl w:val="0"/>
          <w:numId w:val="1"/>
        </w:numPr>
        <w:spacing w:after="60"/>
        <w:rPr/>
      </w:pPr>
      <w:r>
        <w:rPr>
          <w:rFonts w:ascii="Calibri" w:cs="Calibri" w:eastAsia="Calibri" w:hAnsi="Calibri"/>
          <w:color w:val="2b2b2b"/>
          <w:sz w:val="21"/>
          <w:szCs w:val="21"/>
        </w:rPr>
        <w:t>No voice interface. Mobile / Android-first, with a narrow, consented, recorded fallback for desktop-only cases.</w:t>
      </w:r>
    </w:p>
    <w:p w14:paraId="BEB65E36">
      <w:pPr>
        <w:pStyle w:val="style179"/>
        <w:numPr>
          <w:ilvl w:val="0"/>
          <w:numId w:val="1"/>
        </w:numPr>
        <w:spacing w:after="60"/>
        <w:rPr/>
      </w:pPr>
      <w:r>
        <w:rPr>
          <w:rFonts w:ascii="Calibri" w:cs="Calibri" w:eastAsia="Calibri" w:hAnsi="Calibri"/>
          <w:color w:val="2b2b2b"/>
          <w:sz w:val="21"/>
          <w:szCs w:val="21"/>
        </w:rPr>
        <w:t>Identity verification (NID + bKash Porichoy) gates every escalation and every payment.</w:t>
      </w:r>
    </w:p>
    <w:p w14:paraId="5D60A847">
      <w:pPr>
        <w:pStyle w:val="style0"/>
        <w:spacing w:after="100"/>
        <w:rPr/>
      </w:pPr>
    </w:p>
    <w:p w14:paraId="892418E5">
      <w:pPr>
        <w:pStyle w:val="style4098"/>
        <w:keepNext/>
        <w:spacing w:before="200" w:after="80"/>
        <w:rPr/>
      </w:pPr>
      <w:r>
        <w:rPr>
          <w:rFonts w:ascii="Calibri" w:cs="Calibri" w:eastAsia="Calibri" w:hAnsi="Calibri"/>
          <w:b/>
          <w:bCs/>
          <w:color w:val="1f6f6b"/>
          <w:sz w:val="22"/>
          <w:szCs w:val="22"/>
        </w:rPr>
        <w:t>Still open — needs a decision, not a guess</w:t>
      </w:r>
    </w:p>
    <w:p w14:paraId="6C810C4E">
      <w:pPr>
        <w:pStyle w:val="style179"/>
        <w:numPr>
          <w:ilvl w:val="0"/>
          <w:numId w:val="1"/>
        </w:numPr>
        <w:spacing w:after="60"/>
        <w:rPr/>
      </w:pPr>
      <w:r>
        <w:rPr>
          <w:rFonts w:ascii="Calibri" w:cs="Calibri" w:eastAsia="Calibri" w:hAnsi="Calibri"/>
          <w:color w:val="2b2b2b"/>
          <w:sz w:val="21"/>
          <w:szCs w:val="21"/>
        </w:rPr>
        <w:t>Actual Tk pricing for both tiers, based on real cost modeling, not this document.</w:t>
      </w:r>
    </w:p>
    <w:p w14:paraId="C3C67CCF">
      <w:pPr>
        <w:pStyle w:val="style179"/>
        <w:numPr>
          <w:ilvl w:val="0"/>
          <w:numId w:val="1"/>
        </w:numPr>
        <w:spacing w:after="60"/>
        <w:rPr/>
      </w:pPr>
      <w:r>
        <w:rPr>
          <w:rFonts w:ascii="Calibri" w:cs="Calibri" w:eastAsia="Calibri" w:hAnsi="Calibri"/>
          <w:color w:val="2b2b2b"/>
          <w:sz w:val="21"/>
          <w:szCs w:val="21"/>
        </w:rPr>
        <w:t>Which of the 2–3 engineers is assigned to which pillar first, if any specialization is wanted.</w:t>
      </w:r>
    </w:p>
    <w:p w14:paraId="A2484766">
      <w:pPr>
        <w:pStyle w:val="style179"/>
        <w:numPr>
          <w:ilvl w:val="0"/>
          <w:numId w:val="1"/>
        </w:numPr>
        <w:spacing w:after="60"/>
        <w:rPr/>
      </w:pPr>
      <w:r>
        <w:rPr>
          <w:rFonts w:ascii="Calibri" w:cs="Calibri" w:eastAsia="Calibri" w:hAnsi="Calibri"/>
          <w:color w:val="2b2b2b"/>
          <w:sz w:val="21"/>
          <w:szCs w:val="21"/>
        </w:rPr>
        <w:t>Exact retention window for case data (30 vs. 60 days) — pick one and write it down.</w:t>
      </w:r>
    </w:p>
    <w:p w14:paraId="BB45A487">
      <w:pPr>
        <w:pStyle w:val="style179"/>
        <w:numPr>
          <w:ilvl w:val="0"/>
          <w:numId w:val="1"/>
        </w:numPr>
        <w:spacing w:after="60"/>
        <w:rPr/>
      </w:pPr>
      <w:r>
        <w:rPr>
          <w:rFonts w:ascii="Calibri" w:cs="Calibri" w:eastAsia="Calibri" w:hAnsi="Calibri"/>
          <w:color w:val="2b2b2b"/>
          <w:sz w:val="21"/>
          <w:szCs w:val="21"/>
        </w:rPr>
        <w:t>Whether to formally register with BTRC or seek legal review before handling paid cases at real volume.</w:t>
      </w:r>
    </w:p>
    <w:p w14:paraId="930E13AA">
      <w:pPr>
        <w:pStyle w:val="style0"/>
        <w:spacing w:after="140"/>
        <w:rPr/>
      </w:pPr>
    </w:p>
    <w:tbl>
      <w:tblPr>
        <w:tblW w:w="9746" w:type="dxa"/>
        <w:tblBorders>
          <w:top w:val="single" w:sz="8" w:space="0" w:color="1b2a4a"/>
          <w:left w:val="single" w:sz="4" w:space="0" w:color="1b2a4a"/>
          <w:bottom w:val="single" w:sz="4" w:space="0" w:color="1b2a4a"/>
          <w:right w:val="single" w:sz="4" w:space="0" w:color="1b2a4a"/>
          <w:insideH w:val="none" w:sz="0" w:space="0" w:color="ffffff"/>
          <w:insideV w:val="none" w:sz="0" w:space="0" w:color="ffffff"/>
        </w:tblBorders>
      </w:tblPr>
      <w:tblGrid>
        <w:gridCol w:w="9746"/>
      </w:tblGrid>
      <w:tr w14:paraId="2BA69123">
        <w:trPr/>
        <w:tc>
          <w:tcPr>
            <w:tcW w:w="9746" w:type="dxa"/>
            <w:tcBorders/>
            <w:shd w:val="clear" w:color="auto" w:fill="e9ecf2"/>
            <w:tcMar>
              <w:top w:w="160" w:type="dxa"/>
              <w:left w:w="220" w:type="dxa"/>
              <w:bottom w:w="160" w:type="dxa"/>
              <w:right w:w="220" w:type="dxa"/>
            </w:tcMar>
          </w:tcPr>
          <w:p w14:paraId="FA4878D9">
            <w:pPr>
              <w:pStyle w:val="style0"/>
              <w:spacing w:after="80"/>
              <w:rPr/>
            </w:pPr>
            <w:r>
              <w:rPr>
                <w:rFonts w:ascii="Calibri" w:cs="Calibri" w:eastAsia="Calibri" w:hAnsi="Calibri"/>
                <w:b/>
                <w:bCs/>
                <w:color w:val="1b2a4a"/>
                <w:sz w:val="23"/>
                <w:szCs w:val="23"/>
              </w:rPr>
              <w:t>Recommended next step</w:t>
            </w:r>
          </w:p>
          <w:p w14:paraId="11DE625E">
            <w:pPr>
              <w:pStyle w:val="style179"/>
              <w:numPr>
                <w:ilvl w:val="0"/>
                <w:numId w:val="3"/>
              </w:numPr>
              <w:spacing w:after="50"/>
              <w:rPr/>
            </w:pPr>
            <w:r>
              <w:rPr>
                <w:rFonts w:ascii="Calibri" w:cs="Calibri" w:eastAsia="Calibri" w:hAnsi="Calibri"/>
                <w:color w:val="2b2b2b"/>
                <w:sz w:val="20"/>
                <w:szCs w:val="20"/>
              </w:rPr>
              <w:t>Build Pillar A's intake agent first — the most common case and the hardest slot-filling problem to get right. Every other pillar reuses its pattern.</w:t>
            </w:r>
          </w:p>
        </w:tc>
      </w:tr>
    </w:tbl>
    <w:p w14:paraId="87BCA342">
      <w:pPr>
        <w:pStyle w:val="style4097"/>
        <w:keepNext/>
        <w:pBdr>
          <w:bottom w:val="single" w:sz="6" w:space="4" w:color="b9791a"/>
        </w:pBdr>
        <w:spacing w:before="420" w:after="140"/>
        <w:rPr/>
      </w:pPr>
      <w:r>
        <w:rPr>
          <w:rFonts w:ascii="Calibri" w:cs="Calibri" w:eastAsia="Calibri" w:hAnsi="Calibri"/>
          <w:b/>
          <w:bCs/>
          <w:color w:val="1b2a4a"/>
          <w:sz w:val="27"/>
          <w:szCs w:val="27"/>
        </w:rPr>
        <w:t>Sources Consulted</w:t>
      </w:r>
    </w:p>
    <w:p w14:paraId="D8C1B094">
      <w:pPr>
        <w:pStyle w:val="style179"/>
        <w:numPr>
          <w:ilvl w:val="0"/>
          <w:numId w:val="1"/>
        </w:numPr>
        <w:spacing w:after="60"/>
        <w:rPr/>
      </w:pPr>
      <w:r>
        <w:rPr>
          <w:rFonts w:ascii="Calibri" w:cs="Calibri" w:eastAsia="Calibri" w:hAnsi="Calibri"/>
          <w:color w:val="2b2b2b"/>
          <w:sz w:val="21"/>
          <w:szCs w:val="21"/>
        </w:rPr>
        <w:t>StopNCII.org — How It Works &amp; FAQ</w:t>
      </w:r>
    </w:p>
    <w:p w14:paraId="C278B783">
      <w:pPr>
        <w:pStyle w:val="style179"/>
        <w:numPr>
          <w:ilvl w:val="0"/>
          <w:numId w:val="1"/>
        </w:numPr>
        <w:spacing w:after="60"/>
        <w:rPr/>
      </w:pPr>
      <w:r>
        <w:rPr>
          <w:rFonts w:ascii="Calibri" w:cs="Calibri" w:eastAsia="Calibri" w:hAnsi="Calibri"/>
          <w:color w:val="2b2b2b"/>
          <w:sz w:val="21"/>
          <w:szCs w:val="21"/>
        </w:rPr>
        <w:t>BGD e-GOV CIRT — official site and Wikipedia entry</w:t>
      </w:r>
    </w:p>
    <w:p w14:paraId="4F734059">
      <w:pPr>
        <w:pStyle w:val="style179"/>
        <w:numPr>
          <w:ilvl w:val="0"/>
          <w:numId w:val="1"/>
        </w:numPr>
        <w:spacing w:after="60"/>
        <w:rPr/>
      </w:pPr>
      <w:r>
        <w:rPr>
          <w:rFonts w:ascii="Calibri" w:cs="Calibri" w:eastAsia="Calibri" w:hAnsi="Calibri"/>
          <w:color w:val="2b2b2b"/>
          <w:sz w:val="21"/>
          <w:szCs w:val="21"/>
        </w:rPr>
        <w:t>CT-Cyber Crime Investigation (CTTC), Dhaka Metropolitan Police</w:t>
      </w:r>
    </w:p>
    <w:p w14:paraId="1E2525A8">
      <w:pPr>
        <w:pStyle w:val="style179"/>
        <w:numPr>
          <w:ilvl w:val="0"/>
          <w:numId w:val="1"/>
        </w:numPr>
        <w:spacing w:after="60"/>
        <w:rPr/>
      </w:pPr>
      <w:r>
        <w:rPr>
          <w:rFonts w:ascii="Calibri" w:cs="Calibri" w:eastAsia="Calibri" w:hAnsi="Calibri"/>
          <w:color w:val="2b2b2b"/>
          <w:sz w:val="21"/>
          <w:szCs w:val="21"/>
        </w:rPr>
        <w:t>Cyber Security (Amendment) Bill 2026 coverage — Dhaka Tribune, The Business Standard</w:t>
      </w:r>
    </w:p>
    <w:p w14:paraId="69A4FA40">
      <w:pPr>
        <w:pStyle w:val="style179"/>
        <w:numPr>
          <w:ilvl w:val="0"/>
          <w:numId w:val="1"/>
        </w:numPr>
        <w:spacing w:after="60"/>
        <w:rPr/>
      </w:pPr>
      <w:r>
        <w:rPr>
          <w:rFonts w:ascii="Calibri" w:cs="Calibri" w:eastAsia="Calibri" w:hAnsi="Calibri"/>
          <w:color w:val="2b2b2b"/>
          <w:sz w:val="21"/>
          <w:szCs w:val="21"/>
        </w:rPr>
        <w:t>Bangladesh Personal Data Protection Act 2026 — DataGuidance</w:t>
      </w:r>
    </w:p>
    <w:p w14:paraId="C0FB7FAC">
      <w:pPr>
        <w:pStyle w:val="style179"/>
        <w:numPr>
          <w:ilvl w:val="0"/>
          <w:numId w:val="1"/>
        </w:numPr>
        <w:spacing w:after="60"/>
        <w:rPr/>
      </w:pPr>
      <w:r>
        <w:rPr>
          <w:rFonts w:ascii="Calibri" w:cs="Calibri" w:eastAsia="Calibri" w:hAnsi="Calibri"/>
          <w:color w:val="2b2b2b"/>
          <w:sz w:val="21"/>
          <w:szCs w:val="21"/>
        </w:rPr>
        <w:t>CyberPeace Foundation (India) — official site and Wikipedia entry</w:t>
      </w:r>
    </w:p>
    <w:sectPr>
      <w:pgSz w:w="11906" w:h="16838" w:orient="portrait"/>
      <w:pgMar w:top="900" w:right="1080" w:bottom="900" w:left="108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340" w:hanging="220"/>
      </w:pPr>
    </w:lvl>
  </w:abstractNum>
  <w:abstractNum w:abstractNumId="2">
    <w:nsid w:val="00000002"/>
    <w:multiLevelType w:val="hybridMultilevel"/>
    <w:tmpl w:val="FFFFFFFF"/>
    <w:lvl w:ilvl="0" w:tentative="1">
      <w:start w:val="1"/>
      <w:numFmt w:val="bullet"/>
      <w:lvlText w:val="–"/>
      <w:lvlJc w:val="left"/>
      <w:pPr>
        <w:ind w:left="300" w:hanging="20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f8906f0a-4aed-4a5b-8248-94a34c8a4a2f"/>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2463</Words>
  <Characters>13325</Characters>
  <Application>WPS Office</Application>
  <Paragraphs>183</Paragraphs>
  <CharactersWithSpaces>15671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2026-07-01T07:12:47Z</dcterms:created>
  <dc:creator>Un-named</dc:creator>
  <lastModifiedBy>SM-S721B</lastModifiedBy>
  <dcterms:modified xsi:type="dcterms:W3CDTF">2026-07-01T07:12:47Z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07628ed5b63b4488b22f4a2eb39443ea</vt:lpwstr>
  </property>
</Properties>
</file>