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31"/>
          <w:szCs w:val="31"/>
        </w:rPr>
        <w:t xml:space="preserve">SecureSpeak — System Architecture Overview</w:t>
      </w:r>
    </w:p>
    <w:p>
      <w:pPr>
        <w:spacing w:after="2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Technical brief for Dr. Nova Ahmed  ·  Paper 1 (ACM DTRAP)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17"/>
          <w:szCs w:val="17"/>
        </w:rPr>
        <w:t xml:space="preserve">Khondokar Sajid · Abdul Alim Rakib · Nova Ahmed — ECE, North South University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 one line: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SecureSpeak is a layered, on-device system that detects phishing and smishing fraud aimed at Bangladeshi Mobile Financial Service (MFS) users, and turns each detection into a plain-language bilingual warning. Three independent detectors feed one lightweight decision layer.</w:t>
      </w:r>
    </w:p>
    <w:p>
      <w:pPr>
        <w:spacing w:after="100" w:before="23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Architecture at a glance</w:t>
      </w:r>
    </w:p>
    <w:p>
      <w:pPr>
        <w:spacing w:after="60" w:before="40"/>
        <w:jc w:val="center"/>
      </w:pPr>
      <w:r>
        <w:drawing>
          <wp:inline distT="0" distB="0" distL="0" distR="0">
            <wp:extent cx="4953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Figure 1. Three detectors (URL, SMS, network) feed a context-aware decision layer that outputs SAFE / UNSURE / DANGER and a bilingual, low-literacy warning.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Design philosophy: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detectors are deliberately heterogeneous — a tree model for URLs, a sentence-embedding classifier for SMS, a flow model for network traffic — because the three signals behave differently and matter in different contexts. The decision layer is intentionally simple and interpretable, not a black-box fusion model, so every warning can name the specific reason a message is dangerous.</w:t>
      </w:r>
    </w:p>
    <w:p>
      <w:pPr>
        <w:spacing w:after="100" w:before="23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The four components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pct" w:w="48%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How it works</w:t>
            </w:r>
          </w:p>
        </w:tc>
        <w:tc>
          <w:tcPr>
            <w:tcW w:type="pct" w:w="32%"/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pct" w:w="20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1. URL Phishing Detector</w:t>
            </w:r>
          </w:p>
        </w:tc>
        <w:tc>
          <w:tcPr>
            <w:tcW w:type="pct" w:w="48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26 engineered features from the URL string (lexical, domain-risk, entropy, MFS-brand tokens) → RandomForest (300 trees). SHAP gives per-decision reasons.</w:t>
            </w:r>
          </w:p>
        </w:tc>
        <w:tc>
          <w:tcPr>
            <w:tcW w:type="pct" w:w="32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99.19% acc / 0.9976 AUC (domain-disjoint split). Transfers to an independent corpus at 99.61%.</w:t>
            </w:r>
          </w:p>
        </w:tc>
      </w:tr>
      <w:tr>
        <w:tc>
          <w:tcPr>
            <w:tcW w:type="pct" w:w="20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2. Smishing Detector</w:t>
            </w:r>
          </w:p>
        </w:tc>
        <w:tc>
          <w:tcPr>
            <w:tcW w:type="pct" w:w="48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MiniLM-L12 multilingual embeddings (Bangla-capable, cheap on-device) + 6 urgency features → logistic regression.</w:t>
            </w:r>
          </w:p>
        </w:tc>
        <w:tc>
          <w:tcPr>
            <w:tcW w:type="pct" w:w="32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95.76% acc (near-duplicate-disjoint split). FNR improves to 1.11% under the strict split.</w:t>
            </w:r>
          </w:p>
        </w:tc>
      </w:tr>
      <w:tr>
        <w:tc>
          <w:tcPr>
            <w:tcW w:type="pct" w:w="20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3. Network Anomaly Detector</w:t>
            </w:r>
          </w:p>
        </w:tc>
        <w:tc>
          <w:tcPr>
            <w:tcW w:type="pct" w:w="48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RandomForest on flow records, with an entire malware family (SCAREWARE) withheld from training to test unseen-threat detection. A conservative supporting signal, not a primary defence.</w:t>
            </w:r>
          </w:p>
        </w:tc>
        <w:tc>
          <w:tcPr>
            <w:tcW w:type="pct" w:w="32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79.84% (honest family-holdout number). Its ceiling on truly novel malware is reported openly (AUC 0.513).</w:t>
            </w:r>
          </w:p>
        </w:tc>
      </w:tr>
      <w:tr>
        <w:tc>
          <w:tcPr>
            <w:tcW w:type="pct" w:w="20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7"/>
                <w:szCs w:val="17"/>
              </w:rPr>
              <w:t xml:space="preserve">4. Decision Layer</w:t>
            </w:r>
          </w:p>
        </w:tc>
        <w:tc>
          <w:tcPr>
            <w:tcW w:type="pct" w:w="48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Combines the three scores with two context cues (app trust, destination port). Maps to SAFE / UNSURE / DANGER. Rule-based → interpretable + updatable without retraining.</w:t>
            </w:r>
          </w:p>
        </w:tc>
        <w:tc>
          <w:tcPr>
            <w:tcW w:type="pct" w:w="32%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Emits a bilingual (Bangla/English), low-literacy warning that names the specific threat.</w:t>
            </w:r>
          </w:p>
        </w:tc>
      </w:tr>
    </w:tbl>
    <w:p>
      <w:pPr>
        <w:spacing w:after="100" w:before="23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How a message flows through the system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user receives an SMS with a link (e.g., a fake bKash prize message).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SMS text goes to the Smishing Detector; the link goes to the URL Detector; if an app was installed, its traffic is watched by the Network Detector.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Each detector outputs a risk score. The Decision Layer combines them with app-trust and port context.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4.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If dangerous, the user sees a specific bilingual warning — e.g., "This link uses a free .tk site and pretends to be bKash. Real bKash never sends links like this."</w:t>
      </w:r>
    </w:p>
    <w:p>
      <w:pPr>
        <w:spacing w:after="100" w:before="23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The key scientific contribution (what makes it publishable)</w:t>
      </w:r>
    </w:p>
    <w:p>
      <w:pPr>
        <w:spacing w:after="110" w:before="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The strongest result is not the detectors — it is an honest evaluation finding.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We audited the public datasets and found the MFS-targeted attacks the system is built for are almost absent from them: only 6 MFS-brand URLs in 29,794 test URLs, and the Bangla SMS benchmark is 56.5% exact duplicates. So the field currently cannot properly evaluate defences against this threat. We report this openly, and it is the paper’s most citable contribution.</w:t>
      </w:r>
    </w:p>
    <w:p>
      <w:pPr>
        <w:pStyle w:val="ListParagraph"/>
        <w:numPr>
          <w:ilvl w:val="0"/>
          <w:numId w:val="1"/>
        </w:numPr>
        <w:spacing w:after="6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Evaluation integrity: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every text detector is tested under both a normal random split and a leakage-controlled grouped split; we report both.</w:t>
      </w:r>
    </w:p>
    <w:p>
      <w:pPr>
        <w:pStyle w:val="ListParagraph"/>
        <w:numPr>
          <w:ilvl w:val="0"/>
          <w:numId w:val="1"/>
        </w:numPr>
        <w:spacing w:after="6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Honest negatives: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MFS-specific features show no measurable benefit on current data — because the data lacks the attacks — and we say so rather than hiding it.</w:t>
      </w:r>
    </w:p>
    <w:p>
      <w:pPr>
        <w:pStyle w:val="ListParagraph"/>
        <w:numPr>
          <w:ilvl w:val="0"/>
          <w:numId w:val="1"/>
        </w:numPr>
        <w:spacing w:after="60" w:line="262"/>
        <w:jc w:val="both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On-device: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URL check ~85 ms, SMS ~44 ms; full pipeline under 160 MB after int8 quantization — deployable on a mid-range phone.</w:t>
      </w:r>
    </w:p>
    <w:p>
      <w:pPr>
        <w:spacing w:after="100" w:before="23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Talking points for the meeting</w:t>
      </w:r>
    </w:p>
    <w:p>
      <w:pPr>
        <w:pStyle w:val="ListParagraph"/>
        <w:numPr>
          <w:ilvl w:val="0"/>
          <w:numId w:val="1"/>
        </w:numPr>
        <w:spacing w:after="60" w:line="262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Paper 1 is complete and formatted for ACM DTRAP (Elsevier version also ready for Cyber Security and Applications).</w:t>
      </w:r>
    </w:p>
    <w:p>
      <w:pPr>
        <w:pStyle w:val="ListParagraph"/>
        <w:numPr>
          <w:ilvl w:val="0"/>
          <w:numId w:val="1"/>
        </w:numPr>
        <w:spacing w:after="60" w:line="262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number is real and reproducible — no fabricated or placeholder results anywhere.</w:t>
      </w:r>
    </w:p>
    <w:p>
      <w:pPr>
        <w:pStyle w:val="ListParagraph"/>
        <w:numPr>
          <w:ilvl w:val="0"/>
          <w:numId w:val="1"/>
        </w:numPr>
        <w:spacing w:after="60" w:line="262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Paper 2 (the human study on whether these warnings actually help vulnerable users) is designed and the ethics application is drafted — ready to discuss.</w:t>
      </w:r>
    </w:p>
    <w:p>
      <w:pPr>
        <w:pStyle w:val="ListParagraph"/>
        <w:numPr>
          <w:ilvl w:val="0"/>
          <w:numId w:val="1"/>
        </w:numPr>
        <w:spacing w:after="60" w:line="262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Questions for you: feedback on Paper 1; the two-paper split; how you’d like to be credited; and NSU’s ethics process + timeline for the Paper 2 study.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659fc1475c25d796bb1b1e16d2dc2d127e49821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Overview</dc:title>
  <dc:creator>SecureSpeak</dc:creator>
  <cp:lastModifiedBy>Un-named</cp:lastModifiedBy>
  <cp:revision>1</cp:revision>
  <dcterms:created xsi:type="dcterms:W3CDTF">2026-08-02T05:23:59.795Z</dcterms:created>
  <dcterms:modified xsi:type="dcterms:W3CDTF">2026-08-02T05:23:59.814Z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