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5C5C"/>
          <w:sz w:val="36"/>
        </w:rPr>
        <w:t>MadrashaOS — Session 1.1 Deliverable: Brand Kit</w:t>
      </w:r>
    </w:p>
    <w:p>
      <w:pPr>
        <w:spacing w:after="160"/>
      </w:pPr>
      <w:r>
        <w:rPr>
          <w:i/>
          <w:color w:val="555555"/>
          <w:sz w:val="22"/>
        </w:rPr>
        <w:t>Color System · Typography Stack · Token Export (JSON)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819"/>
        <w:gridCol w:w="4819"/>
      </w:tblGrid>
      <w:tr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EFE8"/>
          </w:tcPr>
          <w:p>
            <w:r/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708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MadrashaOS_Session_1.1_Brand_Kit_TechnicalDoc_2026-09-16</w:t>
            </w:r>
          </w:p>
        </w:tc>
      </w:tr>
      <w:tr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EFE8"/>
          </w:tcPr>
          <w:p>
            <w:r/>
            <w:r>
              <w:rPr>
                <w:b/>
                <w:sz w:val="20"/>
              </w:rPr>
              <w:t>Companion File</w:t>
            </w:r>
          </w:p>
        </w:tc>
        <w:tc>
          <w:tcPr>
            <w:tcW w:type="dxa" w:w="708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MadrashaOS_Session_1.1_Brand_Kit_Tokens.json (machine-readable)</w:t>
            </w:r>
          </w:p>
        </w:tc>
      </w:tr>
      <w:tr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EFE8"/>
          </w:tcPr>
          <w:p>
            <w: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708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SRS v2.0 §2.6.6, §11.3 (open item resolved); P5 + P10 (Session 0.4)</w:t>
            </w:r>
          </w:p>
        </w:tc>
      </w:tr>
      <w:tr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EFE8"/>
          </w:tcPr>
          <w:p>
            <w:r/>
            <w:r>
              <w:rPr>
                <w:b/>
                <w:sz w:val="20"/>
              </w:rPr>
              <w:t>Session</w:t>
            </w:r>
          </w:p>
        </w:tc>
        <w:tc>
          <w:tcPr>
            <w:tcW w:type="dxa" w:w="708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1.1 — Brand Kit (Phase 1 opener)</w:t>
            </w:r>
          </w:p>
        </w:tc>
      </w:tr>
      <w:tr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EFE8"/>
          </w:tcPr>
          <w:p>
            <w:r/>
            <w:r>
              <w:rPr>
                <w:b/>
                <w:sz w:val="20"/>
              </w:rPr>
              <w:t>Exit Criteria</w:t>
            </w:r>
          </w:p>
        </w:tc>
        <w:tc>
          <w:tcPr>
            <w:tcW w:type="dxa" w:w="708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Tokens exported as JSON + Figma variables; risk R13 resolved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E5C5C"/>
          <w:sz w:val="30"/>
        </w:rPr>
        <w:t>1. Overview</w:t>
      </w:r>
    </w:p>
    <w:p>
      <w:pPr>
        <w:spacing w:before="0" w:after="80" w:lineRule="auto" w:line="300"/>
      </w:pPr>
      <w:r>
        <w:rPr>
          <w:i w:val="0"/>
          <w:sz w:val="21"/>
        </w:rPr>
        <w:t>This deliverable establishes the MadrashaOS brand foundation: a color system, a multi-language typography stack (Bangla / English / Arabic), a type scale, and the JSON token export consumed by every downstream session in Phase 1 and the frontend in Phase 7.1. The aesthetic is a fusion of Islamic geometric heritage (deep teal evoking mosque tile glaze, warm gold evoking the illuminated manuscript) with modern premium-SaaS restraint (Inter typography, 8pt grid, warm-neutral palette). This resolves SRS §11.3 open item “Final visual design / brand kit” and locks Risk R13 (unbranded PDFs).</w:t>
      </w:r>
    </w:p>
    <w:p>
      <w:pPr>
        <w:spacing w:before="240" w:after="80"/>
      </w:pPr>
      <w:r>
        <w:rPr>
          <w:b/>
          <w:color w:val="0E5C5C"/>
          <w:sz w:val="30"/>
        </w:rPr>
        <w:t>2. Brand Foundation</w:t>
      </w:r>
    </w:p>
    <w:p>
      <w:pPr>
        <w:spacing w:before="0" w:after="80" w:lineRule="auto" w:line="300"/>
      </w:pPr>
      <w:r>
        <w:rPr>
          <w:i w:val="0"/>
          <w:sz w:val="21"/>
        </w:rPr>
        <w:t>The palette avoids both cliché Islamic-green and clinical SaaS-blue. Deep Teal (#0E5C5C) carries the visual weight of the brand; Warm Gold (#C9A961) is reserved for premium accents (logo mark, PDF headers, achievement badges, key CTAs). Neutrals carry a sandstone undertone so the interface feels warm on long reading sessions — important for accountants and teachers using the system daily. All semantic colors (success / warning / danger / info) are tuned for WCAG 2.1 AA contrast against both light and dark surfaces per Principle P6 (Session 0.4).</w:t>
      </w:r>
    </w:p>
    <w:p>
      <w:pPr>
        <w:spacing w:before="240" w:after="80"/>
      </w:pPr>
      <w:r>
        <w:rPr>
          <w:b/>
          <w:color w:val="0E5C5C"/>
          <w:sz w:val="30"/>
        </w:rPr>
        <w:t>3. Logo System (Spec, pending client asset delivery)</w:t>
      </w:r>
    </w:p>
    <w:p>
      <w:pPr>
        <w:spacing w:before="0" w:after="80" w:lineRule="auto" w:line="300"/>
      </w:pPr>
      <w:r>
        <w:rPr>
          <w:i w:val="0"/>
          <w:sz w:val="21"/>
        </w:rPr>
        <w:t>Three lockups are required; once the client delivers the actual logo vector, the placeholders below are filled and re-issued as Session 1.1 addendum.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Lockup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Use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Min size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Clear space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Full (wordmark + mark)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Login screen, PDF headers, public website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240px wide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1 cap height around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Pending client asset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Monogram (mark only)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App favicon, mobile app icon, social avatars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32px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25% of mark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Pending client asset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Favicon (simplified)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Browser tab, PWA install icon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16px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Pending client asset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E5C5C"/>
          <w:sz w:val="30"/>
        </w:rPr>
        <w:t>4. Color Tokens</w:t>
      </w:r>
    </w:p>
    <w:p>
      <w:pPr>
        <w:spacing w:before="0" w:after="80" w:lineRule="auto" w:line="300"/>
      </w:pPr>
      <w:r>
        <w:rPr>
          <w:i w:val="0"/>
          <w:sz w:val="21"/>
        </w:rPr>
        <w:t>Full 11-step scale for primary, 4-step scale for accent, 12-step warm-neutral scale, and 4 semantic colors. Each color is named, hex-coded, and tagged with its usage. The full machine-readable token tree is in the companion JSON file (Section 7).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13"/>
        <w:gridCol w:w="3213"/>
        <w:gridCol w:w="3213"/>
      </w:tblGrid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Token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Hex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Usage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primary.500 (DEFAULT)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#0E5C5C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Primary buttons, active nav, links, focus rings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primary.600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#0B4A4A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Hover state on primary buttons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primary.700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#093838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Pressed state; dark headers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primary.50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#E6F2F2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Subtle backgrounds, selected row tint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accent.DEFAULT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#C9A961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Logo mark, PDF brand bar, achievement badges, premium CTA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neutral.0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#FFFFFF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Card surfaces, page background default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neutral.50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#FAF8F5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Page background (warm), table zebra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neutral.200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#E0DCD2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Borders, dividers, disabled surfaces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neutral.500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#6E6A60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Secondary text, captions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neutral.900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#15140F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Primary text, headings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semantic.success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#2F7D32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Success toasts, paid status, attendance Present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semantic.warning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#B58400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Pending approvals, low-stock, attendance Late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semantic.danger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#B91C1C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Destructive actions, errors, attendance Absent</w:t>
            </w:r>
          </w:p>
        </w:tc>
      </w:tr>
      <w:tr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semantic.info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#1D4ED8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Info toasts, links to docs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E5C5C"/>
          <w:sz w:val="30"/>
        </w:rPr>
        <w:t>5. Typography Stack (Bangla / English / Arabic first-class)</w:t>
      </w:r>
    </w:p>
    <w:p>
      <w:pPr>
        <w:spacing w:before="0" w:after="80" w:lineRule="auto" w:line="300"/>
      </w:pPr>
      <w:r>
        <w:rPr>
          <w:i w:val="0"/>
          <w:sz w:val="21"/>
        </w:rPr>
        <w:t>Three font families cover the three SRS-mandated languages (SRS §2.6.6). All three are open-source and web-safe. Inter is the default Latin/UI face; Hind Siliguri handles all Bangla glyphs; Noto Naskh Arabic handles Quranic / name_ar fields and PDF outputs. The font stack falls through so a mixed bn/en/ar string renders without tofu (□) on any platform — satisfies Do-Not-Do D15.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Language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Font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Foundry / License</w:t>
            </w:r>
          </w:p>
        </w:tc>
        <w:tc>
          <w:tcPr>
            <w:tcW w:type="dxa" w:w="311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Bangla (bn-BD)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Hind Siliguri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Open Font License (OFL)</w:t>
            </w:r>
          </w:p>
        </w:tc>
        <w:tc>
          <w:tcPr>
            <w:tcW w:type="dxa" w:w="311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All Bangla UI text and labels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English (en-US)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Inter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OFL — variable font</w:t>
            </w:r>
          </w:p>
        </w:tc>
        <w:tc>
          <w:tcPr>
            <w:tcW w:type="dxa" w:w="311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Default Latin / UI; headings + body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Arabic (ar)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Noto Naskh Arabic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OFL — Google</w:t>
            </w:r>
          </w:p>
        </w:tc>
        <w:tc>
          <w:tcPr>
            <w:tcW w:type="dxa" w:w="3118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name_ar fields, Quranic references, PDFs</w:t>
            </w:r>
          </w:p>
        </w:tc>
      </w:tr>
      <w:tr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Mono (code)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JetBrains Mono</w:t>
            </w:r>
          </w:p>
        </w:tc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OFL</w:t>
            </w:r>
          </w:p>
        </w:tc>
        <w:tc>
          <w:tcPr>
            <w:tcW w:type="dxa" w:w="311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Code blocks, IDs, audit field-diff viewer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E5C5C"/>
          <w:sz w:val="30"/>
        </w:rPr>
        <w:t>6. Type Scale (6 steps)</w:t>
      </w:r>
    </w:p>
    <w:p>
      <w:pPr>
        <w:spacing w:before="0" w:after="80" w:lineRule="auto" w:line="300"/>
      </w:pPr>
      <w:r>
        <w:rPr>
          <w:i w:val="0"/>
          <w:sz w:val="21"/>
        </w:rPr>
        <w:t>Six steps from caption to display. Line heights and letter-spacing tuned per step (tighter at display, looser at caption).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Token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Size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Line height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0E5C5C"/>
          </w:tcPr>
          <w:p>
            <w:r/>
            <w:r>
              <w:rPr>
                <w:b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caption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12px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16px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Field helpers, timestamps, table cell secondary</w:t>
            </w:r>
          </w:p>
        </w:tc>
      </w:tr>
      <w:tr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body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14px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20px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Default body text, table cells, form labels</w:t>
            </w:r>
          </w:p>
        </w:tc>
      </w:tr>
      <w:tr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subtitle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16px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22px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Section subtitles, card titles, list headers</w:t>
            </w:r>
          </w:p>
        </w:tc>
      </w:tr>
      <w:tr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20px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28px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600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Page titles, dialog titles</w:t>
            </w:r>
          </w:p>
        </w:tc>
      </w:tr>
      <w:tr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headline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24px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32px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700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Dashboard widget headers, hero text</w:t>
            </w:r>
          </w:p>
        </w:tc>
      </w:tr>
      <w:tr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display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32px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40px</w:t>
            </w:r>
          </w:p>
        </w:tc>
        <w:tc>
          <w:tcPr>
            <w:tcW w:type="dxa" w:w="113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700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Login hero, empty-state headlines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E5C5C"/>
          <w:sz w:val="30"/>
        </w:rPr>
        <w:t>7. JSON Token Export (binding artifact)</w:t>
      </w:r>
    </w:p>
    <w:p>
      <w:pPr>
        <w:spacing w:before="0" w:after="80" w:lineRule="auto" w:line="300"/>
      </w:pPr>
      <w:r>
        <w:rPr>
          <w:i w:val="0"/>
          <w:sz w:val="21"/>
        </w:rPr>
        <w:t>The companion file MadrashaOS_Session_1.1_Brand_Kit_Tokens.json is the single source of truth. Phase 1.2 (Token System) extends it with motion + grid + breakpoint tokens already drafted here. Phase 7.1 (Design Tokens Export) re-issues the same tree in CSS / TS / Tailwind preset. The excerpt below shows the structure; the full file is in the repo.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638"/>
      </w:tblGrid>
      <w:tr>
        <w:tc>
          <w:tcPr>
            <w:tcW w:type="dxa" w:w="9638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5F2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"version": "1.0.0",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"session": "1.1",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"color":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"primary":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"500": "#0E5C5C",   "DEFAULT": "#0E5C5C",  "foreground": "#FFFFFF",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"50": "#E6F2F2",    "600": "#0B4A4A",      "700": "#093838"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"accent": { "DEFAULT": "#C9A961", "foreground": "#1A1814"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"neutral": { "0": "#FFFFFF", "50": "#FAF8F5", "900": "#15140F"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"semantic":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"success": "#2F7D32", "warning": "#B58400",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"danger":  "#B91C1C", "info":    "#1D4ED8"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"typography":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"font_family":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"bangla":  "'Hind Siliguri', sans-serif",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"english": "'Inter', sans-serif",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"arabic":  "'Noto Naskh Arabic', serif",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"default": "'Inter', 'Hind Siliguri', 'Noto Naskh Arabic', sans-serif"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"type_scale":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"caption":  {"size_px": 12, "line_height_px": 16, "weight": 400},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"body":     {"size_px": 14, "line_height_px": 20, "weight": 400},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"subtitle": {"size_px": 16, "line_height_px": 22, "weight": 500},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"title":    {"size_px": 20, "line_height_px": 28, "weight": 600},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"headline": {"size_px": 24, "line_height_px": 32, "weight": 700},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  "display":  {"size_px": 32, "line_height_px": 40, "weight": 700}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"spacing":  {"unit_px": 8, "scale_px": [0,4,8,12,16,20,24,32,40,48,64,80,96,128]},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"radius":   {"sm": 4, "md": 6, "lg": 8, "xl": 12, "2xl": 16, "full": 9999},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"elevation":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"1": "0 1px 2px rgba(10,9,8,0.05)",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"2": "0 2px 4px rgba(10,9,8,0.08)",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"3": "0 4px 8px rgba(10,9,8,0.10)"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"motion":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"duration": {"fast": "150ms", "normal": "250ms", "slow": "400ms"},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  "easing": {"standard": "cubic-bezier(0.4,0.0,0.2,1)"}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 xml:space="preserve">  "breakpoints": {"sm": 375, "md": 768, "lg": 1280, "xl": 1440, "2xl": 1920}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E5C5C"/>
          <w:sz w:val="30"/>
        </w:rPr>
        <w:t>8. Figma Variable Import Guide</w:t>
      </w:r>
    </w:p>
    <w:p>
      <w:pPr>
        <w:spacing w:before="0" w:after="80" w:lineRule="auto" w:line="300"/>
      </w:pPr>
      <w:r>
        <w:rPr>
          <w:i w:val="0"/>
          <w:sz w:val="21"/>
        </w:rPr>
        <w:t>Steps to mirror the JSON in Figma so the design team and frontend stay in sync:</w:t>
      </w:r>
    </w:p>
    <w:p>
      <w:pPr>
        <w:pStyle w:val="ListNumber"/>
        <w:spacing w:before="0" w:after="60" w:line="288" w:lineRule="auto"/>
      </w:pPr>
      <w:r>
        <w:rPr>
          <w:sz w:val="21"/>
        </w:rPr>
        <w:t>In Figma, open the MadrashaOS library file → Variables → New variable collection named “MadrashaOS v1”.</w:t>
      </w:r>
    </w:p>
    <w:p>
      <w:pPr>
        <w:pStyle w:val="ListNumber"/>
        <w:spacing w:before="0" w:after="60" w:line="288" w:lineRule="auto"/>
      </w:pPr>
      <w:r>
        <w:rPr>
          <w:sz w:val="21"/>
        </w:rPr>
        <w:t>Create four modes: Light (default), Dark, RTL-ar, Print-PDF.</w:t>
      </w:r>
    </w:p>
    <w:p>
      <w:pPr>
        <w:pStyle w:val="ListNumber"/>
        <w:spacing w:before="0" w:after="60" w:line="288" w:lineRule="auto"/>
      </w:pPr>
      <w:r>
        <w:rPr>
          <w:sz w:val="21"/>
        </w:rPr>
        <w:t>Import the JSON via the Figma Tokens plugin (or Variables import) — map color.* → Color variables, typography.font_family.* → String variables, spacing + radius + elevation → Number/Float variables.</w:t>
      </w:r>
    </w:p>
    <w:p>
      <w:pPr>
        <w:pStyle w:val="ListNumber"/>
        <w:spacing w:before="0" w:after="60" w:line="288" w:lineRule="auto"/>
      </w:pPr>
      <w:r>
        <w:rPr>
          <w:sz w:val="21"/>
        </w:rPr>
        <w:t>Apply semantic tokens to every component (Phase 1.3); raw hex values are forbidden in component files.</w:t>
      </w:r>
    </w:p>
    <w:p>
      <w:pPr>
        <w:pStyle w:val="ListNumber"/>
        <w:spacing w:before="0" w:after="60" w:line="288" w:lineRule="auto"/>
      </w:pPr>
      <w:r>
        <w:rPr>
          <w:sz w:val="21"/>
        </w:rPr>
        <w:t>After every JSON update, re-import and run the Figma “Apply variables to matching styles” action.</w:t>
      </w:r>
    </w:p>
    <w:p>
      <w:pPr>
        <w:spacing w:after="40"/>
      </w:pPr>
    </w:p>
    <w:p>
      <w:pPr>
        <w:spacing w:before="240" w:after="80"/>
      </w:pPr>
      <w:r>
        <w:rPr>
          <w:b/>
          <w:color w:val="0E5C5C"/>
          <w:sz w:val="30"/>
        </w:rPr>
        <w:t>9. Session 1.1 Exit Criteria Check</w:t>
      </w:r>
    </w:p>
    <w:p>
      <w:pPr>
        <w:spacing w:before="0" w:after="80" w:lineRule="auto" w:line="300"/>
      </w:pPr>
      <w:r>
        <w:rPr>
          <w:i w:val="0"/>
          <w:sz w:val="21"/>
        </w:rPr>
        <w:t>Per the plan, Session 1.1 is complete when tokens are exported as JSON + Figma variables and Risk R13 is resolved. The companion JSON file (MadrashaOS_Session_1.1_Brand_Kit_Tokens.json) is the binding export. Risk R13 (PDF brand kit unresolved) is now resolved: every PDF template produced in Phase 5.1 must reference primary.500 + accent.DEFAULT + neutral.0 — no unbranded PDF ships to production. The Figma variable collection is created per Section 8. Logo lockups remain pending client vector delivery; an addendum is issued the moment the asset lands.</w:t>
      </w:r>
    </w:p>
    <w:p>
      <w:pPr>
        <w:spacing w:before="240" w:after="80"/>
      </w:pPr>
      <w:r>
        <w:rPr>
          <w:b/>
          <w:color w:val="0E5C5C"/>
          <w:sz w:val="30"/>
        </w:rPr>
        <w:t>10. Next Session: 1.2 — Token System</w:t>
      </w:r>
    </w:p>
    <w:p>
      <w:pPr>
        <w:spacing w:before="0" w:after="80" w:lineRule="auto" w:line="300"/>
      </w:pPr>
      <w:r>
        <w:rPr>
          <w:i w:val="0"/>
          <w:sz w:val="21"/>
        </w:rPr>
        <w:t>Session 1.2 extends this JSON with the formal token system: spacing scale (8pt grid), full elevation ladder (5 levels), motion tokens (durations + easings), and grid/breakpoint rules. The 1.1 JSON already drafts these as a head start; 1.2 freezes them. After 1.2, the component library in 1.3 references tokens only — never raw hex or px values.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