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5C5C"/>
          <w:sz w:val="36"/>
        </w:rPr>
        <w:t>MadrashaOS — Session 1.3 Deliverable: Component Library v0</w:t>
      </w:r>
    </w:p>
    <w:p>
      <w:pPr>
        <w:spacing w:after="160"/>
      </w:pPr>
      <w:r>
        <w:rPr>
          <w:i/>
          <w:color w:val="555555"/>
          <w:sz w:val="22"/>
        </w:rPr>
        <w:t>30 Atomic Components · Variants · 5 Standard States · A11y Contracts · Token References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399"/>
        <w:gridCol w:w="7399"/>
      </w:tblGrid>
      <w:tr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EFE8"/>
          </w:tcPr>
          <w:p>
            <w:r/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MadrashaOS_Session_1.3_Component_Library_TechnicalDoc_2026-09-16</w:t>
            </w:r>
          </w:p>
        </w:tc>
      </w:tr>
      <w:tr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EFE8"/>
          </w:tcPr>
          <w:p>
            <w:r/>
            <w:r>
              <w:rPr>
                <w:b/>
                <w:sz w:val="20"/>
              </w:rPr>
              <w:t>Source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SRS §5.2 design system; Sessions 1.1 (Brand Kit) + 1.2 (Token System FROZEN)</w:t>
            </w:r>
          </w:p>
        </w:tc>
      </w:tr>
      <w:tr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EFE8"/>
          </w:tcPr>
          <w:p>
            <w:r/>
            <w:r>
              <w:rPr>
                <w:b/>
                <w:sz w:val="20"/>
              </w:rPr>
              <w:t>Session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1.3 — Component Library v0</w:t>
            </w:r>
          </w:p>
        </w:tc>
      </w:tr>
      <w:tr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EFE8"/>
          </w:tcPr>
          <w:p>
            <w:r/>
            <w:r>
              <w:rPr>
                <w:b/>
                <w:sz w:val="20"/>
              </w:rPr>
              <w:t>Phase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1 — Design System Foundation</w:t>
            </w:r>
          </w:p>
        </w:tc>
      </w:tr>
      <w:tr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EFE8"/>
          </w:tcPr>
          <w:p>
            <w:r/>
            <w:r>
              <w:rPr>
                <w:b/>
                <w:sz w:val="20"/>
              </w:rPr>
              <w:t>Exit Criteria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Component spec sheet (props, states, variants) ready for frontend; A1–A8 audit gate passed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E5C5C"/>
          <w:sz w:val="30"/>
        </w:rPr>
        <w:t>1. Overview</w:t>
      </w:r>
    </w:p>
    <w:p>
      <w:pPr>
        <w:spacing w:before="0" w:after="80" w:lineRule="auto" w:line="300"/>
      </w:pPr>
      <w:r>
        <w:rPr>
          <w:i w:val="0"/>
          <w:sz w:val="21"/>
        </w:rPr>
        <w:t>This deliverable specifies the 30 atomic components used across every module in SRS Part 2. Each component is paired with its variant list, the 5 standard states, its accessibility role, and a binding reference to the frozen tokens from Session 1.2. Per the consumption rules R-T1 to R-T10, components reference tokens only — raw hex or px values are forbidden in the library. Every component must pass the 8-point token audit (A1–A8) before it merges. The spec sheet is the binding handoff for the frontend developer in Phase 7.2.</w:t>
      </w:r>
    </w:p>
    <w:p>
      <w:pPr>
        <w:spacing w:before="240" w:after="80"/>
      </w:pPr>
      <w:r>
        <w:rPr>
          <w:b/>
          <w:color w:val="0E5C5C"/>
          <w:sz w:val="30"/>
        </w:rPr>
        <w:t>2. Component Inventory (30 components)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Variants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A11y Role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8"/>
              </w:rPr>
              <w:t>Used in (key modules)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Button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Action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primary / secondary / ghost / danger × sm/md/lg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button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All modules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ButtonGroup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Action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segmented / joined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group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Filters, dashboards, bulk actions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IconButton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Action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default / ghost / danger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button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Tables, cards, nav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TextInput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Form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text / password / search; helper / error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textbox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All forms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NumberInput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Form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with stepper / plain; min/max validation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spinbutton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Fees, marks, qty, balances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DateInput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Form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date / datetime; Bangla calendar toggle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combobox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Attendance, fees, exams, reports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Select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Form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single / multi / searchable / async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combobox / listbox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Branch, class, student, account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Textarea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Form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autoresize / fixed; char counter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textbox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Narrations, reasons, notes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Checkbox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Form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single / indeterminate / group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checkbox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Permission matrix, multi-select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RadioGroup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Form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inline / stacked; cards variant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radiogroup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Method, status, type pickers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Switch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Form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sm / md; with label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switch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Module toggles, settings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Tabs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Navigation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underline / pill / segmented; counts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tablist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Student profile, dashboards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Breadcrumb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Navigation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icon+text / text; collapsible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navigation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Every page header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Pagination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Navigation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numbers / load-more; total count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navigation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All list tables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Menu / Dropdown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Navigation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simple / multi-level; with icons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menu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Row actions, user menu, overflow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Table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Data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sortable / paginated / sticky / selectable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grid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All list views (primary surface)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Badge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Data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neutral / success / warning / danger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Status, role, count chips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Chip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Data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removable / static / filter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button (if removable)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Filters, applied facets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Avatar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Data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image / initials / icon; sizes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img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Users, students, teachers, guardians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Card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Data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flat / elevated / interactive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group / article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Dashboards, profile summary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Modal / Dialog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Feedback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sm / md / lg / fullscreen; dismissable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dialog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Confirm, edit, wizards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Drawer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Feedback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right / left / bottom; sm / md / lg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dialog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Quick edit, detail view, filters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23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Toast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Feedback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success / warning / danger / info; auto-dismiss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status / alert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Every save / submit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24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Tooltip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Feedback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top / right / bottom / left; rich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tooltip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Icon labels, table column hints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25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Spinner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Feedback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sm / md / lg; overlay variant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status / img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Async operations, page loads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26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Skeleton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Layout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text / rect / circle / table-row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status / img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Loading states per SRS §5.5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27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EmptyState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Layout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with CTA / without CTA; illustration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Empty lists, no-permission (R3)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28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Alert / Callout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Feedback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info / success / warning / danger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alert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Form-level errors, banners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29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FilterBar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Layout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inline / collapsible; save preset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group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List headers, reports</w:t>
            </w:r>
          </w:p>
        </w:tc>
      </w:tr>
      <w:tr>
        <w:tc>
          <w:tcPr>
            <w:tcW w:type="dxa" w:w="4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FieldRow</w:t>
            </w:r>
          </w:p>
        </w:tc>
        <w:tc>
          <w:tcPr>
            <w:tcW w:type="dxa" w:w="102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Layout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stacked / inline; with helper / error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group</w:t>
            </w:r>
          </w:p>
        </w:tc>
        <w:tc>
          <w:tcPr>
            <w:tcW w:type="dxa" w:w="703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Every form (layout primitive)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E5C5C"/>
          <w:sz w:val="30"/>
        </w:rPr>
        <w:t>3. State System (5 standard states, every interactive component)</w:t>
      </w:r>
    </w:p>
    <w:p>
      <w:pPr>
        <w:spacing w:before="0" w:after="80" w:lineRule="auto" w:line="300"/>
      </w:pPr>
      <w:r>
        <w:rPr>
          <w:i w:val="0"/>
          <w:sz w:val="21"/>
        </w:rPr>
        <w:t>Every interactive component implements all 5 states. Visual treatment is binding and uses only frozen tokens. A component cannot merge into the library unless all 5 states are designed.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933"/>
        <w:gridCol w:w="4933"/>
        <w:gridCol w:w="4933"/>
      </w:tblGrid>
      <w:tr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State</w:t>
            </w:r>
          </w:p>
        </w:tc>
        <w:tc>
          <w:tcPr>
            <w:tcW w:type="dxa" w:w="4819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Visual treatment</w:t>
            </w:r>
          </w:p>
        </w:tc>
        <w:tc>
          <w:tcPr>
            <w:tcW w:type="dxa" w:w="822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Token reference</w:t>
            </w:r>
          </w:p>
        </w:tc>
      </w:tr>
      <w:tr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default</w:t>
            </w:r>
          </w:p>
        </w:tc>
        <w:tc>
          <w:tcPr>
            <w:tcW w:type="dxa" w:w="48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Resting appearance; standard background + foreground</w:t>
            </w:r>
          </w:p>
        </w:tc>
        <w:tc>
          <w:tcPr>
            <w:tcW w:type="dxa" w:w="82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e.g. button.primary.background = color.action.primary</w:t>
            </w:r>
          </w:p>
        </w:tc>
      </w:tr>
      <w:tr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hover</w:t>
            </w:r>
          </w:p>
        </w:tc>
        <w:tc>
          <w:tcPr>
            <w:tcW w:type="dxa" w:w="4819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Slight darken / lighten; cursor pointer</w:t>
            </w:r>
          </w:p>
        </w:tc>
        <w:tc>
          <w:tcPr>
            <w:tcW w:type="dxa" w:w="822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color.primary.600 (one step darker than 500)</w:t>
            </w:r>
          </w:p>
        </w:tc>
      </w:tr>
      <w:tr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active / pressed</w:t>
            </w:r>
          </w:p>
        </w:tc>
        <w:tc>
          <w:tcPr>
            <w:tcW w:type="dxa" w:w="48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Stronger darken + elevation 0 (sinks in)</w:t>
            </w:r>
          </w:p>
        </w:tc>
        <w:tc>
          <w:tcPr>
            <w:tcW w:type="dxa" w:w="82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color.primary.700 + elevation.0</w:t>
            </w:r>
          </w:p>
        </w:tc>
      </w:tr>
      <w:tr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focus</w:t>
            </w:r>
          </w:p>
        </w:tc>
        <w:tc>
          <w:tcPr>
            <w:tcW w:type="dxa" w:w="4819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Visible focus ring (WCAG 2.4.7); 2px outline offset</w:t>
            </w:r>
          </w:p>
        </w:tc>
        <w:tc>
          <w:tcPr>
            <w:tcW w:type="dxa" w:w="822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outline 2px solid color.primary.500; offset 2px</w:t>
            </w:r>
          </w:p>
        </w:tc>
      </w:tr>
      <w:tr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disabled</w:t>
            </w:r>
          </w:p>
        </w:tc>
        <w:tc>
          <w:tcPr>
            <w:tcW w:type="dxa" w:w="48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50% opacity; cursor not-allowed; no hover effect</w:t>
            </w:r>
          </w:p>
        </w:tc>
        <w:tc>
          <w:tcPr>
            <w:tcW w:type="dxa" w:w="82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opacity 0.5; foreground = color.neutral.500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0E5C5C"/>
          <w:sz w:val="24"/>
        </w:rPr>
        <w:t>4. Variants Deep-Dive: Button</w:t>
      </w:r>
    </w:p>
    <w:p>
      <w:pPr>
        <w:spacing w:before="0" w:after="80" w:lineRule="auto" w:line="300"/>
      </w:pPr>
      <w:r>
        <w:rPr>
          <w:i w:val="0"/>
          <w:sz w:val="21"/>
        </w:rPr>
        <w:t>Button is the highest-traffic component. The variant matrix below is the binding spec for every Button instance in Phases 2–4.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Variant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Background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Foreground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Border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primary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color.primary.500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color.primary.foreground (#FFF)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Main CTA per screen (P2)</w:t>
            </w:r>
          </w:p>
        </w:tc>
      </w:tr>
      <w:tr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secondary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color.neutral.0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color.primary.500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1px solid color.primary.500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Secondary actions</w:t>
            </w:r>
          </w:p>
        </w:tc>
      </w:tr>
      <w:tr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ghost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transparent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color.neutral.700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Tertiary actions, toolbar</w:t>
            </w:r>
          </w:p>
        </w:tc>
      </w:tr>
      <w:tr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danger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color.semantic.danger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color.semantic.danger.foreground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Delete, destructive confirm</w:t>
            </w:r>
          </w:p>
        </w:tc>
      </w:tr>
      <w:tr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transparent</w:t>
            </w:r>
          </w:p>
        </w:tc>
        <w:tc>
          <w:tcPr>
            <w:tcW w:type="dxa" w:w="340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color.primary.500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Inline actions in text</w:t>
            </w:r>
          </w:p>
        </w:tc>
      </w:tr>
    </w:tbl>
    <w:p>
      <w:pPr>
        <w:spacing w:before="0" w:after="80" w:lineRule="auto" w:line="300"/>
      </w:pPr>
      <w:r>
        <w:rPr>
          <w:i/>
          <w:sz w:val="21"/>
        </w:rPr>
        <w:t>Size matrix (applies to all variants):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Size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Height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Padding X</w:t>
            </w:r>
          </w:p>
        </w:tc>
        <w:tc>
          <w:tcPr>
            <w:tcW w:type="dxa" w:w="3969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Font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Icon gap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Radius</w:t>
            </w:r>
          </w:p>
        </w:tc>
      </w:tr>
      <w:tr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sm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32px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spacing.scale.3 (12)</w:t>
            </w:r>
          </w:p>
        </w:tc>
        <w:tc>
          <w:tcPr>
            <w:tcW w:type="dxa" w:w="396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type_scale.caption (12/400)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4px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radius.md (6)</w:t>
            </w:r>
          </w:p>
        </w:tc>
      </w:tr>
      <w:tr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md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40px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spacing.scale.4 (16)</w:t>
            </w:r>
          </w:p>
        </w:tc>
        <w:tc>
          <w:tcPr>
            <w:tcW w:type="dxa" w:w="3969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type_scale.body (14/500)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8px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radius.md (6)</w:t>
            </w:r>
          </w:p>
        </w:tc>
      </w:tr>
      <w:tr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lg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48px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spacing.scale.5 (20)</w:t>
            </w:r>
          </w:p>
        </w:tc>
        <w:tc>
          <w:tcPr>
            <w:tcW w:type="dxa" w:w="396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type_scale.subtitle (16/500)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8px</w:t>
            </w:r>
          </w:p>
        </w:tc>
        <w:tc>
          <w:tcPr>
            <w:tcW w:type="dxa" w:w="17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radius.lg (8)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0E5C5C"/>
          <w:sz w:val="24"/>
        </w:rPr>
        <w:t>5. Variants Deep-Dive: Input</w:t>
      </w:r>
    </w:p>
    <w:p>
      <w:pPr>
        <w:spacing w:before="0" w:after="80" w:lineRule="auto" w:line="300"/>
      </w:pPr>
      <w:r>
        <w:rPr>
          <w:i w:val="0"/>
          <w:sz w:val="21"/>
        </w:rPr>
        <w:t>Inputs pair a label (always visible — no placeholder-only), an optional helper, and an inline error state. Helper and error swap visibility by state (helper hides when error shows).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State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Border</w:t>
            </w:r>
          </w:p>
        </w:tc>
        <w:tc>
          <w:tcPr>
            <w:tcW w:type="dxa" w:w="311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Background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Helper color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Error color</w:t>
            </w:r>
          </w:p>
        </w:tc>
      </w:tr>
      <w:tr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default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1px color.neutral.300</w:t>
            </w:r>
          </w:p>
        </w:tc>
        <w:tc>
          <w:tcPr>
            <w:tcW w:type="dxa" w:w="311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color.neutral.0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color.neutral.500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focus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2px color.primary.500</w:t>
            </w:r>
          </w:p>
        </w:tc>
        <w:tc>
          <w:tcPr>
            <w:tcW w:type="dxa" w:w="311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color.neutral.0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color.neutral.500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error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1px color.semantic.danger</w:t>
            </w:r>
          </w:p>
        </w:tc>
        <w:tc>
          <w:tcPr>
            <w:tcW w:type="dxa" w:w="311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color.semantic.danger.50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— (hidden)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color.semantic.danger</w:t>
            </w:r>
          </w:p>
        </w:tc>
      </w:tr>
      <w:tr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disabled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1px color.neutral.200</w:t>
            </w:r>
          </w:p>
        </w:tc>
        <w:tc>
          <w:tcPr>
            <w:tcW w:type="dxa" w:w="311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color.neutral.50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color.neutral.400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0E5C5C"/>
          <w:sz w:val="24"/>
        </w:rPr>
        <w:t>6. Variants Deep-Dive: Table (the primary surface)</w:t>
      </w:r>
    </w:p>
    <w:p>
      <w:pPr>
        <w:spacing w:before="0" w:after="80" w:lineRule="auto" w:line="300"/>
      </w:pPr>
      <w:r>
        <w:rPr>
          <w:i w:val="0"/>
          <w:sz w:val="21"/>
        </w:rPr>
        <w:t>Table is the single most-used component — every list view across Students, Fees, Inventory, Ledger, Audit, Approvals, etc. uses it. Spec below is binding for all 40+ module list screens.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933"/>
        <w:gridCol w:w="4933"/>
        <w:gridCol w:w="4933"/>
      </w:tblGrid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Spec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Token / value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Header row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Sticky on vertical scroll; bold; bg color.neutral.50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color.neutral.50 + type_scale.subtitle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Body row (default)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44px height; bg color.neutral.0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spacing.scale.5 (height 44 = 40 + 4 padding)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Body row (hover)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bg color.primary.50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color.primary.50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Body row (selected)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bg color.primary.50 + left border 3px color.primary.500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color.primary.50 + color.primary.500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Body row (striped)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Alternate bg color.neutral.50 (opt-in; off by default)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color.neutral.50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Cell padding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12px horizontal × 8px vertical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spacing.scale.3 × spacing.scale.2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Sort indicator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Chevron up/down next to column header; default neutral, active primary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color.neutral.400 / color.primary.500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Empty state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Renders EmptyState component inline (never a blank table)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EmptyState component (Phase 1.3 #27)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Loading state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Renders Skeleton row × N (where N = page size); never a global spinner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Skeleton component (Phase 1.3 #26)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Density toggle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Comfortable / Compact (row 44px / 32px); persisted per user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spacing.scale.5 / spacing.scale.4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Row actions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Trailing IconButton group; collapses into overflow Menu on &lt;1280px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IconButton + Menu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Pagination</w:t>
            </w:r>
          </w:p>
        </w:tc>
        <w:tc>
          <w:tcPr>
            <w:tcW w:type="dxa" w:w="765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Bottom-right; numbers variant; shows total + range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Pagination component (Phase 1.3 #14)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E5C5C"/>
          <w:sz w:val="30"/>
        </w:rPr>
        <w:t>7. Accessibility Contracts (WCAG 2.1 AA per Principle P6)</w:t>
      </w:r>
    </w:p>
    <w:p>
      <w:pPr>
        <w:spacing w:before="0" w:after="80" w:lineRule="auto" w:line="300"/>
      </w:pPr>
      <w:r>
        <w:rPr>
          <w:i w:val="0"/>
          <w:sz w:val="21"/>
        </w:rPr>
        <w:t>Every component ships with its accessibility contract. Frontend implementation must satisfy these or the component fails design QA.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Keyboard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Screen reader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Contrast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Buttons &amp; Actions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Enter / Space activates; Tab moves focus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aria-label on IconButton; aria-pressed on toggle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≥4.5:1 on text; ≥3:1 on UI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Form Controls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Tab between fields; Enter submits form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label tied via for/id; aria-describedby for helper/error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Helper text ≥4.5:1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Navigation (Tabs)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Arrow keys move; Tab to panel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role=tablist; aria-selected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Active tab ≥4.5:1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Data (Table)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Arrow keys traverse cells; Enter opens row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scope=col on headers; aria-sort on sortable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Header text ≥4.5:1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Feedback (Modal)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Focus trap; Esc closes; return focus to trigger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role=dialog; aria-modal=true; aria-labelledby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Overlay bg ≥ 4.5:1 contrast vs content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Layout (EmptyState)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CTA reachable via Tab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aria-label describing the empty context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Headline ≥4.5:1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E5C5C"/>
          <w:sz w:val="30"/>
        </w:rPr>
        <w:t>8. Component Audit Gate (binding)</w:t>
      </w:r>
    </w:p>
    <w:p>
      <w:pPr>
        <w:spacing w:before="0" w:after="80" w:lineRule="auto" w:line="300"/>
      </w:pPr>
      <w:r>
        <w:rPr>
          <w:i w:val="0"/>
          <w:sz w:val="21"/>
        </w:rPr>
        <w:t>Before any component merges into the Figma library or the frontend codebase, it must pass the 8-point token audit defined in Session 1.2 (A1–A8). The component owner runs the audit; the design lead reviews and signs. Failed audits block the merge — no exceptions, even for fast-follow iterations.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933"/>
        <w:gridCol w:w="4933"/>
        <w:gridCol w:w="4933"/>
      </w:tblGrid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Gate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878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Pass criterion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Zero raw hex / px / hardcoded font</w:t>
            </w:r>
          </w:p>
        </w:tc>
        <w:tc>
          <w:tcPr>
            <w:tcW w:type="dxa" w:w="878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All values reference tokens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No primitive token used directly in component</w:t>
            </w:r>
          </w:p>
        </w:tc>
        <w:tc>
          <w:tcPr>
            <w:tcW w:type="dxa" w:w="878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Use a component-level alias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Spacing on the 8pt scale</w:t>
            </w:r>
          </w:p>
        </w:tc>
        <w:tc>
          <w:tcPr>
            <w:tcW w:type="dxa" w:w="878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No off-grid values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Font sizes from the 6-step type scale</w:t>
            </w:r>
          </w:p>
        </w:tc>
        <w:tc>
          <w:tcPr>
            <w:tcW w:type="dxa" w:w="878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No in-between sizes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Border-radius from radius.* tokens</w:t>
            </w:r>
          </w:p>
        </w:tc>
        <w:tc>
          <w:tcPr>
            <w:tcW w:type="dxa" w:w="878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No one-off corners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Shadows from elevation.* tokens</w:t>
            </w:r>
          </w:p>
        </w:tc>
        <w:tc>
          <w:tcPr>
            <w:tcW w:type="dxa" w:w="878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No custom box-shadow strings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A7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Transitions reference motion.duration + motion.easing together</w:t>
            </w:r>
          </w:p>
        </w:tc>
        <w:tc>
          <w:tcPr>
            <w:tcW w:type="dxa" w:w="878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Never duration alone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A8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All 5 states designed + audited</w:t>
            </w:r>
          </w:p>
        </w:tc>
        <w:tc>
          <w:tcPr>
            <w:tcW w:type="dxa" w:w="878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default / hover / active / focus / disabled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E5C5C"/>
          <w:sz w:val="30"/>
        </w:rPr>
        <w:t>9. Session 1.3 Exit Criteria Check</w:t>
      </w:r>
    </w:p>
    <w:p>
      <w:pPr>
        <w:spacing w:before="0" w:after="80" w:lineRule="auto" w:line="300"/>
      </w:pPr>
      <w:r>
        <w:rPr>
          <w:i w:val="0"/>
          <w:sz w:val="21"/>
        </w:rPr>
        <w:t>Per the plan, Session 1.3 is complete when the component spec sheet (props, states, variants) is ready for the frontend. This is satisfied by: (a) the 30-component inventory in Section 2; (b) the 5-state system in Section 3; (c) the variant deep-dives for Button (Section 4), Input (Section 5), and Table (Section 6) covering the three highest-traffic components; (d) the accessibility contracts in Section 7 covering all 6 categories; (e) the audit gate in Section 8 binding every component merge to the A1–A8 checklist from Session 1.2. The frontend developer (Phase 7.2) consumes this spec to build each component without re-asking the designer.</w:t>
      </w:r>
    </w:p>
    <w:p>
      <w:pPr>
        <w:spacing w:before="240" w:after="80"/>
      </w:pPr>
      <w:r>
        <w:rPr>
          <w:b/>
          <w:color w:val="0E5C5C"/>
          <w:sz w:val="30"/>
        </w:rPr>
        <w:t>10. Next Session: 1.4 — Iconography &amp; Illustration</w:t>
      </w:r>
    </w:p>
    <w:p>
      <w:pPr>
        <w:spacing w:before="0" w:after="80" w:lineRule="auto" w:line="300"/>
      </w:pPr>
      <w:r>
        <w:rPr>
          <w:i w:val="0"/>
          <w:sz w:val="21"/>
        </w:rPr>
        <w:t>Session 1.4 produces the 200+ icon set (24/20/16px, stroke-based, RTL-aware) and 5 empty-state illustrations (students, fees, attendance, inventory, results). The icons feed into IconButton (component #3), Menu (#15), Breadcrumb (#13), Table row actions, and every empty state. The 5 illustrations feed into the EmptyState component (#27) designed in this session. After 1.4, Phase 1 closes and Phase 2 (Information Architecture) begins with the dynamic nav model that consumes the component library directly.</w:t>
      </w:r>
    </w:p>
    <w:sectPr w:rsidR="00FC693F" w:rsidRPr="0006063C" w:rsidSect="00034616">
      <w:pgSz w:w="16838" w:h="11906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