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MadrashaOS — Design Principles &amp; Constraints Lock-In</w:t>
      </w:r>
    </w:p>
    <w:p>
      <w:pPr>
        <w:spacing w:after="160"/>
      </w:pPr>
      <w:r>
        <w:rPr>
          <w:i/>
          <w:color w:val="555555"/>
          <w:sz w:val="22"/>
        </w:rPr>
        <w:t>Phase 0 Finale · One-Page Reference · Sign-Off Required Before Phase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9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8"/>
              </w:rPr>
              <w:t xml:space="preserve">Session: </w:t>
            </w:r>
            <w:r>
              <w:rPr>
                <w:sz w:val="18"/>
              </w:rPr>
              <w:t>0.4</w:t>
            </w:r>
          </w:p>
        </w:tc>
        <w:tc>
          <w:tcPr>
            <w:tcW w:type="dxa" w:w="249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8"/>
              </w:rPr>
              <w:t xml:space="preserve">Phase: </w:t>
            </w:r>
            <w:r>
              <w:rPr>
                <w:sz w:val="18"/>
              </w:rPr>
              <w:t>0 — Discovery (finale)</w:t>
            </w:r>
          </w:p>
        </w:tc>
        <w:tc>
          <w:tcPr>
            <w:tcW w:type="dxa" w:w="249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8"/>
              </w:rPr>
              <w:t xml:space="preserve">Source: </w:t>
            </w:r>
            <w:r>
              <w:rPr>
                <w:sz w:val="18"/>
              </w:rPr>
              <w:t>SRS v2.0 + Sessions 0.1–0.3</w:t>
            </w:r>
          </w:p>
        </w:tc>
        <w:tc>
          <w:tcPr>
            <w:tcW w:type="dxa" w:w="249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8"/>
              </w:rPr>
              <w:t xml:space="preserve">Exit: </w:t>
            </w:r>
            <w:r>
              <w:rPr>
                <w:sz w:val="18"/>
              </w:rPr>
              <w:t>Signed by Client + PM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F3A5F"/>
          <w:sz w:val="30"/>
        </w:rPr>
        <w:t>1. Purpose</w:t>
      </w:r>
    </w:p>
    <w:p>
      <w:pPr>
        <w:spacing w:before="0" w:after="80" w:lineRule="auto" w:line="300"/>
      </w:pPr>
      <w:r>
        <w:rPr>
          <w:i w:val="0"/>
          <w:sz w:val="21"/>
        </w:rPr>
        <w:t>This document converts the discoveries of Phase 0 (module taxonomy, personas, journey pain points, and the Do-Not-Do list) into a single binding reference. Once signed by the Client and PM, these principles and locked-in risk decisions govern every design choice in Phases 1–7. No design work begins in Phase 1 until this page is signed. Changes after sign-off require a written change request, reviewed by both signatories.</w:t>
      </w:r>
    </w:p>
    <w:p>
      <w:pPr>
        <w:spacing w:before="240" w:after="80"/>
      </w:pPr>
      <w:r>
        <w:rPr>
          <w:b/>
          <w:color w:val="1F3A5F"/>
          <w:sz w:val="30"/>
        </w:rPr>
        <w:t>2. Design Principles (Locked)</w:t>
      </w:r>
    </w:p>
    <w:p>
      <w:pPr>
        <w:spacing w:before="0" w:after="80" w:lineRule="auto" w:line="300"/>
      </w:pPr>
      <w:r>
        <w:rPr>
          <w:i w:val="0"/>
          <w:sz w:val="21"/>
        </w:rPr>
        <w:t>Ten principles, each tied to a specific SRS section. Every screen, component, and PDF template produced in Phases 1–7 must satisfy all 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Binding statement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SRS / Risk Ref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Progressive Disclosure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Surface only what the role needs for the current task. Hide, do not disable.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§5.1, §10.8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One Primary Action per Screen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Secondary actions live in an overflow menu; one CTA per surface.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Apple heritage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Mobile-First by Default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Desktop is a wider grid, not a different paradigm. All CRUD reachable on 5-inch phone.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§5.4, §2.7.4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Permission-Aware UI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Hide unauthorized menus, buttons, fields. Server still enforces authorization.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§5.1, §2.1.3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Multi-Language First-Class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Bangla + English UI parity; Arabic for designated fields and PDFs; RTL validated.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§10.6, §2.6.6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P6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WCAG 2.1 AA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Contrast, keyboard nav, screen-reader labels on all core workflows.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§10.6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P7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Density Without Clutter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8pt grid; 4:5 content-to-whitespace ratio; generous whitespace on key actions.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Tesla heritage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P8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Optimistic UI for Mobile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Local state for high-frequency mobile flows; idempotent retry on submit.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R6, §6.5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P9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Auditable by Default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Every important change produces a field-level audit diff visible in the UI.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§2.1.4, §3.4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P10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Brand-Consistent Outputs</w:t>
            </w:r>
          </w:p>
        </w:tc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Receipts, mark sheets, certificates carry the brand kit from Phase 1.1.</w:t>
            </w:r>
          </w:p>
        </w:tc>
        <w:tc>
          <w:tcPr>
            <w:tcW w:type="dxa" w:w="107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R13, §2.6.5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F3A5F"/>
          <w:sz w:val="30"/>
        </w:rPr>
        <w:t>3. High-Severity Risk Lock-Ins</w:t>
      </w:r>
    </w:p>
    <w:p>
      <w:pPr>
        <w:spacing w:before="0" w:after="80" w:lineRule="auto" w:line="300"/>
      </w:pPr>
      <w:r>
        <w:rPr>
          <w:i w:val="0"/>
          <w:sz w:val="21"/>
        </w:rPr>
        <w:t>The five High-severity UX risks flagged in Session 0.1 are now resolved with binding decisions. These decisions are not suggestions — they are the contract for the listed screens.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Locked Decision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Branch switcher loses mid-task context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Switching branch opens a fresh tab; current tab keeps its context. Default = user’s primary branch.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Phase 4.1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Zero-permission user lands on empty dashboard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Empty state shows “Request access” CTA + admin contact. No silent dead-ends.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Phase 2.3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Mobile attendance &gt;60s / network drops mid-submit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Default Present + one-tap cycle. Optimistic local state. Submit-on-reconnect. 30s undo window. Idempotency-Key on POST.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Phase 4.6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R10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Anonymous donation has no receipt channel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Capture email OR mobile (mandatory). Anonymous = checkbox. PDF download on confirmation screen. Honeypot + reCAPTCHA v3.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Phase 5.2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R13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PDF brand kit is unresolved (SRS §11.3)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Resolved in Phase 1 Session 1.1 (Brand Kit). No unbranded PDF ships to production. Receipts / mark sheets / certificates ship branded from Phase 5.1.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Phase 1.1 + 5.1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F3A5F"/>
          <w:sz w:val="30"/>
        </w:rPr>
        <w:t>4. Hard Constraints (Non-Negotiable)</w:t>
      </w:r>
    </w:p>
    <w:p>
      <w:pPr>
        <w:spacing w:before="0" w:after="80" w:lineRule="auto" w:line="300"/>
      </w:pPr>
      <w:r>
        <w:rPr>
          <w:i w:val="0"/>
          <w:sz w:val="21"/>
        </w:rPr>
        <w:t>The SRS imposes constraints that no design choice may violate. These are reproduced here as the Phase 0 reference; any design that conflicts with them is rejected at design-QA.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89"/>
        <w:gridCol w:w="3289"/>
        <w:gridCol w:w="3289"/>
      </w:tblGrid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SRS Ref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Core tasks reachable in ≤3 clicks.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§10.8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Teacher marks attendance on 5-inch phone in &lt;60s for 40 students.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§2.3.2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 financial data visible to Teacher role; no academic edit by Accountant.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§2.1.3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Permission-denied screens show friendly page, never raw 403.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 hover-only interactions; all actions reachable by tap.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§5.4, §2.7.4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C6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Zakat funds never co-mingle with general funds; UI badges fund scope.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§3.7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C7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Requester cannot approve own request; button disabled + API 403.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§2.7.1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C8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Public visitor cannot reach any /students, /accounts, /documents endpoint.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§2.7.3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C9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Student academic history is never deleted on promotion / transfer.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§2.2.1</w:t>
            </w:r>
          </w:p>
        </w:tc>
      </w:tr>
      <w:tr>
        <w:tc>
          <w:tcPr>
            <w:tcW w:type="dxa" w:w="56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C10</w:t>
            </w:r>
          </w:p>
        </w:tc>
        <w:tc>
          <w:tcPr>
            <w:tcW w:type="dxa" w:w="816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One-page quick-start per role; error messages actionable, in user’s language.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§10.8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F3A5F"/>
          <w:sz w:val="30"/>
        </w:rPr>
        <w:t>5. Phase 1 Kickoff Checklist</w:t>
      </w:r>
    </w:p>
    <w:p>
      <w:pPr>
        <w:spacing w:before="0" w:after="80" w:lineRule="auto" w:line="300"/>
      </w:pPr>
      <w:r>
        <w:rPr>
          <w:i w:val="0"/>
          <w:sz w:val="21"/>
        </w:rPr>
        <w:t>Phase 1 (Design System Foundation) begins only after all five items below are confirmed:</w:t>
      </w:r>
    </w:p>
    <w:p>
      <w:pPr>
        <w:pStyle w:val="ListNumber"/>
        <w:spacing w:before="0" w:after="60" w:line="288" w:lineRule="auto"/>
      </w:pPr>
      <w:r>
        <w:rPr>
          <w:sz w:val="21"/>
        </w:rPr>
        <w:t>Client and PM have signed this document (Section 6 below).</w:t>
      </w:r>
    </w:p>
    <w:p>
      <w:pPr>
        <w:pStyle w:val="ListNumber"/>
        <w:spacing w:before="0" w:after="60" w:line="288" w:lineRule="auto"/>
      </w:pPr>
      <w:r>
        <w:rPr>
          <w:sz w:val="21"/>
        </w:rPr>
        <w:t>Stakeholder interviews from Session 0.2 are scheduled (1 representative per role).</w:t>
      </w:r>
    </w:p>
    <w:p>
      <w:pPr>
        <w:pStyle w:val="ListNumber"/>
        <w:spacing w:before="0" w:after="60" w:line="288" w:lineRule="auto"/>
      </w:pPr>
      <w:r>
        <w:rPr>
          <w:sz w:val="21"/>
        </w:rPr>
        <w:t>Client has named 2–3 competing ERPs for the Session 0.3 scorecard.</w:t>
      </w:r>
    </w:p>
    <w:p>
      <w:pPr>
        <w:pStyle w:val="ListNumber"/>
        <w:spacing w:before="0" w:after="60" w:line="288" w:lineRule="auto"/>
      </w:pPr>
      <w:r>
        <w:rPr>
          <w:sz w:val="21"/>
        </w:rPr>
        <w:t>Client has delivered brand assets (logo, preferred colors, fonts) for Session 1.1.</w:t>
      </w:r>
    </w:p>
    <w:p>
      <w:pPr>
        <w:pStyle w:val="ListNumber"/>
        <w:spacing w:before="0" w:after="60" w:line="288" w:lineRule="auto"/>
      </w:pPr>
      <w:r>
        <w:rPr>
          <w:sz w:val="21"/>
        </w:rPr>
        <w:t>Do-Not-Do list (Session 0.3, D1–D20) is pinned to the design workspace.</w:t>
      </w:r>
    </w:p>
    <w:p>
      <w:pPr>
        <w:spacing w:after="80"/>
      </w:pPr>
    </w:p>
    <w:p>
      <w:pPr>
        <w:spacing w:before="240" w:after="80"/>
      </w:pPr>
      <w:r>
        <w:rPr>
          <w:b/>
          <w:color w:val="1F3A5F"/>
          <w:sz w:val="30"/>
        </w:rPr>
        <w:t>6. Sign-Off</w:t>
      </w:r>
    </w:p>
    <w:p>
      <w:pPr>
        <w:spacing w:before="0" w:after="80" w:lineRule="auto" w:line="300"/>
      </w:pPr>
      <w:r>
        <w:rPr>
          <w:i w:val="0"/>
          <w:sz w:val="21"/>
        </w:rPr>
        <w:t>By signing below, the parties confirm that the design principles, risk lock-ins, and hard constraints above are binding for all UI/UX work in Phases 1–7. Changes require a written change request, reviewed by both signatories.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3"/>
        <w:gridCol w:w="4933"/>
      </w:tblGrid>
      <w:tr>
        <w:tc>
          <w:tcPr>
            <w:tcW w:type="dxa" w:w="4819"/>
            <w:tcMar>
              <w:top w:w="120" w:type="dxa"/>
              <w:left w:w="80" w:type="dxa"/>
              <w:bottom w:w="120" w:type="dxa"/>
              <w:right w:w="80" w:type="dxa"/>
            </w:tcMar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Client (Authority)</w:t>
            </w:r>
          </w:p>
        </w:tc>
        <w:tc>
          <w:tcPr>
            <w:tcW w:type="dxa" w:w="4819"/>
            <w:tcMar>
              <w:top w:w="120" w:type="dxa"/>
              <w:left w:w="80" w:type="dxa"/>
              <w:bottom w:w="120" w:type="dxa"/>
              <w:right w:w="80" w:type="dxa"/>
            </w:tcMar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Project Manager</w:t>
            </w:r>
          </w:p>
        </w:tc>
      </w:tr>
      <w:tr>
        <w:tc>
          <w:tcPr>
            <w:tcW w:type="dxa" w:w="4819"/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after="160"/>
            </w:pPr>
            <w:r>
              <w:rPr>
                <w:sz w:val="21"/>
              </w:rPr>
              <w:t>Name: ____________________</w:t>
            </w:r>
          </w:p>
          <w:p>
            <w:pPr>
              <w:spacing w:after="160"/>
            </w:pPr>
            <w:r>
              <w:rPr>
                <w:sz w:val="21"/>
              </w:rPr>
              <w:t>Signature: ____________________</w:t>
            </w:r>
          </w:p>
          <w:p>
            <w:pPr>
              <w:spacing w:after="160"/>
            </w:pPr>
            <w:r>
              <w:rPr>
                <w:sz w:val="21"/>
              </w:rPr>
              <w:t>Date: ____________________</w:t>
            </w:r>
          </w:p>
        </w:tc>
        <w:tc>
          <w:tcPr>
            <w:tcW w:type="dxa" w:w="4819"/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after="160"/>
            </w:pPr>
            <w:r>
              <w:rPr>
                <w:sz w:val="21"/>
              </w:rPr>
              <w:t>Name: ____________________</w:t>
            </w:r>
          </w:p>
          <w:p>
            <w:pPr>
              <w:spacing w:after="160"/>
            </w:pPr>
            <w:r>
              <w:rPr>
                <w:sz w:val="21"/>
              </w:rPr>
              <w:t>Signature: ____________________</w:t>
            </w:r>
          </w:p>
          <w:p>
            <w:pPr>
              <w:spacing w:after="160"/>
            </w:pPr>
            <w:r>
              <w:rPr>
                <w:sz w:val="21"/>
              </w:rPr>
              <w:t>Date: ____________________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F3A5F"/>
          <w:sz w:val="30"/>
        </w:rPr>
        <w:t>7. Phase 1 Preview</w:t>
      </w:r>
    </w:p>
    <w:p>
      <w:pPr>
        <w:spacing w:before="0" w:after="80" w:lineRule="auto" w:line="300"/>
      </w:pPr>
      <w:r>
        <w:rPr>
          <w:i w:val="0"/>
          <w:sz w:val="21"/>
        </w:rPr>
        <w:t>With this page signed, Phase 1 (Design System Foundation, 5 days) begins. Session 1.1 (Brand Kit) consumes the client-delivered brand assets and resolves Risk R13. Sessions 1.2–1.4 build the token system, the 30-component library, and the icon set on top of the locked design principles above. Each Phase 1 session re-references this page; any deviation triggers a change request. Phase 1 exit: a frozen design system that the wireframe and hi-fi sessions in Phases 2–4 consume without further design-system decisions.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