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0"/>
        </w:rPr>
        <w:t>MadrashaOS — Session 0.3 Deliverable</w:t>
      </w:r>
    </w:p>
    <w:p>
      <w:pPr>
        <w:spacing w:after="160"/>
      </w:pPr>
      <w:r>
        <w:rPr>
          <w:i/>
          <w:color w:val="555555"/>
          <w:sz w:val="26"/>
        </w:rPr>
        <w:t>Heuristic Review of Competing Madrasha ERPs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7285"/>
        <w:gridCol w:w="7285"/>
      </w:tblGrid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Document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MadrashaOS_Session_0.3_Heuristic_Review_TechnicalDoc_2026-09-16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Source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SRS v2.0 (2026-09-16) §10.8 client constraint; §5 UI requirements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Session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0.3 — Heuristic Review of Competing Madrasha ERPs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0 — Discovery &amp; Foundations</w:t>
            </w:r>
          </w:p>
        </w:tc>
      </w:tr>
      <w:tr>
        <w:tc>
          <w:tcPr>
            <w:tcW w:type="dxa" w:w="2268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2F2F2"/>
          </w:tcPr>
          <w:p>
            <w:r/>
            <w:r>
              <w:rPr>
                <w:b/>
                <w:sz w:val="20"/>
              </w:rPr>
              <w:t>Exit Criteria</w:t>
            </w:r>
          </w:p>
        </w:tc>
        <w:tc>
          <w:tcPr>
            <w:tcW w:type="dxa" w:w="12472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20"/>
              </w:rPr>
              <w:t>Avoid-list pinned to design workspace (delivered below as Do-Not-Do list)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1. Overview</w:t>
      </w:r>
    </w:p>
    <w:p>
      <w:pPr>
        <w:spacing w:before="0" w:after="120" w:lineRule="auto" w:line="312"/>
      </w:pPr>
      <w:r>
        <w:rPr>
          <w:i w:val="0"/>
          <w:sz w:val="22"/>
        </w:rPr>
        <w:t>This deliverable benchmarks three competing madrasha/school ERPs against a 15-item heuristic scorecard and produces a Do-Not-Do list of anti-patterns to avoid in MadrashaOS. The scorecard combines Nielsen’s 10 classic heuristics with 5 madrasha-specific heuristics derived from the SRS constraints (§10.8 client priority: “not extremely complicated, not difficult for teachers or accountants, not dependent on one employee”; §5.4 mobile-first; §2.1.3 permission-aware UI; §3.1 tenant isolation; §6.5 idempotency for payments). Product columns are scaffolded as [Product A / B / C] pending client confirmation of which ERPs to evaluate.</w:t>
      </w:r>
    </w:p>
    <w:p>
      <w:pPr>
        <w:spacing w:before="280" w:after="120"/>
      </w:pPr>
      <w:r>
        <w:rPr>
          <w:b/>
          <w:color w:val="1F3A5F"/>
          <w:sz w:val="32"/>
        </w:rPr>
        <w:t>2. Methodology</w:t>
      </w:r>
    </w:p>
    <w:p>
      <w:pPr>
        <w:spacing w:before="0" w:after="120" w:lineRule="auto" w:line="312"/>
      </w:pPr>
      <w:r>
        <w:rPr>
          <w:i w:val="0"/>
          <w:sz w:val="22"/>
        </w:rPr>
        <w:t>Each heuristic is scored 0–4 per product (0 = egregious violation; 4 = exemplary implementation). Scores are captured by walking through the same top-3 tasks used in the Session 0.2 journey maps (take-attendance, collect-fees, record-expense, view-child-results). Observations are logged with screenshots and a one-line justification. Composite scores are not averaged — any heuristic scoring ≤1 is a Blocker that auto-enters the Do-Not-Do list.</w:t>
      </w:r>
    </w:p>
    <w:p>
      <w:pPr>
        <w:spacing w:before="280" w:after="120"/>
      </w:pPr>
      <w:r>
        <w:rPr>
          <w:b/>
          <w:color w:val="1F3A5F"/>
          <w:sz w:val="32"/>
        </w:rPr>
        <w:t>3. Heuristic Scorecard (Template)</w:t>
      </w:r>
    </w:p>
    <w:p>
      <w:pPr>
        <w:spacing w:before="0" w:after="120" w:lineRule="auto" w:line="312"/>
      </w:pPr>
      <w:r>
        <w:rPr>
          <w:i w:val="0"/>
          <w:sz w:val="22"/>
        </w:rPr>
        <w:t>Score legend: 0 = egregious violation · 1 = major problem · 2 = minor problem · 3 = acceptable · 4 = exemplary. Cells marked [TBD] require client to name the 3 competing products and the designer to walk through the 4 journey tasks on each.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Heuristic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Product A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Product B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Product C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Visibility of system status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Loading, errors, pending states clearly shown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Match real world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Language follows madrasha terms, not corporate jargon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User control &amp; freedom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Undo, cancel, escape destructive actions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Consistency &amp; standards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Same patterns across modules; bn/en parity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Error prevention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Validation blocks invalid input before submit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H6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Recognition over recall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Visible options, no hidden shortcuts for core tasks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H7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Flexibility &amp; efficiency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Shortcuts for power users; sensible defaults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H8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Aesthetic &amp; minimalist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 irrelevant info; §10.8 “no unnecessary features”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H9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Recognize, diagnose, recover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Actionable error copy in user’s language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H10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Help &amp; documentation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One-page quick-start per role (SRS §10.8)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Multi-language parity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Bangla/English toggle without losing context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Mobile-first core flows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Attendance &lt;60s on 5-inch phone (SRS §2.3.2)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Multi-branch context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Branch switcher preserves filter context (R1)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M4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Permission-aware UI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Hide (not disable) unauthorized actions (R3)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[TBD]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M5</w:t>
            </w:r>
          </w:p>
        </w:tc>
        <w:tc>
          <w:tcPr>
            <w:tcW w:type="dxa" w:w="2551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Low-connectivity tolerance</w:t>
            </w:r>
          </w:p>
        </w:tc>
        <w:tc>
          <w:tcPr>
            <w:tcW w:type="dxa" w:w="538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Optimistic UI + idempotent retry (R6)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  <w:tc>
          <w:tcPr>
            <w:tcW w:type="dxa" w:w="1984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[TBD]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b/>
          <w:color w:val="1F3A5F"/>
          <w:sz w:val="32"/>
        </w:rPr>
        <w:t>4. Do-Not-Do List (Pre-filled from SRS constraints)</w:t>
      </w:r>
    </w:p>
    <w:p>
      <w:pPr>
        <w:spacing w:before="0" w:after="120" w:lineRule="auto" w:line="312"/>
      </w:pPr>
      <w:r>
        <w:rPr>
          <w:i w:val="0"/>
          <w:sz w:val="22"/>
        </w:rPr>
        <w:t>The 20 anti-patterns below are forbidden in MadrashaOS. Each is derived from a specific SRS section or UX risk register entry, so the list is enforceable from day one — even before the scorecard is filled in. This list is pinned to the design workspace as the Session 0.3 exit criterion.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3642"/>
        <w:gridCol w:w="3642"/>
        <w:gridCol w:w="3642"/>
        <w:gridCol w:w="3642"/>
      </w:tblGrid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Do-Not-Do (Anti-pattern)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Rationale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SRS / Risk Ref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Show every module in left navigation by default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Conflicts with module configuration toggle; violates “no unnecessary features”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SRS §2.1.2, §10.8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D2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Force a single role to use 5+ screens for one task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Client constraint: core tasks must be ≤3 clicks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SRS §10.8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Put financial figures on the Teacher dashboard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Breaks RBAC; teachers cannot view financial data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SRS §2.1.3, §2.6.4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Show raw 403 stack traces to permission-denied users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Friendly “You don’t have access” page required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SRS §5.5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D5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Use hover-only interactions for any primary action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Mobile-first; tap must reach everything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SRS §5.4, §2.7.4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D6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Auto-select academic year globally without preserving filter context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Branch-year switching loses work mid-task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Risk R1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D7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Disable a module toggle silently when dependencies exist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Must show dependents + reject with a message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Risk R2; SRS §2.1.2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D8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Land a zero-permission user on an empty dashboard with no guidance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Onboarding dead-end; “Request access” CTA required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Risk R3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Make mobile attendance require per-student scroll + 3 taps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&lt;60s for 40 students; default Present + one-tap cycle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Risk R6; SRS §2.3.2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D10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Auto-apply high-value discounts without pending state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Discounts must route to approver; pending must be visually distinct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Risk R8; SRS §2.4.2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D11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Allow anonymous donations without a receipt channel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Capture email/mobile; deliver PDF; prevent spam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Risk R10; SRS §2.7.3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D12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Send notices without a recipient-count preview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Notice composer must show live count before send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Risk R11; SRS §2.6.1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D13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Show dashboard figures without an “as of [timestamp]” label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Stale figures mislead the Authority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Risk R12; SRS §2.6.4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D14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Ship unbranded PDF receipts / mark sheets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Open item in SRS §11.3; resolved in Phase 5.1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Risk R13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D15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Render tofu (□) boxes for Bangla / Arabic text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Typography stack must cover bn/en/ar; zero-tofu check in 5.3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Risk R14; SRS §2.6.6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D16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Allow requester to approve their own request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Segregation of duties; button disabled + API 403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SRS §2.7.1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D17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Expose any /students, /accounts, /documents endpoint to public visitors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Public site must return 401/403 for protected resources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SRS §2.7.3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D18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Store Zakat funds in the general ledger account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Fund isolation; Zakat account rejects non-Zakat transactions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SRS §3.7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D19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Delete or overwrite student history on promotion / transfer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Effective-dated history mandatory; old rows preserved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r/>
            <w:r>
              <w:rPr>
                <w:sz w:val="18"/>
              </w:rPr>
              <w:t>SRS §2.2.1</w:t>
            </w:r>
          </w:p>
        </w:tc>
      </w:tr>
      <w:tr>
        <w:tc>
          <w:tcPr>
            <w:tcW w:type="dxa" w:w="68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D20</w:t>
            </w:r>
          </w:p>
        </w:tc>
        <w:tc>
          <w:tcPr>
            <w:tcW w:type="dxa" w:w="45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Force mid-task re-login (e.g., during attendance capture)</w:t>
            </w:r>
          </w:p>
        </w:tc>
        <w:tc>
          <w:tcPr>
            <w:tcW w:type="dxa" w:w="62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Long-lived refresh token (7 days); MFA trust device</w:t>
            </w:r>
          </w:p>
        </w:tc>
        <w:tc>
          <w:tcPr>
            <w:tcW w:type="dxa" w:w="2835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F7F7F7"/>
          </w:tcPr>
          <w:p>
            <w:r/>
            <w:r>
              <w:rPr>
                <w:sz w:val="18"/>
              </w:rPr>
              <w:t>Risk R6; SRS §6.2</w:t>
            </w:r>
          </w:p>
        </w:tc>
      </w:tr>
    </w:tbl>
    <w:p>
      <w:pPr>
        <w:spacing w:before="280" w:after="120"/>
      </w:pPr>
      <w:r>
        <w:rPr>
          <w:b/>
          <w:color w:val="1F3A5F"/>
          <w:sz w:val="32"/>
        </w:rPr>
        <w:t>5. Client Input Required</w:t>
      </w:r>
    </w:p>
    <w:p>
      <w:pPr>
        <w:pStyle w:val="ListBullet"/>
        <w:spacing w:before="0" w:after="60" w:line="288" w:lineRule="auto"/>
      </w:pPr>
      <w:r>
        <w:rPr>
          <w:sz w:val="22"/>
        </w:rPr>
        <w:t>Name 2–3 ERPs the client has previously used or evaluated (these are the strongest signal for what NOT to do).</w:t>
      </w:r>
    </w:p>
    <w:p>
      <w:pPr>
        <w:pStyle w:val="ListBullet"/>
        <w:spacing w:before="0" w:after="60" w:line="288" w:lineRule="auto"/>
      </w:pPr>
      <w:r>
        <w:rPr>
          <w:sz w:val="22"/>
        </w:rPr>
        <w:t>Share screenshots of current in-house spreadsheets / paper processes (these reveal the real mental model and the exact pain points).</w:t>
      </w:r>
    </w:p>
    <w:p>
      <w:pPr>
        <w:pStyle w:val="ListBullet"/>
        <w:spacing w:before="0" w:after="60" w:line="288" w:lineRule="auto"/>
      </w:pPr>
      <w:r>
        <w:rPr>
          <w:sz w:val="22"/>
        </w:rPr>
        <w:t>Confirm whether the client wants 3 “legacy” desktop-first ERPs in the scorecard, or 2 legacy + 1 modern SaaS for comparison.</w:t>
      </w:r>
    </w:p>
    <w:p>
      <w:pPr>
        <w:pStyle w:val="ListBullet"/>
        <w:spacing w:before="0" w:after="60" w:line="288" w:lineRule="auto"/>
      </w:pPr>
      <w:r>
        <w:rPr>
          <w:sz w:val="22"/>
        </w:rPr>
        <w:t>Optional: list 1–2 ERPs the client admires (positive inspiration, not just avoidance).</w:t>
      </w:r>
    </w:p>
    <w:p>
      <w:pPr>
        <w:spacing w:before="280" w:after="120"/>
      </w:pPr>
      <w:r>
        <w:rPr>
          <w:b/>
          <w:color w:val="1F3A5F"/>
          <w:sz w:val="32"/>
        </w:rPr>
        <w:t>6. Session 0.3 Exit Criteria Check</w:t>
      </w:r>
    </w:p>
    <w:p>
      <w:pPr>
        <w:spacing w:before="0" w:after="120" w:lineRule="auto" w:line="312"/>
      </w:pPr>
      <w:r>
        <w:rPr>
          <w:i w:val="0"/>
          <w:sz w:val="22"/>
        </w:rPr>
        <w:t>Per the UI/UX Implementation Plan, Session 0.3 is complete when the Avoid-list is pinned to the design workspace. The Do-Not-Do list in Section 4 satisfies this exit criterion immediately — it is fully pre-filled from SRS constraints and risk register entries, enforceable from day one, and pinned to the design workspace as a one-page reference. The Heuristic Scorecard in Section 3 is a scaffold awaiting client confirmation of the 3 competing products; once confirmed, the designer fills in the [TBD] cells by walking through the Session 0.2 journey tasks on each product. Any heuristic scoring ≤1 on a competitor auto-appends to the Do-Not-Do list with a concrete screenshot reference.</w:t>
      </w:r>
    </w:p>
    <w:p>
      <w:pPr>
        <w:spacing w:before="280" w:after="120"/>
      </w:pPr>
      <w:r>
        <w:rPr>
          <w:b/>
          <w:color w:val="1F3A5F"/>
          <w:sz w:val="32"/>
        </w:rPr>
        <w:t>7. Next Session: 0.4 — Design Principles &amp; Constraints Lock-In</w:t>
      </w:r>
    </w:p>
    <w:p>
      <w:pPr>
        <w:spacing w:before="0" w:after="120" w:lineRule="auto" w:line="312"/>
      </w:pPr>
      <w:r>
        <w:rPr>
          <w:i w:val="0"/>
          <w:sz w:val="22"/>
        </w:rPr>
        <w:t>Session 0.4 converts the discoveries of 0.1–0.3 into a single one-page Design Principles document signed by the client and the PM. Inputs: the module taxonomy (0.1), the persona frustration lists and journey pain points (0.2), and the Do-Not-Do list (0.3). The 5 High-severity UX risks (R1, R3, R6, R10, R13) are the priority agenda. No design work begins in Phase 1 until this page is signed.</w:t>
      </w:r>
    </w:p>
    <w:sectPr w:rsidR="00FC693F" w:rsidRPr="0006063C" w:rsidSect="00034616">
      <w:pgSz w:w="16838" w:h="11906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