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5C5C"/>
          <w:sz w:val="36"/>
        </w:rPr>
        <w:t>MadrashaOS — Session 1.4 Deliverable: Iconography &amp; Illustration</w:t>
      </w:r>
    </w:p>
    <w:p>
      <w:pPr>
        <w:spacing w:after="160"/>
      </w:pPr>
      <w:r>
        <w:rPr>
          <w:i/>
          <w:color w:val="555555"/>
          <w:sz w:val="22"/>
        </w:rPr>
        <w:t>200+ Icon Catalog · 5 Empty-State Illustrations · Generation Guide (Phase 1 finale)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399"/>
        <w:gridCol w:w="7399"/>
      </w:tblGrid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MadrashaOS_Session_1.4_Iconography_Illustration_TechnicalDoc_2026-09-16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SRS §5.2, §2.6.6 (bn/en/ar); Session 1.1 Brand Kit; Session 1.3 components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Session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1.4 — Iconography &amp; Illustration (Phase 1 finale)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1 — Design System Foundation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Exit Criteria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Icon font + SVG sprite generated; 5 illustrations delivered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1. Overview</w:t>
      </w:r>
    </w:p>
    <w:p>
      <w:pPr>
        <w:spacing w:before="0" w:after="80" w:lineRule="auto" w:line="300"/>
      </w:pPr>
      <w:r>
        <w:rPr>
          <w:i w:val="0"/>
          <w:sz w:val="21"/>
        </w:rPr>
        <w:t>This deliverable closes Phase 1 with the iconography and illustration system. It specifies the 200+ icon set (stroke-based, RTL-aware, three sizes), the 5 empty-state illustrations that pair with the EmptyState component from Session 1.3, and the generation pipeline (SVG sprite + icon font) consumed by the frontend in Phase 7.3. Every icon and illustration references the frozen tokens from Session 1.1; the audit gate A1–A8 from Session 1.2 applies to every icon added after this baseline.</w:t>
      </w:r>
    </w:p>
    <w:p>
      <w:pPr>
        <w:spacing w:before="240" w:after="80"/>
      </w:pPr>
      <w:r>
        <w:rPr>
          <w:b/>
          <w:color w:val="0E5C5C"/>
          <w:sz w:val="30"/>
        </w:rPr>
        <w:t>2. Iconography Spec</w:t>
      </w:r>
    </w:p>
    <w:p>
      <w:pPr>
        <w:spacing w:before="0" w:after="80" w:lineRule="auto" w:line="300"/>
      </w:pPr>
      <w:r>
        <w:rPr>
          <w:i w:val="0"/>
          <w:sz w:val="21"/>
        </w:rPr>
        <w:t>All icons share the same construction rules: 24px master grid, 1.5px stroke, rounded line caps, rounded joins. Stroke weight scales with icon size to maintain visual weight at smaller sizes. Icons are RTL-aware — directional icons (chevron, arrow, return, send) auto-mirror in Arabic locale per SRS §2.6.6.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3"/>
        <w:gridCol w:w="4933"/>
        <w:gridCol w:w="4933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Token / rule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Master grid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24 × 24 px (SVG viewBox 0 0 24 24)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Spacing unit 24 (3×8pt)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Padding (inside grid)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 px safe zone on all sides (effective 20×20)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Spacing scale.0 + safe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Stroke weight (24px)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1.5 px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Stroke weight (20px)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1.5 px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— (kept; visual weight preserved)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Stroke weight (16px)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1.25 px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Slightly thinner to avoid clogging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Line cap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round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SVG stroke-linecap=round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Line join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round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SVG stroke-linejoin=round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Fill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none (stroke-only)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Tokens applied via stroke, not fill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Stroke color default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color.neutral.700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#2E2C27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Stroke color hover/active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color.primary.500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#0E5C5C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Stroke color disabled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color.neutral.400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#9A9388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RTL handling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Mirror directional icons in ar locale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CSS [dir=rtl] transform: scaleX(-1)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3. Icon Catalog (200+ icons, by category)</w:t>
      </w:r>
    </w:p>
    <w:p>
      <w:pPr>
        <w:spacing w:before="0" w:after="80" w:lineRule="auto" w:line="300"/>
      </w:pPr>
      <w:r>
        <w:rPr>
          <w:i w:val="0"/>
          <w:sz w:val="21"/>
        </w:rPr>
        <w:t>Every icon name is kebab-case, prefixed by category (e.g., nav-menu, fin-taka, ppl-student). Category prefix avoids collisions and makes search/autocomplete trivial. Names are binding — the frontend in Phase 7.3 imports them by exact name.</w:t>
      </w:r>
    </w:p>
    <w:p>
      <w:pPr>
        <w:spacing w:before="160" w:after="80"/>
      </w:pPr>
      <w:r>
        <w:rPr>
          <w:b/>
          <w:color w:val="333333"/>
          <w:sz w:val="22"/>
        </w:rPr>
        <w:t>3.1 Navigation &amp; UI (20)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nav-menu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nav-close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nav-search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nav-filter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nav-sort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nav-more-vertical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nav-more-horizontal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nav-chevron-up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nav-chevron-down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nav-chevron-left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nav-chevron-right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nav-arrow-up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nav-arrow-down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nav-arrow-left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nav-arrow-right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nav-expand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nav-collapse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nav-refresh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nav-settings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nav-help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3.2 Actions (25)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act-plus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act-minus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act-edit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act-trash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act-save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act-download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act-upload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act-print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act-share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act-copy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act-paste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act-cut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act-undo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act-redo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act-check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act-x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act-check-circle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act-x-circle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act-eye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act-eye-off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act-lock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act-unlock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act-send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act-link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act-external-link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3.3 People (10)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ppl-user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ppl-users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ppl-user-plus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ppl-user-minus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ppl-student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ppl-teacher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ppl-guardian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ppl-employee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ppl-contact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ppl-id-card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3.4 Academic (15)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aca-book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aca-books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aca-graduation-cap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aca-pencil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aca-ruler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aca-calendar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aca-clock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aca-schedule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aca-assignment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aca-marks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aca-result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aca-certificate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aca-library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aca-attendance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aca-exam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3.5 Finance (20)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fin-taka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fin-dollar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fin-coin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fin-wallet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fin-card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fin-receipt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fin-invoice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fin-fee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fin-payment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fin-refund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fin-discount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fin-accounting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fin-ledger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fin-bank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fin-cash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fin-zakat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fin-donation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fin-scholarship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fin-expense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fin-income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3.6 Operations (20)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ops-inventory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ops-stock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ops-package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ops-warehouse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ops-supplier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ops-purchase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ops-asset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ops-hostel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ops-bed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ops-food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ops-meal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ops-transport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ops-vehicle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ops-driver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ops-route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ops-library-book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ops-book-copy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ops-fuel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ops-maintenance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ops-location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3.7 Communication (10)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com-mail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com-message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com-notice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com-announcement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com-sms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com-email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com-notification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com-chat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com-broadcast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com-megaphone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3.8 Status &amp; Feedback (15)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sts-success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sts-warning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sts-danger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sts-error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sts-info-circle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sts-question-circle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sts-alert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sts-loader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sts-spinner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sts-check-bold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sts-x-bold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sts-pending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sts-approved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sts-rejected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sts-draft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3.9 Files &amp; Documents (10)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fil-file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fil-file-text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fil-file-pdf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fil-file-image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fil-file-excel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fil-folder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fil-folder-open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fil-paperclip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fil-document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fil-attachment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3.10 Date &amp; Time (10)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dt-calendar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dt-clock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dt-schedule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dt-hourglass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dt-timer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dt-date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dt-time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dt-today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dt-week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dt-month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3.11 Forms &amp; Inputs (10)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frm-text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frm-number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frm-date-picker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frm-select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frm-checkbox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frm-radio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frm-switch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frm-toggle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frm-slider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frm-search-input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3.12 Tables &amp; Data (10)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tbl-table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tbl-column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tbl-row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tbl-grid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tbl-list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tbl-tree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tbl-filter-advanced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tbl-group-by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tbl-pivot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tbl-export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3.13 Settings &amp; Config (10)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cfg-gear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cfg-sliders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cfg-toggle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cfg-configuration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cfg-branch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cfg-organization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cfg-module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cfg-permission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cfg-role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cfg-audit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3.14 Misc / Platform (15)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msc-phone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msc-mobile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msc-tablet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msc-laptop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msc-globe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msc-language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msc-translate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msc-keyboard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msc-mouse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msc-accessibility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msc-globe-asia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msc-bangladesh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msc-mosque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msc-quran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msc-kaaba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333333"/>
          <w:sz w:val="22"/>
        </w:rPr>
        <w:t>3.15 Bonus / Module-specific (15)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#1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#2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#3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#4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bns-promote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bns-transfer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bns-graduate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bns-issue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bns-receive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bns-allocate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bns-occupancy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bns-overdue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bns-low-stock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bns-merit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bns-position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bns-gpa</w:t>
            </w:r>
          </w:p>
        </w:tc>
      </w:tr>
      <w:tr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bns-fund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bns-tenant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bns-saas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4. Empty-State Illustrations (5)</w:t>
      </w:r>
    </w:p>
    <w:p>
      <w:pPr>
        <w:spacing w:before="0" w:after="80" w:lineRule="auto" w:line="300"/>
      </w:pPr>
      <w:r>
        <w:rPr>
          <w:i w:val="0"/>
          <w:sz w:val="21"/>
        </w:rPr>
        <w:t>Five illustrations pair with the EmptyState component (Session 1.3 #27). Each illustration is a flat line-art composition with the brand teal as the dominant accent and warm-gold for one focal element. Style: 2px stroke, rounded caps, no fill, friendly proportions, optimistic tone. Each renders at 240×160 px in the EmptyState component.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Composition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Color usage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Used in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Copy pairing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empty-students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Three friendly student silhouettes waving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 figures in a row, slightly overlapping, waving hands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Figures in color.primary.500; ground line in color.neutral.300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Student list empty; admission pipeline empty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“No students yet — add your first student”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empty-fees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 receipt with a checkmark stamp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Single receipt centered, checkmark badge top-right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Receipt outline in color.neutral.400; checkmark in color.semantic.success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Outstanding fees empty; receipts list empty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“All caught up — no outstanding fees”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empty-attendance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 clipboard with student row silhouettes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Clipboard centered, 4 row-silhouettes inside, pencil to the right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Clipboard in color.neutral.500; pencil in color.accent.DEFAULT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Attendance session empty; no sessions today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“No attendance taken yet today”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empty-inventory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An empty shelf with one box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Warehouse shelving on left, single small box on right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Shelf in color.neutral.400; box in color.accent.DEFAULT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Inventory items empty; low-stock report empty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“No items in stock yet — add your first item”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E5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empty-results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 report card with a pencil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Folded report card on left, pencil on right, small star above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Card in color.neutral.500; pencil in color.accent.DEFAULT; star in color.accent.DEFAULT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Result dashboard pre-publication; student result empty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“Results will publish on [date]”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5. Generation Pipeline (SVG sprite + icon font)</w:t>
      </w:r>
    </w:p>
    <w:p>
      <w:pPr>
        <w:spacing w:before="0" w:after="80" w:lineRule="auto" w:line="300"/>
      </w:pPr>
      <w:r>
        <w:rPr>
          <w:i w:val="0"/>
          <w:sz w:val="21"/>
        </w:rPr>
        <w:t>Two outputs ship from this session: an SVG sprite (preferred — crisp at all sizes, color via stroke token) and an icon font (fallback for legacy contexts). Both are generated from the same source SVG files via the build pipeline below.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798"/>
      </w:tblGrid>
      <w:tr>
        <w:tc>
          <w:tcPr>
            <w:tcW w:type="dxa" w:w="1479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5F2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# Project structure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design-system/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icons/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src/                # 200+ individual SVG source files (24x24 viewBox)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nav-menu.svg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fin-taka.svg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ppl-student.svg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scripts/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build-sprite.ts   # SVG sprite generator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build-font.ts     # icon font generator (svgtofont)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dist/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sprite.svg        # single concatenated sprite (&lt;symbol&gt; per icon)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madrasha-icons.woff2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madrasha-icons.css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icon-catalog.json  # name -&gt; unicode mapping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# 1. Generate SVG sprite (preferred)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# Each &lt;symbol id="nav-menu" viewBox="0 0 24 24"&gt; is referenced via &lt;use href="#nav-menu"&gt;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npx svgstore design-system/icons/src/*.svg -o design-system/icons/dist/sprite.svg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# 2. Generate icon font (legacy fallback)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npx svgtofont --sources design-system/icons/src/ --output design-system/icons/dist/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# 3. Generate catalog JSON (consumed by frontend Phase 7.3)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node design-system/icons/scripts/build-catalog.js</w:t>
            </w:r>
          </w:p>
        </w:tc>
      </w:tr>
    </w:tbl>
    <w:p>
      <w:pPr>
        <w:spacing w:before="0" w:after="80" w:lineRule="auto" w:line="300"/>
      </w:pPr>
      <w:r>
        <w:rPr>
          <w:i/>
          <w:sz w:val="21"/>
        </w:rPr>
        <w:t>Frontend consumption (Phase 7.3):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798"/>
      </w:tblGrid>
      <w:tr>
        <w:tc>
          <w:tcPr>
            <w:tcW w:type="dxa" w:w="1479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5F2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// Preferred: SVG sprite with stroke = currentColor (token-driven)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&lt;svg class="icon" aria-hidden="true"&gt;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&lt;use href="/sprite.svg#nav-menu"&gt;&lt;/use&gt;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&lt;/svg&gt;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// CSS (uses frozen tokens from Session 1.1)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.icon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width: 1.5rem;        /* spacing.scale.6 = 24px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height: 1.5rem;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stroke: currentColor;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fill: none;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stroke-width: 1.5;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stroke-linecap: round;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stroke-linejoin: round;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// Theme tokens drive currentColor per state: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.button.primary .icon   { color: var(--color-primary-foreground); }   /* #FFFFFF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.button.ghost   .icon   { color: var(--color-neutral-700); }         /* #2E2C27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.button:hover   .icon   { color: var(--color-primary-500); }         /* #0E5C5C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// RTL: mirror directional icons in Arabic locale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[dir="rtl"] .icon.is-directional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transform: scaleX(-1);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6. Audit Gate (binding from Session 1.2)</w:t>
      </w:r>
    </w:p>
    <w:p>
      <w:pPr>
        <w:spacing w:before="0" w:after="80" w:lineRule="auto" w:line="300"/>
      </w:pPr>
      <w:r>
        <w:rPr>
          <w:i w:val="0"/>
          <w:sz w:val="21"/>
        </w:rPr>
        <w:t>Every icon added after this baseline must pass the A1–A8 audit from Session 1.2. The most relevant gates for iconography: A1 (no hardcoded color — use stroke = currentColor driven by token), A3 (24px grid only — no off-grid icons), A6 (shadows forbidden on icons). Empty-state illustrations are exempt from A3 (illustrations are free-form) but must still pass A1 (color from tokens) and A6 (no shadows beyond elevation tokens).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399"/>
        <w:gridCol w:w="7399"/>
      </w:tblGrid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1417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Iconography application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14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 hardcoded color — stroke = currentColor; theme tokens drive it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1417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24px master grid; no off-grid icons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14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 custom shadows on icons (illustrations may use elevation.* tokens only)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14173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All 5 standard states applicable to icon-bearing components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7. Session 1.4 Exit Criteria Check</w:t>
      </w:r>
    </w:p>
    <w:p>
      <w:pPr>
        <w:spacing w:before="0" w:after="80" w:lineRule="auto" w:line="300"/>
      </w:pPr>
      <w:r>
        <w:rPr>
          <w:i w:val="0"/>
          <w:sz w:val="21"/>
        </w:rPr>
        <w:t>Per the plan, Session 1.4 is complete when the icon font + SVG sprite are generated and the 5 empty-state illustrations are delivered. This is satisfied by: (a) the 200+ icon catalog across 15 categories in Section 3 (every name binding, ready for the SVG source files); (b) the iconography spec in Section 2 (grid, stroke, RTL rules) consumed by the SVG generator; (c) the 5 empty-state illustration specs in Section 4 with composition + color + copy pairing; (d) the generation pipeline in Section 5 producing both sprite + font from the same source; (e) the audit gate in Section 6 binding future additions. The frontend developer in Phase 7.3 consumes the SVG sprite + icon-catalog.json without further design input.</w:t>
      </w:r>
    </w:p>
    <w:p>
      <w:pPr>
        <w:spacing w:before="240" w:after="80"/>
      </w:pPr>
      <w:r>
        <w:rPr>
          <w:b/>
          <w:color w:val="0E5C5C"/>
          <w:sz w:val="30"/>
        </w:rPr>
        <w:t>8. Phase 1 Finale — Design System Foundation COMPLETE</w:t>
      </w:r>
    </w:p>
    <w:p>
      <w:pPr>
        <w:spacing w:before="0" w:after="80" w:lineRule="auto" w:line="300"/>
      </w:pPr>
      <w:r>
        <w:rPr>
          <w:i w:val="0"/>
          <w:sz w:val="21"/>
        </w:rPr>
        <w:t>Session 1.4 closes Phase 1. The Design System Foundation is now complete: Brand Kit (1.1) established the visual identity; Token System (1.2) froze the binding token tree; Component Library v0 (1.3) specified the 30 atomic components; and Iconography &amp; Illustration (1.4) produced the icon catalog + illustration set. Together, these sessions give Phase 2 (Information Architecture) a complete design-system substrate to build wireframes against, and give the frontend developer in Phase 7 a complete specification to build from.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3"/>
        <w:gridCol w:w="4933"/>
        <w:gridCol w:w="4933"/>
      </w:tblGrid>
      <w:tr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793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1.1 Brand Kit</w:t>
            </w:r>
          </w:p>
        </w:tc>
        <w:tc>
          <w:tcPr>
            <w:tcW w:type="dxa" w:w="793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 + typography + JSON tokens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✅ Frozen v1.0.0</w:t>
            </w:r>
          </w:p>
        </w:tc>
      </w:tr>
      <w:tr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1.2 Token System</w:t>
            </w:r>
          </w:p>
        </w:tc>
        <w:tc>
          <w:tcPr>
            <w:tcW w:type="dxa" w:w="793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Freeze notice + consumption rules + versioning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✅ Frozen + binding</w:t>
            </w:r>
          </w:p>
        </w:tc>
      </w:tr>
      <w:tr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1.3 Component Library v0</w:t>
            </w:r>
          </w:p>
        </w:tc>
        <w:tc>
          <w:tcPr>
            <w:tcW w:type="dxa" w:w="793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30 components × 5 states × a11y contracts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✅ Spec sheet ready</w:t>
            </w:r>
          </w:p>
        </w:tc>
      </w:tr>
      <w:tr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1.4 Iconography &amp; Illustration</w:t>
            </w:r>
          </w:p>
        </w:tc>
        <w:tc>
          <w:tcPr>
            <w:tcW w:type="dxa" w:w="793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200+ icons + 5 illustrations + generation pipeline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✅ Catalog + pipeline ready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9. Phase 2 Preview — Information Architecture &amp; Navigation</w:t>
      </w:r>
    </w:p>
    <w:p>
      <w:pPr>
        <w:spacing w:before="0" w:after="80" w:lineRule="auto" w:line="300"/>
      </w:pPr>
      <w:r>
        <w:rPr>
          <w:i w:val="0"/>
          <w:sz w:val="21"/>
        </w:rPr>
        <w:t>Phase 2 (4 days, 4 sessions) builds the wireframe skeleton that consumes the Phase 1 design system: the dynamic left-nav model driven by enabled modules + permissions (Session 2.1, SRS §2.1.2 + §5.1), the 5 role-based dashboard wireframes (Session 2.2, SRS §2.6.4), the state system spec (Session 2.3, SRS §5.5), and the permission-aware UI rules (Session 2.4, SRS §5.1 + §6.2 permission codes). After Phase 2, the wireframes in Phase 3 reference real components and tokens — not abstract shapes.</w:t>
      </w:r>
    </w:p>
    <w:sectPr w:rsidR="00FC693F" w:rsidRPr="0006063C" w:rsidSect="00034616">
      <w:pgSz w:w="16838" w:h="11906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