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3A5F"/>
          <w:sz w:val="40"/>
        </w:rPr>
        <w:t>MadrashaOS — Implementation Handover Sequence</w:t>
      </w:r>
    </w:p>
    <w:p>
      <w:pPr>
        <w:spacing w:after="200"/>
      </w:pPr>
      <w:r>
        <w:rPr>
          <w:i/>
          <w:color w:val="555555"/>
          <w:sz w:val="24"/>
        </w:rPr>
        <w:t>Technical Documentation — Role Handover Order for SRS v2.0</w:t>
      </w:r>
    </w:p>
    <w:tbl>
      <w:tblPr>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77"/>
        <w:gridCol w:w="4677"/>
      </w:tblGrid>
      <w:tr>
        <w:tc>
          <w:tcPr>
            <w:tcW w:type="dxa" w:w="2551"/>
            <w:tcMar>
              <w:top w:w="60" w:type="dxa"/>
              <w:left w:w="100" w:type="dxa"/>
              <w:bottom w:w="60" w:type="dxa"/>
              <w:right w:w="100" w:type="dxa"/>
            </w:tcMar>
            <w:shd w:val="clear" w:color="auto" w:fill="F2F2F2"/>
          </w:tcPr>
          <w:p>
            <w:r/>
            <w:r>
              <w:rPr>
                <w:b/>
                <w:sz w:val="20"/>
              </w:rPr>
              <w:t>Document</w:t>
            </w:r>
          </w:p>
        </w:tc>
        <w:tc>
          <w:tcPr>
            <w:tcW w:type="dxa" w:w="6803"/>
            <w:tcMar>
              <w:top w:w="60" w:type="dxa"/>
              <w:left w:w="100" w:type="dxa"/>
              <w:bottom w:w="60" w:type="dxa"/>
              <w:right w:w="100" w:type="dxa"/>
            </w:tcMar>
          </w:tcPr>
          <w:p>
            <w:r/>
            <w:r>
              <w:rPr>
                <w:sz w:val="20"/>
              </w:rPr>
              <w:t>MadrashaOS_HandoverSequence_TechnicalDoc_2026-09-16</w:t>
            </w:r>
          </w:p>
        </w:tc>
      </w:tr>
      <w:tr>
        <w:tc>
          <w:tcPr>
            <w:tcW w:type="dxa" w:w="2551"/>
            <w:tcMar>
              <w:top w:w="60" w:type="dxa"/>
              <w:left w:w="100" w:type="dxa"/>
              <w:bottom w:w="60" w:type="dxa"/>
              <w:right w:w="100" w:type="dxa"/>
            </w:tcMar>
            <w:shd w:val="clear" w:color="auto" w:fill="F2F2F2"/>
          </w:tcPr>
          <w:p>
            <w:r/>
            <w:r>
              <w:rPr>
                <w:b/>
                <w:sz w:val="20"/>
              </w:rPr>
              <w:t>Source SRS</w:t>
            </w:r>
          </w:p>
        </w:tc>
        <w:tc>
          <w:tcPr>
            <w:tcW w:type="dxa" w:w="6803"/>
            <w:tcMar>
              <w:top w:w="60" w:type="dxa"/>
              <w:left w:w="100" w:type="dxa"/>
              <w:bottom w:w="60" w:type="dxa"/>
              <w:right w:w="100" w:type="dxa"/>
            </w:tcMar>
          </w:tcPr>
          <w:p>
            <w:r/>
            <w:r>
              <w:rPr>
                <w:sz w:val="20"/>
              </w:rPr>
              <w:t>MadrashaOS Implementation-Grade SRS v2.0 (2026-09-16)</w:t>
            </w:r>
          </w:p>
        </w:tc>
      </w:tr>
      <w:tr>
        <w:tc>
          <w:tcPr>
            <w:tcW w:type="dxa" w:w="2551"/>
            <w:tcMar>
              <w:top w:w="60" w:type="dxa"/>
              <w:left w:w="100" w:type="dxa"/>
              <w:bottom w:w="60" w:type="dxa"/>
              <w:right w:w="100" w:type="dxa"/>
            </w:tcMar>
            <w:shd w:val="clear" w:color="auto" w:fill="F2F2F2"/>
          </w:tcPr>
          <w:p>
            <w:r/>
            <w:r>
              <w:rPr>
                <w:b/>
                <w:sz w:val="20"/>
              </w:rPr>
              <w:t>Audience</w:t>
            </w:r>
          </w:p>
        </w:tc>
        <w:tc>
          <w:tcPr>
            <w:tcW w:type="dxa" w:w="6803"/>
            <w:tcMar>
              <w:top w:w="60" w:type="dxa"/>
              <w:left w:w="100" w:type="dxa"/>
              <w:bottom w:w="60" w:type="dxa"/>
              <w:right w:w="100" w:type="dxa"/>
            </w:tcMar>
          </w:tcPr>
          <w:p>
            <w:r/>
            <w:r>
              <w:rPr>
                <w:sz w:val="20"/>
              </w:rPr>
              <w:t>Project Manager, Tech Lead, UI/UX Lead, Backend Lead, Frontend Lead</w:t>
            </w:r>
          </w:p>
        </w:tc>
      </w:tr>
      <w:tr>
        <w:tc>
          <w:tcPr>
            <w:tcW w:type="dxa" w:w="2551"/>
            <w:tcMar>
              <w:top w:w="60" w:type="dxa"/>
              <w:left w:w="100" w:type="dxa"/>
              <w:bottom w:w="60" w:type="dxa"/>
              <w:right w:w="100" w:type="dxa"/>
            </w:tcMar>
            <w:shd w:val="clear" w:color="auto" w:fill="F2F2F2"/>
          </w:tcPr>
          <w:p>
            <w:r/>
            <w:r>
              <w:rPr>
                <w:b/>
                <w:sz w:val="20"/>
              </w:rPr>
              <w:t>Status</w:t>
            </w:r>
          </w:p>
        </w:tc>
        <w:tc>
          <w:tcPr>
            <w:tcW w:type="dxa" w:w="6803"/>
            <w:tcMar>
              <w:top w:w="60" w:type="dxa"/>
              <w:left w:w="100" w:type="dxa"/>
              <w:bottom w:w="60" w:type="dxa"/>
              <w:right w:w="100" w:type="dxa"/>
            </w:tcMar>
          </w:tcPr>
          <w:p>
            <w:r/>
            <w:r>
              <w:rPr>
                <w:sz w:val="20"/>
              </w:rPr>
              <w:t>Approved for handover planning</w:t>
            </w:r>
          </w:p>
        </w:tc>
      </w:tr>
    </w:tbl>
    <w:p>
      <w:pPr>
        <w:spacing w:after="40"/>
      </w:pPr>
    </w:p>
    <w:p>
      <w:pPr>
        <w:spacing w:before="280" w:after="120"/>
      </w:pPr>
      <w:r>
        <w:rPr>
          <w:b/>
          <w:color w:val="1F3A5F"/>
          <w:sz w:val="32"/>
        </w:rPr>
        <w:t>1. Overview</w:t>
      </w:r>
    </w:p>
    <w:p>
      <w:pPr>
        <w:spacing w:before="0" w:after="120" w:lineRule="auto" w:line="312"/>
      </w:pPr>
      <w:r>
        <w:rPr>
          <w:i w:val="0"/>
          <w:sz w:val="22"/>
        </w:rPr>
        <w:t>This document defines the recommended order in which the approved MadrashaOS SRS v2.0 is handed to the three implementation roles: UI/UX Designer, Backend Developer, and Frontend Developer. The sequence is derived directly from the structure, dependencies, and open items of the SRS itself — not from generic assumptions. Each role receives a clear handoff artifact from the preceding role, and the order minimizes rework, mock-data throwaway, and integration friction. The recommendation applies to the first build pass of Phase 0 (Foundation modules) and Phase 1; subsequent phases may parallelize once the foundation contracts are stable.</w:t>
      </w:r>
    </w:p>
    <w:p>
      <w:pPr>
        <w:spacing w:before="280" w:after="120"/>
      </w:pPr>
      <w:r>
        <w:rPr>
          <w:b/>
          <w:color w:val="1F3A5F"/>
          <w:sz w:val="32"/>
        </w:rPr>
        <w:t>2. Recommended Handover Sequence</w:t>
      </w:r>
    </w:p>
    <w:p>
      <w:pPr>
        <w:spacing w:before="0" w:after="120" w:lineRule="auto" w:line="312"/>
      </w:pPr>
      <w:r>
        <w:rPr>
          <w:i w:val="0"/>
          <w:sz w:val="22"/>
        </w:rPr>
        <w:t>The single recommended order is: UI/UX Designer first, Backend Developer second, Frontend Developer third. The summary below captures the rationale, estimated duration, and the artifacts each role must produce before the next role can start.</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39"/>
        <w:gridCol w:w="2339"/>
        <w:gridCol w:w="2339"/>
        <w:gridCol w:w="2339"/>
      </w:tblGrid>
      <w:tr>
        <w:tc>
          <w:tcPr>
            <w:tcW w:type="dxa" w:w="2339"/>
            <w:tcMar>
              <w:top w:w="60" w:type="dxa"/>
              <w:left w:w="100" w:type="dxa"/>
              <w:bottom w:w="60" w:type="dxa"/>
              <w:right w:w="100" w:type="dxa"/>
            </w:tcMar>
            <w:shd w:val="clear" w:color="auto" w:fill="1F3A5F"/>
          </w:tcPr>
          <w:p>
            <w:r/>
            <w:r>
              <w:rPr>
                <w:b/>
                <w:color w:val="FFFFFF"/>
                <w:sz w:val="20"/>
              </w:rPr>
              <w:t>Order</w:t>
            </w:r>
          </w:p>
        </w:tc>
        <w:tc>
          <w:tcPr>
            <w:tcW w:type="dxa" w:w="2339"/>
            <w:tcMar>
              <w:top w:w="60" w:type="dxa"/>
              <w:left w:w="100" w:type="dxa"/>
              <w:bottom w:w="60" w:type="dxa"/>
              <w:right w:w="100" w:type="dxa"/>
            </w:tcMar>
            <w:shd w:val="clear" w:color="auto" w:fill="1F3A5F"/>
          </w:tcPr>
          <w:p>
            <w:r/>
            <w:r>
              <w:rPr>
                <w:b/>
                <w:color w:val="FFFFFF"/>
                <w:sz w:val="20"/>
              </w:rPr>
              <w:t>Role</w:t>
            </w:r>
          </w:p>
        </w:tc>
        <w:tc>
          <w:tcPr>
            <w:tcW w:type="dxa" w:w="2339"/>
            <w:tcMar>
              <w:top w:w="60" w:type="dxa"/>
              <w:left w:w="100" w:type="dxa"/>
              <w:bottom w:w="60" w:type="dxa"/>
              <w:right w:w="100" w:type="dxa"/>
            </w:tcMar>
            <w:shd w:val="clear" w:color="auto" w:fill="1F3A5F"/>
          </w:tcPr>
          <w:p>
            <w:r/>
            <w:r>
              <w:rPr>
                <w:b/>
                <w:color w:val="FFFFFF"/>
                <w:sz w:val="20"/>
              </w:rPr>
              <w:t>Est. Duration</w:t>
            </w:r>
          </w:p>
        </w:tc>
        <w:tc>
          <w:tcPr>
            <w:tcW w:type="dxa" w:w="2339"/>
            <w:tcMar>
              <w:top w:w="60" w:type="dxa"/>
              <w:left w:w="100" w:type="dxa"/>
              <w:bottom w:w="60" w:type="dxa"/>
              <w:right w:w="100" w:type="dxa"/>
            </w:tcMar>
            <w:shd w:val="clear" w:color="auto" w:fill="1F3A5F"/>
          </w:tcPr>
          <w:p>
            <w:r/>
            <w:r>
              <w:rPr>
                <w:b/>
                <w:color w:val="FFFFFF"/>
                <w:sz w:val="20"/>
              </w:rPr>
              <w:t>Primary Handoff Artifact</w:t>
            </w:r>
          </w:p>
        </w:tc>
      </w:tr>
      <w:tr>
        <w:tc>
          <w:tcPr>
            <w:tcW w:type="dxa" w:w="2339"/>
            <w:tcMar>
              <w:top w:w="60" w:type="dxa"/>
              <w:left w:w="100" w:type="dxa"/>
              <w:bottom w:w="60" w:type="dxa"/>
              <w:right w:w="100" w:type="dxa"/>
            </w:tcMar>
          </w:tcPr>
          <w:p>
            <w:pPr>
              <w:jc w:val="center"/>
            </w:pPr>
            <w:r/>
            <w:r>
              <w:rPr>
                <w:b/>
                <w:sz w:val="20"/>
              </w:rPr>
              <w:t>1</w:t>
            </w:r>
          </w:p>
        </w:tc>
        <w:tc>
          <w:tcPr>
            <w:tcW w:type="dxa" w:w="2339"/>
            <w:tcMar>
              <w:top w:w="60" w:type="dxa"/>
              <w:left w:w="100" w:type="dxa"/>
              <w:bottom w:w="60" w:type="dxa"/>
              <w:right w:w="100" w:type="dxa"/>
            </w:tcMar>
          </w:tcPr>
          <w:p>
            <w:r/>
            <w:r>
              <w:rPr>
                <w:sz w:val="20"/>
              </w:rPr>
              <w:t>UI/UX Designer</w:t>
            </w:r>
          </w:p>
        </w:tc>
        <w:tc>
          <w:tcPr>
            <w:tcW w:type="dxa" w:w="2339"/>
            <w:tcMar>
              <w:top w:w="60" w:type="dxa"/>
              <w:left w:w="100" w:type="dxa"/>
              <w:bottom w:w="60" w:type="dxa"/>
              <w:right w:w="100" w:type="dxa"/>
            </w:tcMar>
          </w:tcPr>
          <w:p>
            <w:r/>
            <w:r>
              <w:rPr>
                <w:sz w:val="20"/>
              </w:rPr>
              <w:t>2–4 weeks</w:t>
            </w:r>
          </w:p>
        </w:tc>
        <w:tc>
          <w:tcPr>
            <w:tcW w:type="dxa" w:w="2339"/>
            <w:tcMar>
              <w:top w:w="60" w:type="dxa"/>
              <w:left w:w="100" w:type="dxa"/>
              <w:bottom w:w="60" w:type="dxa"/>
              <w:right w:w="100" w:type="dxa"/>
            </w:tcMar>
          </w:tcPr>
          <w:p>
            <w:r/>
            <w:r>
              <w:rPr>
                <w:sz w:val="20"/>
              </w:rPr>
              <w:t>Design system, wireframes, hi-fi mockups, PDF/print templates, brand kit</w:t>
            </w:r>
          </w:p>
        </w:tc>
      </w:tr>
      <w:tr>
        <w:tc>
          <w:tcPr>
            <w:tcW w:type="dxa" w:w="2339"/>
            <w:tcMar>
              <w:top w:w="60" w:type="dxa"/>
              <w:left w:w="100" w:type="dxa"/>
              <w:bottom w:w="60" w:type="dxa"/>
              <w:right w:w="100" w:type="dxa"/>
            </w:tcMar>
            <w:shd w:val="clear" w:color="auto" w:fill="F7F7F7"/>
          </w:tcPr>
          <w:p>
            <w:pPr>
              <w:jc w:val="center"/>
            </w:pPr>
            <w:r/>
            <w:r>
              <w:rPr>
                <w:b/>
                <w:sz w:val="20"/>
              </w:rPr>
              <w:t>2</w:t>
            </w:r>
          </w:p>
        </w:tc>
        <w:tc>
          <w:tcPr>
            <w:tcW w:type="dxa" w:w="2339"/>
            <w:tcMar>
              <w:top w:w="60" w:type="dxa"/>
              <w:left w:w="100" w:type="dxa"/>
              <w:bottom w:w="60" w:type="dxa"/>
              <w:right w:w="100" w:type="dxa"/>
            </w:tcMar>
            <w:shd w:val="clear" w:color="auto" w:fill="F7F7F7"/>
          </w:tcPr>
          <w:p>
            <w:r/>
            <w:r>
              <w:rPr>
                <w:sz w:val="20"/>
              </w:rPr>
              <w:t>Backend Developer</w:t>
            </w:r>
          </w:p>
        </w:tc>
        <w:tc>
          <w:tcPr>
            <w:tcW w:type="dxa" w:w="2339"/>
            <w:tcMar>
              <w:top w:w="60" w:type="dxa"/>
              <w:left w:w="100" w:type="dxa"/>
              <w:bottom w:w="60" w:type="dxa"/>
              <w:right w:w="100" w:type="dxa"/>
            </w:tcMar>
            <w:shd w:val="clear" w:color="auto" w:fill="F7F7F7"/>
          </w:tcPr>
          <w:p>
            <w:r/>
            <w:r>
              <w:rPr>
                <w:sz w:val="20"/>
              </w:rPr>
              <w:t>4–6 weeks (Phase 0)</w:t>
            </w:r>
          </w:p>
        </w:tc>
        <w:tc>
          <w:tcPr>
            <w:tcW w:type="dxa" w:w="2339"/>
            <w:tcMar>
              <w:top w:w="60" w:type="dxa"/>
              <w:left w:w="100" w:type="dxa"/>
              <w:bottom w:w="60" w:type="dxa"/>
              <w:right w:w="100" w:type="dxa"/>
            </w:tcMar>
            <w:shd w:val="clear" w:color="auto" w:fill="F7F7F7"/>
          </w:tcPr>
          <w:p>
            <w:r/>
            <w:r>
              <w:rPr>
                <w:sz w:val="20"/>
              </w:rPr>
              <w:t>DB schema (DDL), REST API endpoints, OpenAPI 3.1 spec, auth/RBAC, tenant isolation</w:t>
            </w:r>
          </w:p>
        </w:tc>
      </w:tr>
      <w:tr>
        <w:tc>
          <w:tcPr>
            <w:tcW w:type="dxa" w:w="2339"/>
            <w:tcMar>
              <w:top w:w="60" w:type="dxa"/>
              <w:left w:w="100" w:type="dxa"/>
              <w:bottom w:w="60" w:type="dxa"/>
              <w:right w:w="100" w:type="dxa"/>
            </w:tcMar>
          </w:tcPr>
          <w:p>
            <w:pPr>
              <w:jc w:val="center"/>
            </w:pPr>
            <w:r/>
            <w:r>
              <w:rPr>
                <w:b/>
                <w:sz w:val="20"/>
              </w:rPr>
              <w:t>3</w:t>
            </w:r>
          </w:p>
        </w:tc>
        <w:tc>
          <w:tcPr>
            <w:tcW w:type="dxa" w:w="2339"/>
            <w:tcMar>
              <w:top w:w="60" w:type="dxa"/>
              <w:left w:w="100" w:type="dxa"/>
              <w:bottom w:w="60" w:type="dxa"/>
              <w:right w:w="100" w:type="dxa"/>
            </w:tcMar>
          </w:tcPr>
          <w:p>
            <w:r/>
            <w:r>
              <w:rPr>
                <w:sz w:val="20"/>
              </w:rPr>
              <w:t>Frontend Developer</w:t>
            </w:r>
          </w:p>
        </w:tc>
        <w:tc>
          <w:tcPr>
            <w:tcW w:type="dxa" w:w="2339"/>
            <w:tcMar>
              <w:top w:w="60" w:type="dxa"/>
              <w:left w:w="100" w:type="dxa"/>
              <w:bottom w:w="60" w:type="dxa"/>
              <w:right w:w="100" w:type="dxa"/>
            </w:tcMar>
          </w:tcPr>
          <w:p>
            <w:r/>
            <w:r>
              <w:rPr>
                <w:sz w:val="20"/>
              </w:rPr>
              <w:t>Continuous</w:t>
            </w:r>
          </w:p>
        </w:tc>
        <w:tc>
          <w:tcPr>
            <w:tcW w:type="dxa" w:w="2339"/>
            <w:tcMar>
              <w:top w:w="60" w:type="dxa"/>
              <w:left w:w="100" w:type="dxa"/>
              <w:bottom w:w="60" w:type="dxa"/>
              <w:right w:w="100" w:type="dxa"/>
            </w:tcMar>
          </w:tcPr>
          <w:p>
            <w:r/>
            <w:r>
              <w:rPr>
                <w:sz w:val="20"/>
              </w:rPr>
              <w:t>Working web app consuming the design system + the live API contract</w:t>
            </w:r>
          </w:p>
        </w:tc>
      </w:tr>
    </w:tbl>
    <w:p>
      <w:pPr>
        <w:spacing w:before="280" w:after="120"/>
      </w:pPr>
      <w:r>
        <w:rPr>
          <w:b/>
          <w:color w:val="1F3A5F"/>
          <w:sz w:val="32"/>
        </w:rPr>
        <w:t>3. Phase 1 — UI/UX Designer (First)</w:t>
      </w:r>
    </w:p>
    <w:p>
      <w:pPr>
        <w:spacing w:before="200" w:after="120"/>
      </w:pPr>
      <w:r>
        <w:rPr>
          <w:b/>
          <w:color w:val="1F3A5F"/>
          <w:sz w:val="26"/>
        </w:rPr>
        <w:t>3.1 Rationale (grounded in the SRS)</w:t>
      </w:r>
    </w:p>
    <w:p>
      <w:pPr>
        <w:pStyle w:val="ListBullet"/>
        <w:spacing w:before="0" w:after="60" w:line="288" w:lineRule="auto"/>
      </w:pPr>
      <w:r/>
      <w:r>
        <w:rPr>
          <w:sz w:val="22"/>
        </w:rPr>
        <w:t>Part 11.3 of the SRS explicitly lists “Final visual design / brand kit for PDF templates and public website” as an unresolved OPEN ITEM. This must be closed before code is written; otherwise the frontend will produce inconsistent UI and the PDF module (Part 2.6.5) cannot render branded receipts, mark sheets, and certificates.</w:t>
      </w:r>
    </w:p>
    <w:p>
      <w:pPr>
        <w:pStyle w:val="ListBullet"/>
        <w:spacing w:before="0" w:after="60" w:line="288" w:lineRule="auto"/>
      </w:pPr>
      <w:r/>
      <w:r>
        <w:rPr>
          <w:sz w:val="22"/>
        </w:rPr>
        <w:t>Part 5 (UI Requirements) defines specifications only — screen names, navigation rules, and state behaviors. The actual mockups, component library, spacing, color tokens, and icon set do not yet exist and are a prerequisite for the frontend developer.</w:t>
      </w:r>
    </w:p>
    <w:p>
      <w:pPr>
        <w:pStyle w:val="ListBullet"/>
        <w:spacing w:before="0" w:after="60" w:line="288" w:lineRule="auto"/>
      </w:pPr>
      <w:r/>
      <w:r>
        <w:rPr>
          <w:sz w:val="22"/>
        </w:rPr>
        <w:t>The client constraint in §10.8 — “the system must not be extremely complicated, not difficult for teachers or accountants, and not dependent on one employee” — is a UX-driven constraint. These decisions must be made visually before any code is committed.</w:t>
      </w:r>
    </w:p>
    <w:p>
      <w:pPr>
        <w:pStyle w:val="ListBullet"/>
        <w:spacing w:before="0" w:after="60" w:line="288" w:lineRule="auto"/>
      </w:pPr>
      <w:r/>
      <w:r>
        <w:rPr>
          <w:sz w:val="22"/>
        </w:rPr>
        <w:t>The system has 40+ modules across Parts 2.1–2.7. Without a unified design system produced first, each frontend screen would diverge in density, navigation, and terminology.</w:t>
      </w:r>
    </w:p>
    <w:p>
      <w:pPr>
        <w:pStyle w:val="ListBullet"/>
        <w:spacing w:before="0" w:after="60" w:line="288" w:lineRule="auto"/>
      </w:pPr>
      <w:r/>
      <w:r>
        <w:rPr>
          <w:sz w:val="22"/>
        </w:rPr>
        <w:t>Multi-language support (Bangla, English, Arabic per §10.6) and Arabic RTL rendering on PDF require typography and layout decisions that only the designer can finalize.</w:t>
      </w:r>
    </w:p>
    <w:p>
      <w:pPr>
        <w:pStyle w:val="ListBullet"/>
        <w:spacing w:before="0" w:after="60" w:line="288" w:lineRule="auto"/>
      </w:pPr>
      <w:r/>
      <w:r>
        <w:rPr>
          <w:sz w:val="22"/>
        </w:rPr>
        <w:t>Mobile-first workflows — attendance capture in &lt;60 seconds (§2.3.2), guardian portal (§2.2.3), marks entry (§5.4) — demand interactive prototypes to validate the interaction model before backend builds the supporting endpoints.</w:t>
      </w:r>
    </w:p>
    <w:p>
      <w:pPr>
        <w:spacing w:before="200" w:after="120"/>
      </w:pPr>
      <w:r>
        <w:rPr>
          <w:b/>
          <w:color w:val="1F3A5F"/>
          <w:sz w:val="26"/>
        </w:rPr>
        <w:t>3.2 Deliverables</w:t>
      </w:r>
    </w:p>
    <w:p>
      <w:pPr>
        <w:pStyle w:val="ListBullet"/>
        <w:spacing w:before="0" w:after="60" w:line="288" w:lineRule="auto"/>
      </w:pPr>
      <w:r/>
      <w:r>
        <w:rPr>
          <w:sz w:val="22"/>
        </w:rPr>
        <w:t>Brand kit: logo, color palette, typography stack for Bangla/English/Arabic.</w:t>
      </w:r>
    </w:p>
    <w:p>
      <w:pPr>
        <w:pStyle w:val="ListBullet"/>
        <w:spacing w:before="0" w:after="60" w:line="288" w:lineRule="auto"/>
      </w:pPr>
      <w:r/>
      <w:r>
        <w:rPr>
          <w:sz w:val="22"/>
        </w:rPr>
        <w:t>Design system: tokens (spacing, color, type scale), component library (forms, tables, modals, toasts, cards).</w:t>
      </w:r>
    </w:p>
    <w:p>
      <w:pPr>
        <w:pStyle w:val="ListBullet"/>
        <w:spacing w:before="0" w:after="60" w:line="288" w:lineRule="auto"/>
      </w:pPr>
      <w:r/>
      <w:r>
        <w:rPr>
          <w:sz w:val="22"/>
        </w:rPr>
        <w:t>Wireframes + hi-fi mockups for the Phase 0 + Phase 1 screens listed in Part 2 (Organization, RBAC, Audit, Security, Backup, Students, Attendance, Fees, Accounting, Dashboard).</w:t>
      </w:r>
    </w:p>
    <w:p>
      <w:pPr>
        <w:pStyle w:val="ListBullet"/>
        <w:spacing w:before="0" w:after="60" w:line="288" w:lineRule="auto"/>
      </w:pPr>
      <w:r/>
      <w:r>
        <w:rPr>
          <w:sz w:val="22"/>
        </w:rPr>
        <w:t>PDF/print templates for receipts, fee plans, mark sheets, result sheets, audit explorer exports.</w:t>
      </w:r>
    </w:p>
    <w:p>
      <w:pPr>
        <w:pStyle w:val="ListBullet"/>
        <w:spacing w:before="0" w:after="60" w:line="288" w:lineRule="auto"/>
      </w:pPr>
      <w:r/>
      <w:r>
        <w:rPr>
          <w:sz w:val="22"/>
        </w:rPr>
        <w:t>Empty / loading / error / permission-denied state designs (per §5.5).</w:t>
      </w:r>
    </w:p>
    <w:p>
      <w:pPr>
        <w:pStyle w:val="ListBullet"/>
        <w:spacing w:before="0" w:after="60" w:line="288" w:lineRule="auto"/>
      </w:pPr>
      <w:r/>
      <w:r>
        <w:rPr>
          <w:sz w:val="22"/>
        </w:rPr>
        <w:t>Mobile interaction prototypes for attendance and guardian portal.</w:t>
      </w:r>
    </w:p>
    <w:p>
      <w:pPr>
        <w:spacing w:before="280" w:after="120"/>
      </w:pPr>
      <w:r>
        <w:rPr>
          <w:b/>
          <w:color w:val="1F3A5F"/>
          <w:sz w:val="32"/>
        </w:rPr>
        <w:t>4. Phase 2 — Backend Developer (Second)</w:t>
      </w:r>
    </w:p>
    <w:p>
      <w:pPr>
        <w:spacing w:before="200" w:after="120"/>
      </w:pPr>
      <w:r>
        <w:rPr>
          <w:b/>
          <w:color w:val="1F3A5F"/>
          <w:sz w:val="26"/>
        </w:rPr>
        <w:t>4.1 Rationale (grounded in the SRS)</w:t>
      </w:r>
    </w:p>
    <w:p>
      <w:pPr>
        <w:pStyle w:val="ListBullet"/>
        <w:spacing w:before="0" w:after="60" w:line="288" w:lineRule="auto"/>
      </w:pPr>
      <w:r/>
      <w:r>
        <w:rPr>
          <w:sz w:val="22"/>
        </w:rPr>
        <w:t>Part 6.7 states that the OpenAPI 3.1 specification is “generated from the code” and is the authoritative API contract. The frontend developer consumes this contract; therefore the backend must produce working endpoints before meaningful frontend integration can begin.</w:t>
      </w:r>
    </w:p>
    <w:p>
      <w:pPr>
        <w:pStyle w:val="ListBullet"/>
        <w:spacing w:before="0" w:after="60" w:line="288" w:lineRule="auto"/>
      </w:pPr>
      <w:r/>
      <w:r>
        <w:rPr>
          <w:sz w:val="22"/>
        </w:rPr>
        <w:t>Part 2.1 (Foundation Modules) is explicitly marked Phase 0 and must be implemented first because tenant isolation, branch scoping, RBAC, audit, and localization are cross-cutting concerns invoked by every subsequent module. These are backend responsibilities.</w:t>
      </w:r>
    </w:p>
    <w:p>
      <w:pPr>
        <w:pStyle w:val="ListBullet"/>
        <w:spacing w:before="0" w:after="60" w:line="288" w:lineRule="auto"/>
      </w:pPr>
      <w:r/>
      <w:r>
        <w:rPr>
          <w:sz w:val="22"/>
        </w:rPr>
        <w:t>Part 7 (Database Requirements) defines naming, multi-tenant isolation strategy (row-level security), indexing, and audit structures — but the actual DDL migrations must be produced by the backend developer before any data can flow.</w:t>
      </w:r>
    </w:p>
    <w:p>
      <w:pPr>
        <w:pStyle w:val="ListBullet"/>
        <w:spacing w:before="0" w:after="60" w:line="288" w:lineRule="auto"/>
      </w:pPr>
      <w:r/>
      <w:r>
        <w:rPr>
          <w:sz w:val="22"/>
        </w:rPr>
        <w:t>Part 3.6 (the “Golden Flow” financial posting contract) is a binding backend rule. Fees, donations, Zakat, salaries, and purchases all post through the Accounting ledger as balanced entries; the backend must enforce this or every finance module will diverge.</w:t>
      </w:r>
    </w:p>
    <w:p>
      <w:pPr>
        <w:pStyle w:val="ListBullet"/>
        <w:spacing w:before="0" w:after="60" w:line="288" w:lineRule="auto"/>
      </w:pPr>
      <w:r/>
      <w:r>
        <w:rPr>
          <w:sz w:val="22"/>
        </w:rPr>
        <w:t>Part 6.2 (Auth &amp; Authorization): access/refresh token rotation, MFA, failed-login lockout, permission-code middleware, and row-level security in the repository layer are all backend infrastructure that the frontend depends on for any protected screen.</w:t>
      </w:r>
    </w:p>
    <w:p>
      <w:pPr>
        <w:pStyle w:val="ListBullet"/>
        <w:spacing w:before="0" w:after="60" w:line="288" w:lineRule="auto"/>
      </w:pPr>
      <w:r/>
      <w:r>
        <w:rPr>
          <w:sz w:val="22"/>
        </w:rPr>
        <w:t>Approximately 180+ API endpoints across all modules (Part 6.7) must exist before the frontend can do more than render static mockups.</w:t>
      </w:r>
    </w:p>
    <w:p>
      <w:pPr>
        <w:spacing w:before="200" w:after="120"/>
      </w:pPr>
      <w:r>
        <w:rPr>
          <w:b/>
          <w:color w:val="1F3A5F"/>
          <w:sz w:val="26"/>
        </w:rPr>
        <w:t>4.2 Deliverables</w:t>
      </w:r>
    </w:p>
    <w:p>
      <w:pPr>
        <w:pStyle w:val="ListBullet"/>
        <w:spacing w:before="0" w:after="60" w:line="288" w:lineRule="auto"/>
      </w:pPr>
      <w:r/>
      <w:r>
        <w:rPr>
          <w:sz w:val="22"/>
        </w:rPr>
        <w:t>Versioned, reversible DB migrations (DDL) implementing Part 7 rules — snake_case tables, uuid PKs, organization_id + branch_id columns, soft-delete, decimal money.</w:t>
      </w:r>
    </w:p>
    <w:p>
      <w:pPr>
        <w:pStyle w:val="ListBullet"/>
        <w:spacing w:before="0" w:after="60" w:line="288" w:lineRule="auto"/>
      </w:pPr>
      <w:r/>
      <w:r>
        <w:rPr>
          <w:sz w:val="22"/>
        </w:rPr>
        <w:t>Phase 0 module implementations: Organization &amp; Multi-Branch, Module Configuration, Users &amp; Roles (RBAC), Audit Trail, Security, Backup &amp; Recovery.</w:t>
      </w:r>
    </w:p>
    <w:p>
      <w:pPr>
        <w:pStyle w:val="ListBullet"/>
        <w:spacing w:before="0" w:after="60" w:line="288" w:lineRule="auto"/>
      </w:pPr>
      <w:r/>
      <w:r>
        <w:rPr>
          <w:sz w:val="22"/>
        </w:rPr>
        <w:t>REST API following Part 6 conventions: /api/v1 prefix, standard list envelope, idempotency-key, error JSON, rate limiting.</w:t>
      </w:r>
    </w:p>
    <w:p>
      <w:pPr>
        <w:pStyle w:val="ListBullet"/>
        <w:spacing w:before="0" w:after="60" w:line="288" w:lineRule="auto"/>
      </w:pPr>
      <w:r/>
      <w:r>
        <w:rPr>
          <w:sz w:val="22"/>
        </w:rPr>
        <w:t>OpenAPI 3.1 spec auto-generated from code — this is the handoff artifact to the frontend.</w:t>
      </w:r>
    </w:p>
    <w:p>
      <w:pPr>
        <w:pStyle w:val="ListBullet"/>
        <w:spacing w:before="0" w:after="60" w:line="288" w:lineRule="auto"/>
      </w:pPr>
      <w:r/>
      <w:r>
        <w:rPr>
          <w:sz w:val="22"/>
        </w:rPr>
        <w:t>Auth: JWT access (15 min) + refresh (7 days, rotating), MFA (TOTP), permission-code middleware.</w:t>
      </w:r>
    </w:p>
    <w:p>
      <w:pPr>
        <w:pStyle w:val="ListBullet"/>
        <w:spacing w:before="0" w:after="60" w:line="288" w:lineRule="auto"/>
      </w:pPr>
      <w:r/>
      <w:r>
        <w:rPr>
          <w:sz w:val="22"/>
        </w:rPr>
        <w:t>Cross-cutting enforcement: tenant_id injection in repository layer, branch scoping, audit-on-write for §3.4 entities, fund isolation for Zakat (§3.7).</w:t>
      </w:r>
    </w:p>
    <w:p>
      <w:pPr>
        <w:spacing w:before="280" w:after="120"/>
      </w:pPr>
      <w:r>
        <w:rPr>
          <w:b/>
          <w:color w:val="1F3A5F"/>
          <w:sz w:val="32"/>
        </w:rPr>
        <w:t>5. Phase 3 — Frontend Developer (Third)</w:t>
      </w:r>
    </w:p>
    <w:p>
      <w:pPr>
        <w:spacing w:before="200" w:after="120"/>
      </w:pPr>
      <w:r>
        <w:rPr>
          <w:b/>
          <w:color w:val="1F3A5F"/>
          <w:sz w:val="26"/>
        </w:rPr>
        <w:t>5.1 Rationale (grounded in the SRS)</w:t>
      </w:r>
    </w:p>
    <w:p>
      <w:pPr>
        <w:pStyle w:val="ListBullet"/>
        <w:spacing w:before="0" w:after="60" w:line="288" w:lineRule="auto"/>
      </w:pPr>
      <w:r/>
      <w:r>
        <w:rPr>
          <w:sz w:val="22"/>
        </w:rPr>
        <w:t>The frontend’s job is to consume two artifacts: the design system (from the designer) and the live API contract / OpenAPI spec (from the backend). Building before either exists produces throwaway mock data and divergent UI.</w:t>
      </w:r>
    </w:p>
    <w:p>
      <w:pPr>
        <w:pStyle w:val="ListBullet"/>
        <w:spacing w:before="0" w:after="60" w:line="288" w:lineRule="auto"/>
      </w:pPr>
      <w:r/>
      <w:r>
        <w:rPr>
          <w:sz w:val="22"/>
        </w:rPr>
        <w:t>Part 5.1 requires permission-based UI: “menus, buttons, and fields the user cannot use are hidden; server still enforces authorization.” The frontend needs the permission-code catalog (e.g., fees.payment.create, students.notes.view) from the backend before it can wire visibility rules correctly.</w:t>
      </w:r>
    </w:p>
    <w:p>
      <w:pPr>
        <w:pStyle w:val="ListBullet"/>
        <w:spacing w:before="0" w:after="60" w:line="288" w:lineRule="auto"/>
      </w:pPr>
      <w:r/>
      <w:r>
        <w:rPr>
          <w:sz w:val="22"/>
        </w:rPr>
        <w:t>Part 6.5 (Idempotency-Key, async export jobs polled via /jobs/{id}) and Part 6.3 (standard list envelope) are integration patterns the frontend must implement against real endpoints — not approximations.</w:t>
      </w:r>
    </w:p>
    <w:p>
      <w:pPr>
        <w:pStyle w:val="ListBullet"/>
        <w:spacing w:before="0" w:after="60" w:line="288" w:lineRule="auto"/>
      </w:pPr>
      <w:r/>
      <w:r>
        <w:rPr>
          <w:sz w:val="22"/>
        </w:rPr>
        <w:t>Part 2.6.5 (Printing &amp; PDF) and Part 5.6 require the frontend to trigger branded PDFs that render Bangla/English/Arabic correctly. The PDF templates come from the designer; the PDF engine endpoints come from the backend. The frontend cannot finalize this surface until both are ready.</w:t>
      </w:r>
    </w:p>
    <w:p>
      <w:pPr>
        <w:pStyle w:val="ListBullet"/>
        <w:spacing w:before="0" w:after="60" w:line="288" w:lineRule="auto"/>
      </w:pPr>
      <w:r/>
      <w:r>
        <w:rPr>
          <w:sz w:val="22"/>
        </w:rPr>
        <w:t>Mobile-first surfaces (§2.3.2 attendance, §2.2.3 guardian portal, §5.4) require both the mobile interaction prototypes (designer) and the underlying endpoints (backend) to be available before integration testing is meaningful.</w:t>
      </w:r>
    </w:p>
    <w:p>
      <w:pPr>
        <w:spacing w:before="200" w:after="120"/>
      </w:pPr>
      <w:r>
        <w:rPr>
          <w:b/>
          <w:color w:val="1F3A5F"/>
          <w:sz w:val="26"/>
        </w:rPr>
        <w:t>5.2 Deliverables</w:t>
      </w:r>
    </w:p>
    <w:p>
      <w:pPr>
        <w:pStyle w:val="ListBullet"/>
        <w:spacing w:before="0" w:after="60" w:line="288" w:lineRule="auto"/>
      </w:pPr>
      <w:r/>
      <w:r>
        <w:rPr>
          <w:sz w:val="22"/>
        </w:rPr>
        <w:t>Responsive web app shell: top bar (org/branch switcher, academic-year switcher, language switcher, notifications, user menu) and dynamic left navigation driven by enabled modules + permissions (§5.1).</w:t>
      </w:r>
    </w:p>
    <w:p>
      <w:pPr>
        <w:pStyle w:val="ListBullet"/>
        <w:spacing w:before="0" w:after="60" w:line="288" w:lineRule="auto"/>
      </w:pPr>
      <w:r/>
      <w:r>
        <w:rPr>
          <w:sz w:val="22"/>
        </w:rPr>
        <w:t>Component library implementation matching the designer’s tokens.</w:t>
      </w:r>
    </w:p>
    <w:p>
      <w:pPr>
        <w:pStyle w:val="ListBullet"/>
        <w:spacing w:before="0" w:after="60" w:line="288" w:lineRule="auto"/>
      </w:pPr>
      <w:r/>
      <w:r>
        <w:rPr>
          <w:sz w:val="22"/>
        </w:rPr>
        <w:t>Typed API client generated from the OpenAPI 3.1 spec handed over by the backend.</w:t>
      </w:r>
    </w:p>
    <w:p>
      <w:pPr>
        <w:pStyle w:val="ListBullet"/>
        <w:spacing w:before="0" w:after="60" w:line="288" w:lineRule="auto"/>
      </w:pPr>
      <w:r/>
      <w:r>
        <w:rPr>
          <w:sz w:val="22"/>
        </w:rPr>
        <w:t>Permission-aware UI: hide/disable based on permission codes; never trust client-only enforcement.</w:t>
      </w:r>
    </w:p>
    <w:p>
      <w:pPr>
        <w:pStyle w:val="ListBullet"/>
        <w:spacing w:before="0" w:after="60" w:line="288" w:lineRule="auto"/>
      </w:pPr>
      <w:r/>
      <w:r>
        <w:rPr>
          <w:sz w:val="22"/>
        </w:rPr>
        <w:t>Empty / loading (skeletons) / error / permission-denied states per §5.5.</w:t>
      </w:r>
    </w:p>
    <w:p>
      <w:pPr>
        <w:pStyle w:val="ListBullet"/>
        <w:spacing w:before="0" w:after="60" w:line="288" w:lineRule="auto"/>
      </w:pPr>
      <w:r/>
      <w:r>
        <w:rPr>
          <w:sz w:val="22"/>
        </w:rPr>
        <w:t>PDF trigger buttons and signed-URL download flow per §3.3 and §2.6.5.</w:t>
      </w:r>
    </w:p>
    <w:p>
      <w:pPr>
        <w:spacing w:before="280" w:after="120"/>
      </w:pPr>
      <w:r>
        <w:rPr>
          <w:b/>
          <w:color w:val="1F3A5F"/>
          <w:sz w:val="32"/>
        </w:rPr>
        <w:t>6. Safe Parallelization</w:t>
      </w:r>
    </w:p>
    <w:p>
      <w:pPr>
        <w:spacing w:before="0" w:after="120" w:lineRule="auto" w:line="312"/>
      </w:pPr>
      <w:r>
        <w:rPr>
          <w:i w:val="0"/>
          <w:sz w:val="22"/>
        </w:rPr>
        <w:t>Although the recommended first-pass order is strict (Designer → Backend → Frontend), two limited overlaps are safe once the designer has delivered the design system (week 2 onward):</w:t>
      </w:r>
    </w:p>
    <w:p>
      <w:pPr>
        <w:pStyle w:val="ListBullet"/>
        <w:spacing w:before="0" w:after="60" w:line="288" w:lineRule="auto"/>
      </w:pPr>
      <w:r/>
      <w:r>
        <w:rPr>
          <w:sz w:val="22"/>
        </w:rPr>
        <w:t>Backend Phase 0 (foundation) may begin while the designer is finishing hi-fi mockups for the Phase 1 screens — the foundation endpoints (auth, RBAC, organization) do not depend on screen-level design decisions.</w:t>
      </w:r>
    </w:p>
    <w:p>
      <w:pPr>
        <w:pStyle w:val="ListBullet"/>
        <w:spacing w:before="0" w:after="60" w:line="288" w:lineRule="auto"/>
      </w:pPr>
      <w:r/>
      <w:r>
        <w:rPr>
          <w:sz w:val="22"/>
        </w:rPr>
        <w:t>Frontend may begin scaffold work (shell, routing, design-system component wiring) once the design system is delivered, but should not implement module screens until the matching OpenAPI endpoints are merged on the backend.</w:t>
      </w:r>
    </w:p>
    <w:p>
      <w:pPr>
        <w:spacing w:before="0" w:after="120" w:lineRule="auto" w:line="312"/>
      </w:pPr>
      <w:r>
        <w:rPr>
          <w:i/>
          <w:sz w:val="22"/>
        </w:rPr>
        <w:t>Any other parallelization risks rework and is discouraged for the first build pass.</w:t>
      </w:r>
    </w:p>
    <w:p>
      <w:pPr>
        <w:spacing w:before="280" w:after="120"/>
      </w:pPr>
      <w:r>
        <w:rPr>
          <w:b/>
          <w:color w:val="1F3A5F"/>
          <w:sz w:val="32"/>
        </w:rPr>
        <w:t>7. Handoff Artifacts</w:t>
      </w:r>
    </w:p>
    <w:p>
      <w:pPr>
        <w:spacing w:before="0" w:after="120" w:lineRule="auto" w:line="312"/>
      </w:pPr>
      <w:r>
        <w:rPr>
          <w:i w:val="0"/>
          <w:sz w:val="22"/>
        </w:rPr>
        <w:t>The table below defines the binding artifact each role must produce and the role that consumes it. A role is not considered “done” until its handoff artifact is reviewed and accepted by the receiving role.</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18"/>
        <w:gridCol w:w="3118"/>
        <w:gridCol w:w="3118"/>
      </w:tblGrid>
      <w:tr>
        <w:tc>
          <w:tcPr>
            <w:tcW w:type="dxa" w:w="3118"/>
            <w:tcMar>
              <w:top w:w="60" w:type="dxa"/>
              <w:left w:w="100" w:type="dxa"/>
              <w:bottom w:w="60" w:type="dxa"/>
              <w:right w:w="100" w:type="dxa"/>
            </w:tcMar>
            <w:shd w:val="clear" w:color="auto" w:fill="1F3A5F"/>
          </w:tcPr>
          <w:p>
            <w:r/>
            <w:r>
              <w:rPr>
                <w:b/>
                <w:color w:val="FFFFFF"/>
                <w:sz w:val="20"/>
              </w:rPr>
              <w:t>From Role</w:t>
            </w:r>
          </w:p>
        </w:tc>
        <w:tc>
          <w:tcPr>
            <w:tcW w:type="dxa" w:w="3118"/>
            <w:tcMar>
              <w:top w:w="60" w:type="dxa"/>
              <w:left w:w="100" w:type="dxa"/>
              <w:bottom w:w="60" w:type="dxa"/>
              <w:right w:w="100" w:type="dxa"/>
            </w:tcMar>
            <w:shd w:val="clear" w:color="auto" w:fill="1F3A5F"/>
          </w:tcPr>
          <w:p>
            <w:r/>
            <w:r>
              <w:rPr>
                <w:b/>
                <w:color w:val="FFFFFF"/>
                <w:sz w:val="20"/>
              </w:rPr>
              <w:t>Handoff Artifact</w:t>
            </w:r>
          </w:p>
        </w:tc>
        <w:tc>
          <w:tcPr>
            <w:tcW w:type="dxa" w:w="3118"/>
            <w:tcMar>
              <w:top w:w="60" w:type="dxa"/>
              <w:left w:w="100" w:type="dxa"/>
              <w:bottom w:w="60" w:type="dxa"/>
              <w:right w:w="100" w:type="dxa"/>
            </w:tcMar>
            <w:shd w:val="clear" w:color="auto" w:fill="1F3A5F"/>
          </w:tcPr>
          <w:p>
            <w:r/>
            <w:r>
              <w:rPr>
                <w:b/>
                <w:color w:val="FFFFFF"/>
                <w:sz w:val="20"/>
              </w:rPr>
              <w:t>Consumed By</w:t>
            </w:r>
          </w:p>
        </w:tc>
      </w:tr>
      <w:tr>
        <w:tc>
          <w:tcPr>
            <w:tcW w:type="dxa" w:w="3118"/>
            <w:tcMar>
              <w:top w:w="60" w:type="dxa"/>
              <w:left w:w="100" w:type="dxa"/>
              <w:bottom w:w="60" w:type="dxa"/>
              <w:right w:w="100" w:type="dxa"/>
            </w:tcMar>
          </w:tcPr>
          <w:p>
            <w:r/>
            <w:r>
              <w:rPr>
                <w:b/>
                <w:sz w:val="20"/>
              </w:rPr>
              <w:t>UI/UX Designer</w:t>
            </w:r>
          </w:p>
        </w:tc>
        <w:tc>
          <w:tcPr>
            <w:tcW w:type="dxa" w:w="3118"/>
            <w:tcMar>
              <w:top w:w="60" w:type="dxa"/>
              <w:left w:w="100" w:type="dxa"/>
              <w:bottom w:w="60" w:type="dxa"/>
              <w:right w:w="100" w:type="dxa"/>
            </w:tcMar>
          </w:tcPr>
          <w:p>
            <w:r/>
            <w:r>
              <w:rPr>
                <w:sz w:val="20"/>
              </w:rPr>
              <w:t>Design system + mockups + PDF templates + brand kit</w:t>
            </w:r>
          </w:p>
        </w:tc>
        <w:tc>
          <w:tcPr>
            <w:tcW w:type="dxa" w:w="3118"/>
            <w:tcMar>
              <w:top w:w="60" w:type="dxa"/>
              <w:left w:w="100" w:type="dxa"/>
              <w:bottom w:w="60" w:type="dxa"/>
              <w:right w:w="100" w:type="dxa"/>
            </w:tcMar>
          </w:tcPr>
          <w:p>
            <w:r/>
            <w:r>
              <w:rPr>
                <w:sz w:val="20"/>
              </w:rPr>
              <w:t>Frontend Developer (and Backend for PDF engine shape)</w:t>
            </w:r>
          </w:p>
        </w:tc>
      </w:tr>
      <w:tr>
        <w:tc>
          <w:tcPr>
            <w:tcW w:type="dxa" w:w="3118"/>
            <w:tcMar>
              <w:top w:w="60" w:type="dxa"/>
              <w:left w:w="100" w:type="dxa"/>
              <w:bottom w:w="60" w:type="dxa"/>
              <w:right w:w="100" w:type="dxa"/>
            </w:tcMar>
            <w:shd w:val="clear" w:color="auto" w:fill="F7F7F7"/>
          </w:tcPr>
          <w:p>
            <w:r/>
            <w:r>
              <w:rPr>
                <w:b/>
                <w:sz w:val="20"/>
              </w:rPr>
              <w:t>Backend Developer</w:t>
            </w:r>
          </w:p>
        </w:tc>
        <w:tc>
          <w:tcPr>
            <w:tcW w:type="dxa" w:w="3118"/>
            <w:tcMar>
              <w:top w:w="60" w:type="dxa"/>
              <w:left w:w="100" w:type="dxa"/>
              <w:bottom w:w="60" w:type="dxa"/>
              <w:right w:w="100" w:type="dxa"/>
            </w:tcMar>
            <w:shd w:val="clear" w:color="auto" w:fill="F7F7F7"/>
          </w:tcPr>
          <w:p>
            <w:r/>
            <w:r>
              <w:rPr>
                <w:sz w:val="20"/>
              </w:rPr>
              <w:t>OpenAPI 3.1 spec + auth/RBAC + Phase 0 endpoints + DB schema</w:t>
            </w:r>
          </w:p>
        </w:tc>
        <w:tc>
          <w:tcPr>
            <w:tcW w:type="dxa" w:w="3118"/>
            <w:tcMar>
              <w:top w:w="60" w:type="dxa"/>
              <w:left w:w="100" w:type="dxa"/>
              <w:bottom w:w="60" w:type="dxa"/>
              <w:right w:w="100" w:type="dxa"/>
            </w:tcMar>
            <w:shd w:val="clear" w:color="auto" w:fill="F7F7F7"/>
          </w:tcPr>
          <w:p>
            <w:r/>
            <w:r>
              <w:rPr>
                <w:sz w:val="20"/>
              </w:rPr>
              <w:t>Frontend Developer</w:t>
            </w:r>
          </w:p>
        </w:tc>
      </w:tr>
      <w:tr>
        <w:tc>
          <w:tcPr>
            <w:tcW w:type="dxa" w:w="3118"/>
            <w:tcMar>
              <w:top w:w="60" w:type="dxa"/>
              <w:left w:w="100" w:type="dxa"/>
              <w:bottom w:w="60" w:type="dxa"/>
              <w:right w:w="100" w:type="dxa"/>
            </w:tcMar>
          </w:tcPr>
          <w:p>
            <w:r/>
            <w:r>
              <w:rPr>
                <w:b/>
                <w:sz w:val="20"/>
              </w:rPr>
              <w:t>Frontend Developer</w:t>
            </w:r>
          </w:p>
        </w:tc>
        <w:tc>
          <w:tcPr>
            <w:tcW w:type="dxa" w:w="3118"/>
            <w:tcMar>
              <w:top w:w="60" w:type="dxa"/>
              <w:left w:w="100" w:type="dxa"/>
              <w:bottom w:w="60" w:type="dxa"/>
              <w:right w:w="100" w:type="dxa"/>
            </w:tcMar>
          </w:tcPr>
          <w:p>
            <w:r/>
            <w:r>
              <w:rPr>
                <w:sz w:val="20"/>
              </w:rPr>
              <w:t>Working web app integrated against live API + design system</w:t>
            </w:r>
          </w:p>
        </w:tc>
        <w:tc>
          <w:tcPr>
            <w:tcW w:type="dxa" w:w="3118"/>
            <w:tcMar>
              <w:top w:w="60" w:type="dxa"/>
              <w:left w:w="100" w:type="dxa"/>
              <w:bottom w:w="60" w:type="dxa"/>
              <w:right w:w="100" w:type="dxa"/>
            </w:tcMar>
          </w:tcPr>
          <w:p>
            <w:r/>
            <w:r>
              <w:rPr>
                <w:sz w:val="20"/>
              </w:rPr>
              <w:t>QA / UAT (Parts 8 &amp; 9)</w:t>
            </w:r>
          </w:p>
        </w:tc>
      </w:tr>
    </w:tbl>
    <w:p>
      <w:pPr>
        <w:spacing w:before="280" w:after="120"/>
      </w:pPr>
      <w:r>
        <w:rPr>
          <w:b/>
          <w:color w:val="1F3A5F"/>
          <w:sz w:val="32"/>
        </w:rPr>
        <w:t>8. Next Steps</w:t>
      </w:r>
    </w:p>
    <w:p>
      <w:pPr>
        <w:spacing w:before="0" w:after="120" w:lineRule="auto" w:line="312"/>
      </w:pPr>
      <w:r>
        <w:rPr>
          <w:i w:val="0"/>
          <w:sz w:val="22"/>
        </w:rPr>
        <w:t>Hand the SRS to the UI/UX Designer first with a brief covering the open visual design item in Part 11.3 and the screen catalog in Part 2 + Part 5. On delivery of the design system, hand the SRS to the Backend Developer with a brief covering Parts 2.1, 3, 6, and 7 — the goal is Phase 0 endpoints plus the OpenAPI 3.1 spec. Finally, hand the SRS to the Frontend Developer with the design system and the OpenAPI spec as binding inputs, covering Parts 2, 5, and 6. This sequence resolves the SRS open items in dependency order, produces a buildable API contract before frontend integration, and ensures the client’s “not complicated, not dependent on one employee” constraint is enforced from the first screen forward.</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