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color="1F3A5F" w:space="1"/>
        </w:pBdr>
      </w:pPr>
      <w:r>
        <w:rPr>
          <w:rFonts w:ascii="Calibri" w:hAnsi="Calibri" w:eastAsia="Calibri"/>
          <w:b w:val="0"/>
          <w:i w:val="0"/>
          <w:color w:val="1A1A1A"/>
          <w:sz w:val="4"/>
        </w:rPr>
        <w:t xml:space="preserve"> </w:t>
      </w:r>
    </w:p>
    <w:p>
      <w:pPr>
        <w:spacing w:after="0"/>
      </w:pPr>
    </w:p>
    <w:p>
      <w:pPr>
        <w:spacing w:after="0"/>
      </w:pPr>
    </w:p>
    <w:p>
      <w:pPr>
        <w:spacing w:after="0"/>
      </w:pPr>
    </w:p>
    <w:p>
      <w:pPr>
        <w:spacing w:after="0"/>
      </w:pPr>
    </w:p>
    <w:p>
      <w:pPr>
        <w:spacing w:after="0"/>
      </w:pPr>
    </w:p>
    <w:p>
      <w:pPr>
        <w:spacing w:after="0"/>
      </w:pPr>
    </w:p>
    <w:p>
      <w:pPr>
        <w:spacing w:after="40"/>
        <w:jc w:val="left"/>
      </w:pPr>
      <w:r>
        <w:rPr>
          <w:rFonts w:ascii="Calibri" w:hAnsi="Calibri" w:eastAsia="Calibri"/>
          <w:b/>
          <w:i w:val="0"/>
          <w:color w:val="2E86C1"/>
          <w:sz w:val="20"/>
        </w:rPr>
        <w:t>TECHNICAL DOCUMENTATION</w:t>
      </w:r>
    </w:p>
    <w:p>
      <w:pPr>
        <w:spacing w:after="800"/>
        <w:jc w:val="left"/>
      </w:pPr>
      <w:r>
        <w:rPr>
          <w:rFonts w:ascii="Calibri" w:hAnsi="Calibri" w:eastAsia="Calibri"/>
          <w:b w:val="0"/>
          <w:i/>
          <w:color w:val="6B6B6B"/>
          <w:sz w:val="18"/>
        </w:rPr>
        <w:t>In-Depth Research · Feature Inventory · Client-Fit Assessment</w:t>
      </w:r>
    </w:p>
    <w:p>
      <w:pPr>
        <w:spacing w:after="120"/>
        <w:jc w:val="left"/>
      </w:pPr>
      <w:r>
        <w:rPr>
          <w:rFonts w:ascii="Calibri" w:hAnsi="Calibri" w:eastAsia="Calibri"/>
          <w:b/>
          <w:i w:val="0"/>
          <w:color w:val="1F3A5F"/>
          <w:sz w:val="64"/>
        </w:rPr>
        <w:t>TrimedCast System Analysis</w:t>
      </w:r>
    </w:p>
    <w:p>
      <w:pPr>
        <w:spacing w:after="800"/>
        <w:jc w:val="left"/>
      </w:pPr>
      <w:r>
        <w:rPr>
          <w:rFonts w:ascii="Calibri" w:hAnsi="Calibri" w:eastAsia="Calibri"/>
          <w:b w:val="0"/>
          <w:i/>
          <w:color w:val="2E86C1"/>
          <w:sz w:val="32"/>
        </w:rPr>
        <w:t>Feature Inventory &amp; Client-Fit Assessment</w:t>
      </w:r>
    </w:p>
    <w:p>
      <w:pPr>
        <w:spacing w:after="800" w:line="360" w:lineRule="auto"/>
        <w:jc w:val="left"/>
      </w:pPr>
      <w:r>
        <w:rPr>
          <w:rFonts w:ascii="Calibri" w:hAnsi="Calibri" w:eastAsia="Calibri"/>
          <w:b w:val="0"/>
          <w:i/>
          <w:color w:val="1A1A1A"/>
          <w:sz w:val="22"/>
        </w:rPr>
        <w:t>A comprehensive technical review of the TrimedCast codebase — the Integrated Seasonal Demand &amp; Inventory Forecasting System — evaluating whether it can serve as the operational platform for a Bangladesh retail business that needs session-wise sales prediction (Eid, Durga Puja, Summer, Winter), Excel upload of historical sales, order-quantity and order-timing recommendations, air-versus-sea freight decisions, and landed-cost analysis.</w:t>
      </w:r>
    </w:p>
    <w:p>
      <w:pPr>
        <w:spacing w:after="0"/>
      </w:pPr>
    </w:p>
    <w:p>
      <w:pPr>
        <w:spacing w:after="0"/>
      </w:pPr>
    </w:p>
    <w:p>
      <w:pPr>
        <w:spacing w:after="0"/>
      </w:pPr>
    </w:p>
    <w:tbl>
      <w:tblPr>
        <w:tblW w:type="auto" w:w="0"/>
        <w:jc w:val="left"/>
        <w:tblLook w:firstColumn="1" w:firstRow="1" w:lastColumn="0" w:lastRow="0" w:noHBand="0" w:noVBand="1" w:val="04A0"/>
      </w:tblPr>
      <w:tblGrid>
        <w:gridCol w:w="4536"/>
        <w:gridCol w:w="4536"/>
      </w:tblGrid>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Title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TrimedCast System Analysis</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Version</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v1.0</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Publication Date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2026-09-11</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Author / Owner</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Technical Review Team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Subject Repository</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github.com/sajidchowdhury/TrimedCast</w:t>
            </w:r>
          </w:p>
        </w:tc>
      </w:tr>
    </w:tbl>
    <w:p>
      <w:r>
        <w:br w:type="page"/>
      </w:r>
    </w:p>
    <w:p>
      <w:pPr>
        <w:spacing w:after="120"/>
        <w:pBdr>
          <w:bottom w:val="single" w:sz="8" w:color="2E86C1" w:space="4"/>
        </w:pBdr>
      </w:pPr>
      <w:r>
        <w:rPr>
          <w:rFonts w:ascii="Calibri" w:hAnsi="Calibri" w:eastAsia="Calibri"/>
          <w:b/>
          <w:i w:val="0"/>
          <w:color w:val="1F3A5F"/>
          <w:sz w:val="40"/>
        </w:rPr>
        <w:t>Table of Contents</w:t>
      </w:r>
    </w:p>
    <w:p>
      <w:pPr>
        <w:spacing w:before="0" w:after="200" w:line="312" w:lineRule="auto"/>
        <w:jc w:val="left"/>
      </w:pPr>
      <w:r>
        <w:rPr>
          <w:rFonts w:ascii="Calibri" w:hAnsi="Calibri" w:eastAsia="Calibri"/>
          <w:b w:val="0"/>
          <w:i/>
          <w:color w:val="6B6B6B"/>
          <w:sz w:val="18"/>
        </w:rPr>
        <w:t>Note: Right-click anywhere in the table of contents below and choose 'Update Field' (or press F9) to populate page numbers automatically after the document is opened in Microsoft Word or LibreOffice.</w:t>
      </w:r>
    </w:p>
    <w:p>
      <w:pPr>
        <w:jc w:val="left"/>
      </w:pPr>
      <w:r>
        <w:rPr>
          <w:rFonts w:ascii="Calibri" w:hAnsi="Calibri" w:eastAsia="Calibri"/>
          <w:b w:val="0"/>
          <w:i/>
          <w:color w:val="6B6B6B"/>
          <w:sz w:val="22"/>
        </w:rPr>
        <w:fldChar w:fldCharType="begin"/>
        <w:instrText xml:space="preserve">TOC \o "1-3" \h \z \u</w:instrText>
        <w:fldChar w:fldCharType="separate"/>
        <w:t>Right-click and select 'Update Field' to generate the table of contents.</w:t>
        <w:fldChar w:fldCharType="end"/>
      </w:r>
    </w:p>
    <w:p>
      <w:r>
        <w:br w:type="page"/>
      </w:r>
    </w:p>
    <w:p>
      <w:pPr>
        <w:pStyle w:val="Heading1"/>
        <w:keepNext/>
        <w:spacing w:before="360" w:after="160"/>
        <w:pBdr>
          <w:bottom w:val="single" w:sz="8" w:color="2E86C1" w:space="4"/>
        </w:pBdr>
      </w:pPr>
      <w:r>
        <w:rPr>
          <w:rFonts w:ascii="Calibri" w:hAnsi="Calibri" w:eastAsia="Calibri"/>
          <w:b/>
          <w:i w:val="0"/>
          <w:color w:val="1F3A5F"/>
          <w:sz w:val="36"/>
        </w:rPr>
        <w:t>1.  Opening Hook</w:t>
      </w:r>
    </w:p>
    <w:p>
      <w:pPr>
        <w:spacing w:before="0" w:after="120" w:line="312" w:lineRule="auto"/>
        <w:jc w:val="left"/>
      </w:pPr>
      <w:r>
        <w:rPr>
          <w:rFonts w:ascii="Calibri" w:hAnsi="Calibri" w:eastAsia="Calibri"/>
          <w:b w:val="0"/>
          <w:i w:val="0"/>
          <w:color w:val="1A1A1A"/>
          <w:sz w:val="22"/>
        </w:rPr>
        <w:t>The client's search for a session-wise sales prediction system — one that ingests an Excel workbook of monthly sales, forecasts demand for the next Eid or Durga Puja or Winter session, and translates that forecast into concrete decisions about how much to order, when to place the purchase order, and whether the shipment should travel by air or by sea — does not need to end with a multi-month engineering project. TrimedCast, the Integrated Seasonal Demand &amp; Inventory Forecasting System whose codebase is analyzed in this document, already implements every one of those capabilities in a production-ready, Bangladesh-localized SaaS. The question is not whether to build such a system from scratch; the question is whether TrimedCast, as it exists today, can be adopted by the client with the configuration and minor extensions documented here.</w:t>
      </w:r>
    </w:p>
    <w:p>
      <w:pPr>
        <w:spacing w:before="0" w:after="120" w:line="312" w:lineRule="auto"/>
        <w:jc w:val="left"/>
      </w:pPr>
      <w:r>
        <w:rPr>
          <w:rFonts w:ascii="Calibri" w:hAnsi="Calibri" w:eastAsia="Calibri"/>
          <w:b w:val="0"/>
          <w:i w:val="0"/>
          <w:color w:val="1A1A1A"/>
          <w:sz w:val="22"/>
        </w:rPr>
        <w:t>The thesis of this document is straightforward: TrimedCast is a strong, affirmative YES for the client's use case. Across the six explicit requirements the client has stated — Excel upload, session-wise forecasting, order-quantity recommendation, order-timing recommendation, air-versus-sea freight decision, and line-cost analysis — TrimedCast implements each one in production TypeScript code that is verifiable in the repository today. Three genuine gaps exist (Hijri-calendar precision for Eid dates, two-factor authentication, and a volumetric-weight calculator for freight), but each is small relative to the breadth of what is already built — 175 API routes, 258 UI components, 9,375 lines of forecasting logic, 3,278 lines of Excel-ETL logic, and 27 Prisma data models. This document exists to give the client and the engineering team a complete, evidence-based picture of what TrimedCast does, where it falls short, and what to do next.</w:t>
      </w:r>
    </w:p>
    <w:tbl>
      <w:tblPr>
        <w:tblW w:type="auto" w:w="0"/>
        <w:tblLook w:firstColumn="1" w:firstRow="1" w:lastColumn="0" w:lastRow="0" w:noHBand="0" w:noVBand="1" w:val="04A0"/>
      </w:tblPr>
      <w:tblGrid>
        <w:gridCol w:w="9072"/>
      </w:tblGrid>
      <w:tr>
        <w:tc>
          <w:tcPr>
            <w:tcW w:type="dxa" w:w="9072"/>
            <w:shd w:val="clear" w:color="auto" w:fill="EAF2F8"/>
            <w:tcBorders>
              <w:top w:val="single" w:sz="8" w:color="2E86C1"/>
              <w:left w:val="single" w:sz="8" w:color="2E86C1"/>
              <w:bottom w:val="single" w:sz="8" w:color="2E86C1"/>
              <w:right w:val="single" w:sz="8" w:color="2E86C1"/>
            </w:tcBorders>
            <w:tcMar>
              <w:top w:w="120" w:type="dxa"/>
              <w:left w:w="180" w:type="dxa"/>
              <w:bottom w:w="120" w:type="dxa"/>
              <w:right w:w="180" w:type="dxa"/>
            </w:tcMar>
          </w:tcPr>
          <w:p>
            <w:pPr>
              <w:spacing w:after="40"/>
            </w:pPr>
            <w:r/>
            <w:r>
              <w:rPr>
                <w:rFonts w:ascii="Calibri" w:hAnsi="Calibri" w:eastAsia="Calibri"/>
                <w:b/>
                <w:i w:val="0"/>
                <w:color w:val="2E86C1"/>
                <w:sz w:val="20"/>
              </w:rPr>
              <w:t>Document Scope &amp; Method</w:t>
            </w:r>
          </w:p>
          <w:p>
            <w:pPr>
              <w:spacing w:after="0" w:line="312" w:lineRule="auto"/>
            </w:pPr>
            <w:r>
              <w:rPr>
                <w:rFonts w:ascii="Calibri" w:hAnsi="Calibri" w:eastAsia="Calibri"/>
                <w:b w:val="0"/>
                <w:i w:val="0"/>
                <w:color w:val="1A1A1A"/>
                <w:sz w:val="20"/>
              </w:rPr>
              <w:t>This document is based on a direct read of the TrimedCast source code at the commit cloned on 2026-09-11. Every feature claim is grounded in a specific file path or Prisma model that the reader can open and verify. Where the repository's own specification documents (the .md files in the repo root) describe features that the TypeScript implementation does not actually contain, the discrepancy is flagged explicitly rather than papered over.</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2.  Background &amp; Context</w:t>
      </w:r>
    </w:p>
    <w:p>
      <w:pPr>
        <w:pStyle w:val="Heading2"/>
        <w:keepNext/>
        <w:spacing w:before="280" w:after="120"/>
      </w:pPr>
      <w:r>
        <w:rPr>
          <w:rFonts w:ascii="Calibri" w:hAnsi="Calibri" w:eastAsia="Calibri"/>
          <w:b/>
          <w:i w:val="0"/>
          <w:color w:val="1F3A5F"/>
          <w:sz w:val="28"/>
        </w:rPr>
        <w:t>2.1  What TrimedCast Is</w:t>
      </w:r>
    </w:p>
    <w:p>
      <w:pPr>
        <w:spacing w:before="0" w:after="120" w:line="312" w:lineRule="auto"/>
        <w:jc w:val="left"/>
      </w:pPr>
      <w:r>
        <w:rPr>
          <w:rFonts w:ascii="Calibri" w:hAnsi="Calibri" w:eastAsia="Calibri"/>
          <w:b w:val="0"/>
          <w:i w:val="0"/>
          <w:color w:val="1A1A1A"/>
          <w:sz w:val="22"/>
        </w:rPr>
        <w:t>TrimedCast — the name compresses the design intent: Tri-layer intelligence (quantitative forecast + qualitative override + sales-team judgment), Med-ian-weighted consensus forecasting, and Cast demand projection — is an Integrated Seasonal Demand &amp; Inventory Forecasting System purpose-built for Bangladesh motorcycle-parts distributors who import from China. The system answers, for every Stock Keeping Unit (SKU), three operational questions that determine whether a distributor captures or misses a seasonal peak: WHAT to order, WHAT QTY to order, and WHEN to order. The answers are computed against the specific rhythm of the Bangladesh retail calendar — four climatic seasons (Winter, Summer, Monsoon, Pre-Winter), four religious and cultural festivals (Eid-ul-Fitr, Eid-ul-Adha, Durga Puja, Pohela Boishakh), and the annual Chinese New Year supply shutdown that closes Chinese factories for three to four weeks every January-February and disrupts the supply of every BD distributor who depends on Chinese manufacturing.</w:t>
      </w:r>
    </w:p>
    <w:p>
      <w:pPr>
        <w:spacing w:before="0" w:after="120" w:line="312" w:lineRule="auto"/>
        <w:jc w:val="left"/>
      </w:pPr>
      <w:r>
        <w:rPr>
          <w:rFonts w:ascii="Calibri" w:hAnsi="Calibri" w:eastAsia="Calibri"/>
          <w:b w:val="0"/>
          <w:i w:val="0"/>
          <w:color w:val="1A1A1A"/>
          <w:sz w:val="22"/>
        </w:rPr>
        <w:t>The target user is a Bangladesh motorcycle or automotive-parts distributor with 100 to 1,000 SKUs, annual revenue between 1 and 50 crore Taka, who imports from Chinese suppliers via long lead-time sea freight (the default mode, approximately 155 days door-to-door including manufacturing, ocean transit, Chittagong port customs, and inland delivery) or fast air freight (approximately 104 days, used as an escape hatch when a stockout is imminent and the SKU's margin can absorb the 7- to 8-fold freight-cost premium). The system is equally relevant to regional wholesalers, chain retailers, and online sellers on Daraz or Facebook Marketplace who face the same import-and-distribute economics.</w:t>
      </w:r>
    </w:p>
    <w:p>
      <w:pPr>
        <w:pStyle w:val="Heading2"/>
        <w:keepNext/>
        <w:spacing w:before="280" w:after="120"/>
      </w:pPr>
      <w:r>
        <w:rPr>
          <w:rFonts w:ascii="Calibri" w:hAnsi="Calibri" w:eastAsia="Calibri"/>
          <w:b/>
          <w:i w:val="0"/>
          <w:color w:val="1F3A5F"/>
          <w:sz w:val="28"/>
        </w:rPr>
        <w:t>2.2  Confirmed Technology Stack</w:t>
      </w:r>
    </w:p>
    <w:p>
      <w:pPr>
        <w:spacing w:before="0" w:after="120" w:line="312" w:lineRule="auto"/>
        <w:jc w:val="left"/>
      </w:pPr>
      <w:r>
        <w:rPr>
          <w:rFonts w:ascii="Calibri" w:hAnsi="Calibri" w:eastAsia="Calibri"/>
          <w:b w:val="0"/>
          <w:i w:val="0"/>
          <w:color w:val="1A1A1A"/>
          <w:sz w:val="22"/>
        </w:rPr>
        <w:t>The technology stack is verified directly from the repository's package.json, Dockerfile, docker-compose.yml, and prisma/schema.prisma files, not from the specification documents (which describe a different Laravel/Python stack — see Section 7.1 for the divergence). The actual running system is a Next.js 16 application with a Prisma ORM over a SQLite database (with a documented production migration path to PostgreSQL), styled with Tailwind CSS 4 and shadcn/ui, packaged in a Bun-based Docker image, and fronted by a Caddy reverse proxy for HTTPS.</w:t>
      </w:r>
    </w:p>
    <w:p>
      <w:pPr>
        <w:spacing w:before="120" w:after="40"/>
        <w:jc w:val="center"/>
      </w:pPr>
      <w:r>
        <w:rPr>
          <w:rFonts w:ascii="Calibri" w:hAnsi="Calibri" w:eastAsia="Calibri"/>
          <w:b/>
          <w:i/>
          <w:color w:val="6B6B6B"/>
          <w:sz w:val="18"/>
        </w:rPr>
        <w:t>Table 2-1: Confirmed technology stack (verified from package.json + Dockerfile)</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Layer</w:t>
            </w:r>
          </w:p>
        </w:tc>
        <w:tc>
          <w:tcPr>
            <w:tcW w:type="dxa" w:w="368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Confirmed Technology (from repo)</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Version / Notes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Web framework</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(App Router) + React</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16.1.1 / 19.0.0</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Language</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TypeScript</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5.x</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Styling</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Tailwind CSS + shadcn/ui (Radix primitives)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4.x / latest</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State management</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Zustand (16 domain stores)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5.0.15</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ORM</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Prisma</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6.11.1</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Database (dev)</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SQLite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file:./db/trimedcast.db</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Database (prod)</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PostgreSQL 16 (recommended)</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Prisma schema portable</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Runtime</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Bun</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1.3 (production image ~150 MB)</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Authentication</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Custom DB-backed sessions + bcrypt + OTP</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next-auth in deps but unused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 parsing</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xlsx (SheetJS)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0.18.5</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 / LLM</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z-ai-web-dev-sdk</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0.0.18 — used for scenario preview</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Payments</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bKash + Nagad + SSLCommerz + Bank Transfer</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BD-native; no Stripe in code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Email</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Resend</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6.20</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Charts</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Recharts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2.15.4</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Forms / validation</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react-hook-form + zod</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7.60 / 4.0</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i18n</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next-intl (Bengali + English)</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4.3.4</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Reverse proxy</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Caddy 2</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auto-HTTPS via Let's Encrypt</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Container</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Docker multi-stage, non-root, healthcheck</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oven/bun:1.3-slim</w:t>
            </w:r>
          </w:p>
        </w:tc>
      </w:tr>
    </w:tbl>
    <w:p>
      <w:pPr>
        <w:spacing w:after="120"/>
      </w:pPr>
    </w:p>
    <w:p>
      <w:pPr>
        <w:pStyle w:val="Heading2"/>
        <w:keepNext/>
        <w:spacing w:before="280" w:after="120"/>
      </w:pPr>
      <w:r>
        <w:rPr>
          <w:rFonts w:ascii="Calibri" w:hAnsi="Calibri" w:eastAsia="Calibri"/>
          <w:b/>
          <w:i w:val="0"/>
          <w:color w:val="1F3A5F"/>
          <w:sz w:val="28"/>
        </w:rPr>
        <w:t>2.3  Repository Scale</w:t>
      </w:r>
    </w:p>
    <w:p>
      <w:pPr>
        <w:spacing w:before="0" w:after="120" w:line="312" w:lineRule="auto"/>
        <w:jc w:val="left"/>
      </w:pPr>
      <w:r>
        <w:rPr>
          <w:rFonts w:ascii="Calibri" w:hAnsi="Calibri" w:eastAsia="Calibri"/>
          <w:b w:val="0"/>
          <w:i w:val="0"/>
          <w:color w:val="1A1A1A"/>
          <w:sz w:val="22"/>
        </w:rPr>
        <w:t>The repository is substantial. The src/ directory contains 258 React/TypeScript UI components organized by domain (admin, auth, billing, catalog, dashboard, etl, finance, forecast, import-wizard, landing, onboarding, orders, overview, payment, procurement, products, rbac, sales-orders, seasonality, subscription, suppliers, users, warehouse, ui). The src/lib/ directory contains the back-end logic organized into 12 sub-directories: api (RBAC, audit, auth, rate-limit, health-check), auth (session, password, otp, ac-id), etl (excel-parser, column-mapper, validator, harmonizer, batch-inserter, quality-score — 6 files totaling 3,278 lines), forecasting (12 files totaling 9,375 lines including the 1,212-line order-trigger algorithm and the 1,200-line auto-recalibration engine), subscription (tiers, gates, check), payment (bkash, nagad, sslcommerz, gateway), email, demo-data, dashboard, help, onboarding. The Prisma schema defines 27 data models. The repository ships with 16 specification documents totaling approximately 800 KB of markdown, 4 dashboard screenshots, a 270 KB worklog of the development process, and a complete Docker deployment configuration.</w:t>
      </w:r>
    </w:p>
    <w:p>
      <w:pPr>
        <w:pStyle w:val="Heading2"/>
        <w:keepNext/>
        <w:spacing w:before="280" w:after="120"/>
      </w:pPr>
      <w:r>
        <w:rPr>
          <w:rFonts w:ascii="Calibri" w:hAnsi="Calibri" w:eastAsia="Calibri"/>
          <w:b/>
          <w:i w:val="0"/>
          <w:color w:val="1F3A5F"/>
          <w:sz w:val="28"/>
        </w:rPr>
        <w:t>2.4  The Client's Requirements</w:t>
      </w:r>
    </w:p>
    <w:p>
      <w:pPr>
        <w:spacing w:before="0" w:after="120" w:line="312" w:lineRule="auto"/>
        <w:jc w:val="left"/>
      </w:pPr>
      <w:r>
        <w:rPr>
          <w:rFonts w:ascii="Calibri" w:hAnsi="Calibri" w:eastAsia="Calibri"/>
          <w:b w:val="0"/>
          <w:i w:val="0"/>
          <w:color w:val="1A1A1A"/>
          <w:sz w:val="22"/>
        </w:rPr>
        <w:t>The client is a Bangladesh retail business selling automotive accessories (signal lights, flashers) imported from China via sea and air freight. The client tracks sales in an Excel workbook whose structure was analyzed in a prior conversation: each row is a SKU with a picture reference, item name, color and variant details, order quantity, send-on date, send-by mode (sea or air), received-on date, ordered-on date, and twelve monthly sales columns from January through December. The client wants a system that, after the Excel is uploaded, produces six concrete outputs.</w:t>
      </w:r>
    </w:p>
    <w:p>
      <w:pPr>
        <w:spacing w:before="120" w:after="40"/>
        <w:jc w:val="center"/>
      </w:pPr>
      <w:r>
        <w:rPr>
          <w:rFonts w:ascii="Calibri" w:hAnsi="Calibri" w:eastAsia="Calibri"/>
          <w:b/>
          <w:i/>
          <w:color w:val="6B6B6B"/>
          <w:sz w:val="18"/>
        </w:rPr>
        <w:t>Table 2-2: The six client requirements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Client Requirement</w:t>
            </w:r>
          </w:p>
        </w:tc>
        <w:tc>
          <w:tcPr>
            <w:tcW w:type="dxa" w:w="51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Concrete Output Expected</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Upload Excel of monthly sales</w:t>
            </w:r>
          </w:p>
        </w:tc>
        <w:tc>
          <w:tcPr>
            <w:tcW w:type="dxa" w:w="51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Ingest the workbook and produce a clean long-format time series per SKU</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Predict next-session sales (Eid, Summer, Winter, Puja)</w:t>
            </w:r>
          </w:p>
        </w:tc>
        <w:tc>
          <w:tcPr>
            <w:tcW w:type="dxa" w:w="51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Forecast demand per SKU for each upcoming festival/climatic session</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Recommend how much to order</w:t>
            </w:r>
          </w:p>
        </w:tc>
        <w:tc>
          <w:tcPr>
            <w:tcW w:type="dxa" w:w="51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Per-SKU order quantity accounting for forecast, safety stock, MOQ, warehouse capacity</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Recommend when to order</w:t>
            </w:r>
          </w:p>
        </w:tc>
        <w:tc>
          <w:tcPr>
            <w:tcW w:type="dxa" w:w="51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Per-SKU purchase-order trigger date backed out from festival peak through lead time</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Decide air vs sea freight</w:t>
            </w:r>
          </w:p>
        </w:tc>
        <w:tc>
          <w:tcPr>
            <w:tcW w:type="dxa" w:w="51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Per-SKU shipping-mode recommendation with cost and lead-time trade-off quantified</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Do line-cost analysis</w:t>
            </w:r>
          </w:p>
        </w:tc>
        <w:tc>
          <w:tcPr>
            <w:tcW w:type="dxa" w:w="51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Per-SKU landed cost (customs duty, VAT, AIT, freight) and margin analysis</w:t>
            </w:r>
          </w:p>
        </w:tc>
      </w:tr>
    </w:tbl>
    <w:p>
      <w:pPr>
        <w:spacing w:after="120"/>
      </w:pPr>
    </w:p>
    <w:p>
      <w:pPr>
        <w:spacing w:before="0" w:after="120" w:line="312" w:lineRule="auto"/>
        <w:jc w:val="left"/>
      </w:pPr>
      <w:r>
        <w:rPr>
          <w:rFonts w:ascii="Calibri" w:hAnsi="Calibri" w:eastAsia="Calibri"/>
          <w:b w:val="0"/>
          <w:i w:val="0"/>
          <w:color w:val="1A1A1A"/>
          <w:sz w:val="22"/>
        </w:rPr>
        <w:t>Sections 3 through 6 of this document walk through each TrimedCast subsystem and map it against these six requirements. Section 7 documents the genuine gaps. Section 8 concludes with a verdict and recommended next actions.</w:t>
      </w:r>
    </w:p>
    <w:p>
      <w:r>
        <w:br w:type="page"/>
      </w:r>
    </w:p>
    <w:p>
      <w:pPr>
        <w:pStyle w:val="Heading1"/>
        <w:keepNext/>
        <w:spacing w:before="360" w:after="160"/>
        <w:pBdr>
          <w:bottom w:val="single" w:sz="8" w:color="2E86C1" w:space="4"/>
        </w:pBdr>
      </w:pPr>
      <w:r>
        <w:rPr>
          <w:rFonts w:ascii="Calibri" w:hAnsi="Calibri" w:eastAsia="Calibri"/>
          <w:b/>
          <w:i w:val="0"/>
          <w:color w:val="1F3A5F"/>
          <w:sz w:val="36"/>
        </w:rPr>
        <w:t>3.  Main Body — System Architecture &amp; Feature Inventory</w:t>
      </w:r>
    </w:p>
    <w:p>
      <w:pPr>
        <w:pStyle w:val="Heading2"/>
        <w:keepNext/>
        <w:spacing w:before="280" w:after="120"/>
      </w:pPr>
      <w:r>
        <w:rPr>
          <w:rFonts w:ascii="Calibri" w:hAnsi="Calibri" w:eastAsia="Calibri"/>
          <w:b/>
          <w:i w:val="0"/>
          <w:color w:val="1F3A5F"/>
          <w:sz w:val="28"/>
        </w:rPr>
        <w:t>3.1  System Architecture</w:t>
      </w:r>
    </w:p>
    <w:p>
      <w:pPr>
        <w:spacing w:before="0" w:after="120" w:line="312" w:lineRule="auto"/>
        <w:jc w:val="left"/>
      </w:pPr>
      <w:r>
        <w:rPr>
          <w:rFonts w:ascii="Calibri" w:hAnsi="Calibri" w:eastAsia="Calibri"/>
          <w:b w:val="0"/>
          <w:i w:val="0"/>
          <w:color w:val="1A1A1A"/>
          <w:sz w:val="22"/>
        </w:rPr>
        <w:t>TrimedCast is a single-process Next.js application — there is no separate Python microservice, no separate worker queue process, and no separate front-end back-end split. The Next.js App Router serves the React UI, the API routes (under src/app/api/), and the Server Actions in a single deployment. The Prisma ORM talks directly to the SQLite database file (or PostgreSQL in production) from within the same process. The forecasting engine, which the specification documents describe as a Python FastAPI microservice running Prophet and statsmodels, is in fact a pure-TypeScript in-process module that implements a Prophet-inspired Fourier-series forecasting algorithm — see Section 3.3 for the details and the divergence.</w:t>
      </w:r>
    </w:p>
    <w:p>
      <w:pPr>
        <w:spacing w:before="0" w:after="120" w:line="312" w:lineRule="auto"/>
        <w:jc w:val="left"/>
      </w:pPr>
      <w:r>
        <w:rPr>
          <w:rFonts w:ascii="Calibri" w:hAnsi="Calibri" w:eastAsia="Calibri"/>
          <w:b w:val="0"/>
          <w:i w:val="0"/>
          <w:color w:val="1A1A1A"/>
          <w:sz w:val="22"/>
        </w:rPr>
        <w:t>The architectural choice to run everything in one Next.js process is deliberate for the target scale (1 to 1,000 SKUs per tenant, 50 concurrent tenants). It eliminates the operational overhead of running and monitoring a second service. The trade-off is that forecast jobs block the Node.js event loop for the duration of the computation; for the SKU volumes typical of the target market (a full forecast for 1,000 SKUs takes seconds, not minutes), this is acceptable. The repository includes a ScheduledJob Prisma model and /api/v1/scheduler/* routes that provide a cron framework for offloading heavy work to background jobs when scale eventually demands it.</w:t>
      </w:r>
    </w:p>
    <w:p>
      <w:pPr>
        <w:spacing w:before="120" w:after="0"/>
      </w:pPr>
      <w:r>
        <w:rPr>
          <w:rFonts w:ascii="Consolas" w:hAnsi="Consolas" w:eastAsia="Consolas"/>
          <w:b/>
          <w:i/>
          <w:color w:val="6B6B6B"/>
          <w:sz w:val="16"/>
        </w:rPr>
        <w:t>[ASCII]</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Browser (Bengali / English UI)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  HTTPS via Caddy 2</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Next.js 16 App (single process, Bun runtime)             │</w:t>
            </w:r>
          </w:p>
          <w:p>
            <w:pPr>
              <w:spacing w:before="0" w:after="0" w:line="276" w:lineRule="auto"/>
            </w:pPr>
            <w:r>
              <w:rPr>
                <w:rFonts w:ascii="Consolas" w:hAnsi="Consolas" w:eastAsia="Consolas"/>
                <w:b w:val="0"/>
                <w:i w:val="0"/>
                <w:color w:val="2C3E50"/>
                <w:sz w:val="18"/>
              </w:rPr>
              <w:t>│  ┌─────────────┐  ┌─────────────┐  ┌─────────────┐  ┌──────────┐ │</w:t>
            </w:r>
          </w:p>
          <w:p>
            <w:pPr>
              <w:spacing w:before="0" w:after="0" w:line="276" w:lineRule="auto"/>
            </w:pPr>
            <w:r>
              <w:rPr>
                <w:rFonts w:ascii="Consolas" w:hAnsi="Consolas" w:eastAsia="Consolas"/>
                <w:b w:val="0"/>
                <w:i w:val="0"/>
                <w:color w:val="2C3E50"/>
                <w:sz w:val="18"/>
              </w:rPr>
              <w:t>│  │  App Router  │  │  API Routes  │  │  Server     │  │  Auth    │ │</w:t>
            </w:r>
          </w:p>
          <w:p>
            <w:pPr>
              <w:spacing w:before="0" w:after="0" w:line="276" w:lineRule="auto"/>
            </w:pPr>
            <w:r>
              <w:rPr>
                <w:rFonts w:ascii="Consolas" w:hAnsi="Consolas" w:eastAsia="Consolas"/>
                <w:b w:val="0"/>
                <w:i w:val="0"/>
                <w:color w:val="2C3E50"/>
                <w:sz w:val="18"/>
              </w:rPr>
              <w:t>│  │  (React 19)  │  │  /api/v1/*   │  │  Actions    │  │  Middle- │ │</w:t>
            </w:r>
          </w:p>
          <w:p>
            <w:pPr>
              <w:spacing w:before="0" w:after="0" w:line="276" w:lineRule="auto"/>
            </w:pPr>
            <w:r>
              <w:rPr>
                <w:rFonts w:ascii="Consolas" w:hAnsi="Consolas" w:eastAsia="Consolas"/>
                <w:b w:val="0"/>
                <w:i w:val="0"/>
                <w:color w:val="2C3E50"/>
                <w:sz w:val="18"/>
              </w:rPr>
              <w:t>│  │  258 UI      │  │  175 routes  │  │             │  │  ware   │ │</w:t>
            </w:r>
          </w:p>
          <w:p>
            <w:pPr>
              <w:spacing w:before="0" w:after="0" w:line="276" w:lineRule="auto"/>
            </w:pPr>
            <w:r>
              <w:rPr>
                <w:rFonts w:ascii="Consolas" w:hAnsi="Consolas" w:eastAsia="Consolas"/>
                <w:b w:val="0"/>
                <w:i w:val="0"/>
                <w:color w:val="2C3E50"/>
                <w:sz w:val="18"/>
              </w:rPr>
              <w:t>│  │  components  │  │              │  │             │  │         │</w:t>
            </w:r>
          </w:p>
          <w:p>
            <w:pPr>
              <w:spacing w:before="0" w:after="0" w:line="276" w:lineRule="auto"/>
            </w:pPr>
            <w:r>
              <w:rPr>
                <w:rFonts w:ascii="Consolas" w:hAnsi="Consolas" w:eastAsia="Consolas"/>
                <w:b w:val="0"/>
                <w:i w:val="0"/>
                <w:color w:val="2C3E50"/>
                <w:sz w:val="18"/>
              </w:rPr>
              <w:t>│  └──────┬───────┘  └──────┬───────┘  └──────┬──────┘  └────┬───┘ │</w:t>
            </w:r>
          </w:p>
          <w:p>
            <w:pPr>
              <w:spacing w:before="0" w:after="0" w:line="276" w:lineRule="auto"/>
            </w:pPr>
            <w:r>
              <w:rPr>
                <w:rFonts w:ascii="Consolas" w:hAnsi="Consolas" w:eastAsia="Consolas"/>
                <w:b w:val="0"/>
                <w:i w:val="0"/>
                <w:color w:val="2C3E50"/>
                <w:sz w:val="18"/>
              </w:rPr>
              <w:t>│         │                 │                 │              │       │</w:t>
            </w:r>
          </w:p>
          <w:p>
            <w:pPr>
              <w:spacing w:before="0" w:after="0" w:line="276" w:lineRule="auto"/>
            </w:pPr>
            <w:r>
              <w:rPr>
                <w:rFonts w:ascii="Consolas" w:hAnsi="Consolas" w:eastAsia="Consolas"/>
                <w:b w:val="0"/>
                <w:i w:val="0"/>
                <w:color w:val="2C3E50"/>
                <w:sz w:val="18"/>
              </w:rPr>
              <w:t>│  ┌──────▼─────────────────▼─────────────────▼──────────────▼────┐ │</w:t>
            </w:r>
          </w:p>
          <w:p>
            <w:pPr>
              <w:spacing w:before="0" w:after="0" w:line="276" w:lineRule="auto"/>
            </w:pPr>
            <w:r>
              <w:rPr>
                <w:rFonts w:ascii="Consolas" w:hAnsi="Consolas" w:eastAsia="Consolas"/>
                <w:b w:val="0"/>
                <w:i w:val="0"/>
                <w:color w:val="2C3E50"/>
                <w:sz w:val="18"/>
              </w:rPr>
              <w:t>│  │              src/lib/*  (TypeScript business logic)         │ │</w:t>
            </w:r>
          </w:p>
          <w:p>
            <w:pPr>
              <w:spacing w:before="0" w:after="0" w:line="276" w:lineRule="auto"/>
            </w:pPr>
            <w:r>
              <w:rPr>
                <w:rFonts w:ascii="Consolas" w:hAnsi="Consolas" w:eastAsia="Consolas"/>
                <w:b w:val="0"/>
                <w:i w:val="0"/>
                <w:color w:val="2C3E50"/>
                <w:sz w:val="18"/>
              </w:rPr>
              <w:t>│  │  etl/  forecasting/  api/  auth/  subscription/  payment/   │ │</w:t>
            </w:r>
          </w:p>
          <w:p>
            <w:pPr>
              <w:spacing w:before="0" w:after="0" w:line="276" w:lineRule="auto"/>
            </w:pPr>
            <w:r>
              <w:rPr>
                <w:rFonts w:ascii="Consolas" w:hAnsi="Consolas" w:eastAsia="Consolas"/>
                <w:b w:val="0"/>
                <w:i w:val="0"/>
                <w:color w:val="2C3E50"/>
                <w:sz w:val="18"/>
              </w:rPr>
              <w:t>│  └──────────────────────────┬──────────────────────────────────┘ │</w:t>
            </w:r>
          </w:p>
          <w:p>
            <w:pPr>
              <w:spacing w:before="0" w:after="0" w:line="276" w:lineRule="auto"/>
            </w:pPr>
            <w:r>
              <w:rPr>
                <w:rFonts w:ascii="Consolas" w:hAnsi="Consolas" w:eastAsia="Consolas"/>
                <w:b w:val="0"/>
                <w:i w:val="0"/>
                <w:color w:val="2C3E50"/>
                <w:sz w:val="18"/>
              </w:rPr>
              <w:t>│                             │                                      │</w:t>
            </w:r>
          </w:p>
          <w:p>
            <w:pPr>
              <w:spacing w:before="0" w:after="0" w:line="276" w:lineRule="auto"/>
            </w:pPr>
            <w:r>
              <w:rPr>
                <w:rFonts w:ascii="Consolas" w:hAnsi="Consolas" w:eastAsia="Consolas"/>
                <w:b w:val="0"/>
                <w:i w:val="0"/>
                <w:color w:val="2C3E50"/>
                <w:sz w:val="18"/>
              </w:rPr>
              <w:t>│  ┌──────────────────────────▼──────────────────────────────────┐ │</w:t>
            </w:r>
          </w:p>
          <w:p>
            <w:pPr>
              <w:spacing w:before="0" w:after="0" w:line="276" w:lineRule="auto"/>
            </w:pPr>
            <w:r>
              <w:rPr>
                <w:rFonts w:ascii="Consolas" w:hAnsi="Consolas" w:eastAsia="Consolas"/>
                <w:b w:val="0"/>
                <w:i w:val="0"/>
                <w:color w:val="2C3E50"/>
                <w:sz w:val="18"/>
              </w:rPr>
              <w:t>│  │              Prisma ORM 6.11  (27 data models)              │ │</w:t>
            </w:r>
          </w:p>
          <w:p>
            <w:pPr>
              <w:spacing w:before="0" w:after="0" w:line="276" w:lineRule="auto"/>
            </w:pPr>
            <w:r>
              <w:rPr>
                <w:rFonts w:ascii="Consolas" w:hAnsi="Consolas" w:eastAsia="Consolas"/>
                <w:b w:val="0"/>
                <w:i w:val="0"/>
                <w:color w:val="2C3E50"/>
                <w:sz w:val="18"/>
              </w:rPr>
              <w:t>│  └──────────────────────────┬──────────────────────────────────┘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SQLite (dev)             │</w:t>
            </w:r>
          </w:p>
          <w:p>
            <w:pPr>
              <w:spacing w:before="0" w:after="0" w:line="276" w:lineRule="auto"/>
            </w:pPr>
            <w:r>
              <w:rPr>
                <w:rFonts w:ascii="Consolas" w:hAnsi="Consolas" w:eastAsia="Consolas"/>
                <w:b w:val="0"/>
                <w:i w:val="0"/>
                <w:color w:val="2C3E50"/>
                <w:sz w:val="18"/>
              </w:rPr>
              <w:t xml:space="preserve">                │  PostgreSQL 16 (prod)     │</w:t>
            </w:r>
          </w:p>
          <w:p>
            <w:pPr>
              <w:spacing w:before="0" w:after="0" w:line="276" w:lineRule="auto"/>
            </w:pPr>
            <w:r>
              <w:rPr>
                <w:rFonts w:ascii="Consolas" w:hAnsi="Consolas" w:eastAsia="Consolas"/>
                <w:b w:val="0"/>
                <w:i w:val="0"/>
                <w:color w:val="2C3E50"/>
                <w:sz w:val="18"/>
              </w:rPr>
              <w:t xml:space="preserve">                └───────────────────────────┘</w:t>
            </w:r>
          </w:p>
        </w:tc>
      </w:tr>
    </w:tbl>
    <w:p>
      <w:pPr>
        <w:spacing w:after="80"/>
      </w:pPr>
    </w:p>
    <w:p>
      <w:pPr>
        <w:pStyle w:val="Heading2"/>
        <w:keepNext/>
        <w:spacing w:before="280" w:after="120"/>
      </w:pPr>
      <w:r>
        <w:rPr>
          <w:rFonts w:ascii="Calibri" w:hAnsi="Calibri" w:eastAsia="Calibri"/>
          <w:b/>
          <w:i w:val="0"/>
          <w:color w:val="1F3A5F"/>
          <w:sz w:val="28"/>
        </w:rPr>
        <w:t>3.2  Excel Import &amp; ETL Pipeline</w:t>
      </w:r>
    </w:p>
    <w:p>
      <w:pPr>
        <w:spacing w:before="0" w:after="120" w:line="312" w:lineRule="auto"/>
        <w:jc w:val="left"/>
      </w:pPr>
      <w:r>
        <w:rPr>
          <w:rFonts w:ascii="Calibri" w:hAnsi="Calibri" w:eastAsia="Calibri"/>
          <w:b w:val="0"/>
          <w:i w:val="0"/>
          <w:color w:val="1A1A1A"/>
          <w:sz w:val="22"/>
        </w:rPr>
        <w:t>Requirement (a) — upload Excel of monthly sales — is fully met. The Excel Import and ETL pipeline is implemented in six TypeScript files under src/lib/etl/ totaling 3,278 lines, exposed through four API routes under src/app/api/v1/imports/, and surfaced in the UI through a seven-step import wizard in src/components/import-wizard/ and src/components/etl/. The pipeline is end-to-end: the browser uploads a .xlsx file, the server parses it, the column mapper auto-maps the workbook's headers to the system's expected fields, the validator checks structural and business-logic correctness, the harmonizer cleans the data (deduplication, outlier flagging, promo adjustment, gap filling, season tagging), and the batch inserter writes the clean rows to the database in 5,000-row chunks.</w:t>
      </w:r>
    </w:p>
    <w:p>
      <w:pPr>
        <w:pStyle w:val="Heading3"/>
        <w:keepNext/>
        <w:spacing w:before="200" w:after="80"/>
      </w:pPr>
      <w:r>
        <w:rPr>
          <w:rFonts w:ascii="Calibri" w:hAnsi="Calibri" w:eastAsia="Calibri"/>
          <w:b/>
          <w:i w:val="0"/>
          <w:color w:val="2E86C1"/>
          <w:sz w:val="24"/>
        </w:rPr>
        <w:t>3.2.1  Pipeline Stages</w:t>
      </w:r>
    </w:p>
    <w:p>
      <w:pPr>
        <w:spacing w:before="120" w:after="40"/>
        <w:jc w:val="center"/>
      </w:pPr>
      <w:r>
        <w:rPr>
          <w:rFonts w:ascii="Calibri" w:hAnsi="Calibri" w:eastAsia="Calibri"/>
          <w:b/>
          <w:i/>
          <w:color w:val="6B6B6B"/>
          <w:sz w:val="18"/>
        </w:rPr>
        <w:t>Table 3-1: The six-stage Excel ETL pipeline</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Stage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File (lines)</w:t>
            </w:r>
          </w:p>
        </w:tc>
        <w:tc>
          <w:tcPr>
            <w:tcW w:type="dxa" w:w="51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What It Does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Upload &amp; Parse</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excel-parser.ts (154)</w:t>
            </w:r>
          </w:p>
        </w:tc>
        <w:tc>
          <w:tcPr>
            <w:tcW w:type="dxa" w:w="51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Uses xlsx (SheetJS) to parse .xlsx/.csv/.xls. Auto-detects Excel date serial numbers. Preserves SKU-like strings with leading zeros. Max 10 MB, 100,000 rows, 50 columns.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 Column Mapping</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column-mapper.ts (293)</w:t>
            </w:r>
          </w:p>
        </w:tc>
        <w:tc>
          <w:tcPr>
            <w:tcW w:type="dxa" w:w="51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Pure-TS Levenshtein-distance algorithm for fuzzy auto-mapping Excel headers to system fields. Handles Bengali Unicode column names. Confidence-scored suggestions.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 Validation</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validator.ts (577)</w:t>
            </w:r>
          </w:p>
        </w:tc>
        <w:tc>
          <w:tcPr>
            <w:tcW w:type="dxa" w:w="51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Three-phase validation: structural (missing required columns, duplicate mappings), type (date parsing, numeric coercion, enum, negative-value detection), business logic (referential integrity: SKU exists in catalog, supplier name matches, motorcycle model exists, selling_price &gt;= unit_cost, date within 3-year window, quantity outlier flagging).</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 Harmonization</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harmonizer.ts (564)</w:t>
            </w:r>
          </w:p>
        </w:tc>
        <w:tc>
          <w:tcPr>
            <w:tcW w:type="dxa" w:w="51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Six-step pipeline: deduplication (composite key sale_date+sku_code+invoice_number), outlier detection (per-SKU mean plus 3 sigma, never auto-removes), promo cleansing (adjusted_qty = actual x (1 - promo_index)), gap filling (seasonal same-month average, fallback to 12-month moving average), season tagging (BD season calendar), lead-time normalization.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 Batch Insert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batch-inserter.ts (495)</w:t>
            </w:r>
          </w:p>
        </w:tc>
        <w:tc>
          <w:tcPr>
            <w:tcW w:type="dxa" w:w="51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5,000-row chunks via Prisma. Batch-fail falls back to row-by-row salvage. Commit threshold &gt;= 95 percent success.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 Quality Score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quality-score.ts (88)</w:t>
            </w:r>
          </w:p>
        </w:tc>
        <w:tc>
          <w:tcPr>
            <w:tcW w:type="dxa" w:w="51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Quality = Completeness*0.35 + Consistency*0.25 + Freshness*0.20 + Volume*0.20. Threshold &gt;= 60 required to generate the first forecast.</w:t>
            </w:r>
          </w:p>
        </w:tc>
      </w:tr>
    </w:tbl>
    <w:p>
      <w:pPr>
        <w:spacing w:after="120"/>
      </w:pPr>
    </w:p>
    <w:p>
      <w:pPr>
        <w:pStyle w:val="Heading3"/>
        <w:keepNext/>
        <w:spacing w:before="200" w:after="80"/>
      </w:pPr>
      <w:r>
        <w:rPr>
          <w:rFonts w:ascii="Calibri" w:hAnsi="Calibri" w:eastAsia="Calibri"/>
          <w:b/>
          <w:i w:val="0"/>
          <w:color w:val="2E86C1"/>
          <w:sz w:val="24"/>
        </w:rPr>
        <w:t>3.2.2  Supported Import Types</w:t>
      </w:r>
    </w:p>
    <w:p>
      <w:pPr>
        <w:spacing w:before="0" w:after="120" w:line="312" w:lineRule="auto"/>
        <w:jc w:val="left"/>
      </w:pPr>
      <w:r>
        <w:rPr>
          <w:rFonts w:ascii="Calibri" w:hAnsi="Calibri" w:eastAsia="Calibri"/>
          <w:b w:val="0"/>
          <w:i w:val="0"/>
          <w:color w:val="1A1A1A"/>
          <w:sz w:val="22"/>
        </w:rPr>
        <w:t>The pipeline supports seven import types, enforced in dependency order: Motorcycle Models first (reference data), then Suppliers, then Product Catalog, then Current Stock, then Sales History (the largest and most important), then Purchase History, then Promo Events. Each import type has its own Excel column schema defined in src/lib/etl/import-types.ts. The Sales History schema — the one most relevant to the client's Excel — expects: sale_date, sku_code, qty_sold (must be &gt; 0), unit_price, total_amount (auto-calculated if missing), invoice_number, customer_type (retail/wholesale/fleet/warranty).</w:t>
      </w:r>
    </w:p>
    <w:p>
      <w:pPr>
        <w:spacing w:before="0" w:after="120" w:line="312" w:lineRule="auto"/>
        <w:jc w:val="left"/>
      </w:pPr>
      <w:r>
        <w:rPr>
          <w:rFonts w:ascii="Calibri" w:hAnsi="Calibri" w:eastAsia="Calibri"/>
          <w:b w:val="0"/>
          <w:i w:val="0"/>
          <w:color w:val="1A1A1A"/>
          <w:sz w:val="22"/>
        </w:rPr>
        <w:t>The client's existing Excel workbook, whose structure was analyzed in a prior conversation (Pic No, Item, Color &amp; Details, Order QTY, Ordered On, Send On, Send By Sea/Air, Received On, monthly Jan-Dec columns), will require a custom import-template mapping. The column-mapper's Levenshtein-distance fuzzy matching will auto-map most columns (Item to product_name, Order QTY to qty_ordered, Send By to shipment_mode, monthly columns to sale_date+qty_sold in long format), but a one-time configuration of the mapping suggestions for the client's specific naming convention will smooth the first upload. This is a configuration task, not a code change.</w:t>
      </w:r>
    </w:p>
    <w:p>
      <w:pPr>
        <w:pStyle w:val="Heading2"/>
        <w:keepNext/>
        <w:spacing w:before="280" w:after="120"/>
      </w:pPr>
      <w:r>
        <w:rPr>
          <w:rFonts w:ascii="Calibri" w:hAnsi="Calibri" w:eastAsia="Calibri"/>
          <w:b/>
          <w:i w:val="0"/>
          <w:color w:val="1F3A5F"/>
          <w:sz w:val="28"/>
        </w:rPr>
        <w:t>3.3  Forecasting Engine</w:t>
      </w:r>
    </w:p>
    <w:p>
      <w:pPr>
        <w:spacing w:before="0" w:after="120" w:line="312" w:lineRule="auto"/>
        <w:jc w:val="left"/>
      </w:pPr>
      <w:r>
        <w:rPr>
          <w:rFonts w:ascii="Calibri" w:hAnsi="Calibri" w:eastAsia="Calibri"/>
          <w:b w:val="0"/>
          <w:i w:val="0"/>
          <w:color w:val="1A1A1A"/>
          <w:sz w:val="22"/>
        </w:rPr>
        <w:t>Requirement (b) — predict next-session sales — is met by the forecasting engine, implemented in twelve TypeScript files under src/lib/forecasting/ totaling 9,375 lines. The engine's centerpiece is a Prophet-inspired forecasting algorithm implemented in pure TypeScript in prophet-engine.ts (830 lines). It is important to be precise about what is and is not implemented here, because the repository's own specification documents describe a different stack (a Python FastAPI microservice running the actual Facebook Prophet library, statsmodels, and scikit-learn); the actual code is a pure-TypeScript reimplementation of the same mathematical ideas, which is faster to deploy and operate but is not the original Prophet library.</w:t>
      </w:r>
    </w:p>
    <w:p>
      <w:pPr>
        <w:pStyle w:val="Heading3"/>
        <w:keepNext/>
        <w:spacing w:before="200" w:after="80"/>
      </w:pPr>
      <w:r>
        <w:rPr>
          <w:rFonts w:ascii="Calibri" w:hAnsi="Calibri" w:eastAsia="Calibri"/>
          <w:b/>
          <w:i w:val="0"/>
          <w:color w:val="2E86C1"/>
          <w:sz w:val="24"/>
        </w:rPr>
        <w:t>3.3.1  Prophet-Inspired TypeScript Engine</w:t>
      </w:r>
    </w:p>
    <w:p>
      <w:pPr>
        <w:spacing w:before="0" w:after="120" w:line="312" w:lineRule="auto"/>
        <w:jc w:val="left"/>
      </w:pPr>
      <w:r>
        <w:rPr>
          <w:rFonts w:ascii="Calibri" w:hAnsi="Calibri" w:eastAsia="Calibri"/>
          <w:b w:val="0"/>
          <w:i w:val="0"/>
          <w:color w:val="1A1A1A"/>
          <w:sz w:val="22"/>
        </w:rPr>
        <w:t>The forecasting algorithm in prophet-engine.ts implements the core Prophet model: a decomposition of the time series into trend, seasonality, and holiday components, fitted by ordinary least squares (OLS) using a Gaussian-elimination solver implemented in TypeScript. The trend is a piecewise-linear function with auto-detected changepoints. The seasonality is a Fourier series with the standard annual period of 12 (monthly data) plus a custom 121.75-day periodicity that captures intra-year patterns specific to the Bangladesh motorcycle-parts market. The holiday component is a set of indicator multipliers for each Bangladesh festival and the Chinese New Year shutdown, with a 0.85 multiplier applied to demand during the CNY shutdown period to model the supply-disruption effect.</w:t>
      </w:r>
    </w:p>
    <w:p>
      <w:pPr>
        <w:spacing w:before="0" w:after="120" w:line="312" w:lineRule="auto"/>
        <w:jc w:val="left"/>
      </w:pPr>
      <w:r>
        <w:rPr>
          <w:rFonts w:ascii="Calibri" w:hAnsi="Calibri" w:eastAsia="Calibri"/>
          <w:b w:val="0"/>
          <w:i w:val="0"/>
          <w:color w:val="1A1A1A"/>
          <w:sz w:val="22"/>
        </w:rPr>
        <w:t>The model supports both additive and multiplicative seasonality modes; the BD implementation defaults to multiplicative, on the empirical observation that festival lift scales with the underlying trend (a fast-growing SKU sees proportionally larger absolute lifts around festivals). The changepoint prior scale is configurable per tenant through the ForecastSetting Prisma model; the auto-recalibration engine can loosen it by a factor of 1.5 (capped at 0.5) when a SKU's MAPE exceeds 15 percent.</w:t>
      </w:r>
    </w:p>
    <w:p>
      <w:pPr>
        <w:pStyle w:val="Heading3"/>
        <w:keepNext/>
        <w:spacing w:before="200" w:after="80"/>
      </w:pPr>
      <w:r>
        <w:rPr>
          <w:rFonts w:ascii="Calibri" w:hAnsi="Calibri" w:eastAsia="Calibri"/>
          <w:b/>
          <w:i w:val="0"/>
          <w:color w:val="2E86C1"/>
          <w:sz w:val="24"/>
        </w:rPr>
        <w:t>3.3.2  Consensus Forecast Pipeline</w:t>
      </w:r>
    </w:p>
    <w:p>
      <w:pPr>
        <w:spacing w:before="0" w:after="120" w:line="312" w:lineRule="auto"/>
        <w:jc w:val="left"/>
      </w:pPr>
      <w:r>
        <w:rPr>
          <w:rFonts w:ascii="Calibri" w:hAnsi="Calibri" w:eastAsia="Calibri"/>
          <w:b w:val="0"/>
          <w:i w:val="0"/>
          <w:color w:val="1A1A1A"/>
          <w:sz w:val="22"/>
        </w:rPr>
        <w:t>TrimedCast does not stop at the quantitative forecast. The consensus-engine.ts (964 lines) implements a five-step pipeline that blends the quantitative forecast with qualitative adjustments, reflecting the system's design philosophy that the best forecast for a Bangladesh distributor is a blend of statistical model output and the sales team's market knowledge.</w:t>
      </w:r>
    </w:p>
    <w:p>
      <w:pPr>
        <w:pStyle w:val="ListNumber"/>
        <w:spacing w:after="60" w:line="312" w:lineRule="auto"/>
        <w:ind w:left="425"/>
      </w:pPr>
      <w:r>
        <w:rPr>
          <w:rFonts w:ascii="Calibri" w:hAnsi="Calibri" w:eastAsia="Calibri"/>
          <w:b w:val="0"/>
          <w:i w:val="0"/>
          <w:color w:val="1A1A1A"/>
          <w:sz w:val="22"/>
        </w:rPr>
        <w:t>Prophet baseline forecast (the quantitative forecast from the previous step).</w:t>
      </w:r>
    </w:p>
    <w:p>
      <w:pPr>
        <w:pStyle w:val="ListNumber"/>
        <w:spacing w:after="60" w:line="312" w:lineRule="auto"/>
        <w:ind w:left="425"/>
      </w:pPr>
      <w:r>
        <w:rPr>
          <w:rFonts w:ascii="Calibri" w:hAnsi="Calibri" w:eastAsia="Calibri"/>
          <w:b w:val="0"/>
          <w:i w:val="0"/>
          <w:color w:val="1A1A1A"/>
          <w:sz w:val="22"/>
        </w:rPr>
        <w:t>Apply Bangladesh seasonal weights (winter 1.40, summer 1.00, monsoon 0.65, pre-winter 1.25, with per-category multipliers for brake systems, chain sprockets, riding gear, engine, electrical, body).</w:t>
      </w:r>
    </w:p>
    <w:p>
      <w:pPr>
        <w:pStyle w:val="ListNumber"/>
        <w:spacing w:after="60" w:line="312" w:lineRule="auto"/>
        <w:ind w:left="425"/>
      </w:pPr>
      <w:r>
        <w:rPr>
          <w:rFonts w:ascii="Calibri" w:hAnsi="Calibri" w:eastAsia="Calibri"/>
          <w:b w:val="0"/>
          <w:i w:val="0"/>
          <w:color w:val="1A1A1A"/>
          <w:sz w:val="22"/>
        </w:rPr>
        <w:t>Apply marketing adjustments (the promo_index delta multiplied by the price-elasticity coefficient beta-2 from the regression model).</w:t>
      </w:r>
    </w:p>
    <w:p>
      <w:pPr>
        <w:pStyle w:val="ListNumber"/>
        <w:spacing w:after="60" w:line="312" w:lineRule="auto"/>
        <w:ind w:left="425"/>
      </w:pPr>
      <w:r>
        <w:rPr>
          <w:rFonts w:ascii="Calibri" w:hAnsi="Calibri" w:eastAsia="Calibri"/>
          <w:b w:val="0"/>
          <w:i w:val="0"/>
          <w:color w:val="1A1A1A"/>
          <w:sz w:val="22"/>
        </w:rPr>
        <w:t>Apply sales-team manual override with confidence-blend weights (low confidence 0.2, medium 0.4, high 0.7) — the sales team can enter a qualitative adjustment and the system blends it with the quantitative forecast based on the team's stated confidence.</w:t>
      </w:r>
    </w:p>
    <w:p>
      <w:pPr>
        <w:pStyle w:val="ListNumber"/>
        <w:spacing w:after="60" w:line="312" w:lineRule="auto"/>
        <w:ind w:left="425"/>
      </w:pPr>
      <w:r>
        <w:rPr>
          <w:rFonts w:ascii="Calibri" w:hAnsi="Calibri" w:eastAsia="Calibri"/>
          <w:b w:val="0"/>
          <w:i w:val="0"/>
          <w:color w:val="1A1A1A"/>
          <w:sz w:val="22"/>
        </w:rPr>
        <w:t>Final consensus value computed as 60 percent quantitative + 40 percent qualitative weighting, stored as the RecommendedOrder model's forecast field.</w:t>
      </w:r>
    </w:p>
    <w:p>
      <w:pPr>
        <w:pStyle w:val="Heading3"/>
        <w:keepNext/>
        <w:spacing w:before="200" w:after="80"/>
      </w:pPr>
      <w:r>
        <w:rPr>
          <w:rFonts w:ascii="Calibri" w:hAnsi="Calibri" w:eastAsia="Calibri"/>
          <w:b/>
          <w:i w:val="0"/>
          <w:color w:val="2E86C1"/>
          <w:sz w:val="24"/>
        </w:rPr>
        <w:t>3.3.3  Accuracy Metrics &amp; Backtesting</w:t>
      </w:r>
    </w:p>
    <w:p>
      <w:pPr>
        <w:spacing w:before="0" w:after="120" w:line="312" w:lineRule="auto"/>
        <w:jc w:val="left"/>
      </w:pPr>
      <w:r>
        <w:rPr>
          <w:rFonts w:ascii="Calibri" w:hAnsi="Calibri" w:eastAsia="Calibri"/>
          <w:b w:val="0"/>
          <w:i w:val="0"/>
          <w:color w:val="1A1A1A"/>
          <w:sz w:val="22"/>
        </w:rPr>
        <w:t>Forecast accuracy is measured by four metrics, all computed in TypeScript (no scikit-learn dependency): Mean Absolute Percentage Error (MAPE), Mean Absolute Error (MAE), Mean Squared Error (MSE), Root Mean Squared Error (RMSE), and Bias. The MAPE is interpreted on a five-tier rating scale: Excellent (under 5 percent), Good (under 10 percent), Fair (under 20 percent), Poor (under 50 percent), Unusable (over 50 percent). Backtesting uses a rolling-origin evaluation with an 80/20 train-test split and a default 12-month rolling window, so the reported accuracy is an honest out-of-sample estimate rather than an in-sample fit.</w:t>
      </w:r>
    </w:p>
    <w:p>
      <w:pPr>
        <w:pStyle w:val="Heading3"/>
        <w:keepNext/>
        <w:spacing w:before="200" w:after="80"/>
      </w:pPr>
      <w:r>
        <w:rPr>
          <w:rFonts w:ascii="Calibri" w:hAnsi="Calibri" w:eastAsia="Calibri"/>
          <w:b/>
          <w:i w:val="0"/>
          <w:color w:val="2E86C1"/>
          <w:sz w:val="24"/>
        </w:rPr>
        <w:t>3.3.4  Auto-Recalibration</w:t>
      </w:r>
    </w:p>
    <w:p>
      <w:pPr>
        <w:spacing w:before="0" w:after="120" w:line="312" w:lineRule="auto"/>
        <w:jc w:val="left"/>
      </w:pPr>
      <w:r>
        <w:rPr>
          <w:rFonts w:ascii="Calibri" w:hAnsi="Calibri" w:eastAsia="Calibri"/>
          <w:b w:val="0"/>
          <w:i w:val="0"/>
          <w:color w:val="1A1A1A"/>
          <w:sz w:val="22"/>
        </w:rPr>
        <w:t>The auto-recalibration-engine.ts (1,200 lines) runs on a weekly cadence (configurable via the ScheduledJob Prisma model) and triggers when a SKU's MAPE exceeds the recalibration threshold (default 15 percent, configurable per tenant). When triggered, the engine takes four actions in sequence: it re-tunes the exponential-smoothing alpha via grid search (0.1 to 0.9 in 0.1 steps), it loosens the Prophet changepoint prior scale by a factor of 1.5 (capped at 0.5), it increases the outlier sigma threshold by 0.5 (capped at 5.0), and it flags the SKU for human audit if the MAE exceeds the historical standard deviation. This automatic self-tuning is what keeps the forecasts accurate over time without manual intervention.</w:t>
      </w:r>
    </w:p>
    <w:p>
      <w:pPr>
        <w:pStyle w:val="Heading2"/>
        <w:keepNext/>
        <w:spacing w:before="280" w:after="120"/>
      </w:pPr>
      <w:r>
        <w:rPr>
          <w:rFonts w:ascii="Calibri" w:hAnsi="Calibri" w:eastAsia="Calibri"/>
          <w:b/>
          <w:i w:val="0"/>
          <w:color w:val="1F3A5F"/>
          <w:sz w:val="28"/>
        </w:rPr>
        <w:t>3.4  Session &amp; Seasonality (Eid, Puja, Summer, Winter)</w:t>
      </w:r>
    </w:p>
    <w:p>
      <w:pPr>
        <w:spacing w:before="0" w:after="120" w:line="312" w:lineRule="auto"/>
        <w:jc w:val="left"/>
      </w:pPr>
      <w:r>
        <w:rPr>
          <w:rFonts w:ascii="Calibri" w:hAnsi="Calibri" w:eastAsia="Calibri"/>
          <w:b w:val="0"/>
          <w:i w:val="0"/>
          <w:color w:val="1A1A1A"/>
          <w:sz w:val="22"/>
        </w:rPr>
        <w:t>Requirement (b) specifically mentions Eid, Summer, Winter, and Puja as the sessions the client cares about. TrimedCast implements twelve Bangladesh seasonal patterns that encompass all four of these plus additional sessions the client did not mention but that are material to the BD motorcycle-parts market. The patterns are defined as a constant array BD_HOLIDAY_EFFECTS in prophet-engine.ts and applied to the forecast during the consensus pipeline's seasonal-weight step.</w:t>
      </w:r>
    </w:p>
    <w:p>
      <w:pPr>
        <w:spacing w:before="120" w:after="40"/>
        <w:jc w:val="center"/>
      </w:pPr>
      <w:r>
        <w:rPr>
          <w:rFonts w:ascii="Calibri" w:hAnsi="Calibri" w:eastAsia="Calibri"/>
          <w:b/>
          <w:i/>
          <w:color w:val="6B6B6B"/>
          <w:sz w:val="18"/>
        </w:rPr>
        <w:t>Table 3-2: The twelve built-in Bangladesh seasonal patterns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Session / Festival</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Bengali Name</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Gregorian Month</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Effect</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Type</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Winter-Dry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শীতকাল</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Nov-Feb</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Peak riding season (fog lamps, chain lube)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Pre-Monsoon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বর্ষার পূর্ব</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Preparation spike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Monsoon</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বর্ষা</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Jun-Sep</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Street parts down 30-40%, off-road up 15-30%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Post-Monsoon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বর্ষার পর</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Oct</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Pre-winter spike +10-25%</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Pre-Winter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শীতের পূর্ব</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Oct</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Dealer pre-order rush</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Winter-Festive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শীতের উৎসব</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Peak demand</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CNY Holiday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চৈনা নববর্ষ</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Jan-Feb</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Supply disruption (China factory shutdown)</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Supply-side</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8</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Ramadan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রমজান</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Variable (no runtime Hijri)</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Mixed; food up, auto flat</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Religious</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9</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ঈদুল ফিতর</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April (hardcoded month 4)</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Demand down 30% (family focus)</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Religious</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ঈদুল আযহা</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July (hardcoded month 7)</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Demand down 25%</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Religious</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11</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দুর্গা পূজা</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October (hardcoded month 10)</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Demand up 10%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Religious</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Pohela Boishakh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পহেলা বৈশাখ</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April (month 4)</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Demand up 8%</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Cultural</w:t>
            </w:r>
          </w:p>
        </w:tc>
      </w:tr>
    </w:tbl>
    <w:p>
      <w:pPr>
        <w:spacing w:after="120"/>
      </w:pPr>
    </w:p>
    <w:p>
      <w:pPr>
        <w:pStyle w:val="Heading3"/>
        <w:keepNext/>
        <w:spacing w:before="200" w:after="80"/>
      </w:pPr>
      <w:r>
        <w:rPr>
          <w:rFonts w:ascii="Calibri" w:hAnsi="Calibri" w:eastAsia="Calibri"/>
          <w:b/>
          <w:i w:val="0"/>
          <w:color w:val="2E86C1"/>
          <w:sz w:val="24"/>
        </w:rPr>
        <w:t>3.4.1  Custom Seasonality Types</w:t>
      </w:r>
    </w:p>
    <w:p>
      <w:pPr>
        <w:spacing w:before="0" w:after="120" w:line="312" w:lineRule="auto"/>
        <w:jc w:val="left"/>
      </w:pPr>
      <w:r>
        <w:rPr>
          <w:rFonts w:ascii="Calibri" w:hAnsi="Calibri" w:eastAsia="Calibri"/>
          <w:b w:val="0"/>
          <w:i w:val="0"/>
          <w:color w:val="1A1A1A"/>
          <w:sz w:val="22"/>
        </w:rPr>
        <w:t>Beyond the built-in patterns, TrimedCast exposes a SeasonalityType Prisma model that lets each tenant define its own custom seasonal patterns. A tenant can create, for example, an 'eid_peak' type with a multiplier of 1.5 applied to specific months, a 'cny_preparation' type with a 1.2 multiplier applied to December, or a 'puja_uplift' type with a 1.15 multiplier applied to October. Each custom type carries an English label and a Bengali label (labelBn), a color for dashboard visualization, and a toggle for active/inactive status. The API at /api/v1/seasonality-types/ supports full CRUD plus bulk-toggle operations. This extensibility means the client can add any festival or session not already covered by the built-in patterns without code changes.</w:t>
      </w:r>
    </w:p>
    <w:tbl>
      <w:tblPr>
        <w:tblW w:type="auto" w:w="0"/>
        <w:tblLook w:firstColumn="1" w:firstRow="1" w:lastColumn="0" w:lastRow="0" w:noHBand="0" w:noVBand="1" w:val="04A0"/>
      </w:tblPr>
      <w:tblGrid>
        <w:gridCol w:w="9072"/>
      </w:tblGrid>
      <w:tr>
        <w:tc>
          <w:tcPr>
            <w:tcW w:type="dxa" w:w="9072"/>
            <w:shd w:val="clear" w:color="auto" w:fill="FEF5E7"/>
            <w:tcBorders>
              <w:top w:val="single" w:sz="8" w:color="B7791F"/>
              <w:left w:val="single" w:sz="8" w:color="B7791F"/>
              <w:bottom w:val="single" w:sz="8" w:color="B7791F"/>
              <w:right w:val="single" w:sz="8" w:color="B7791F"/>
            </w:tcBorders>
            <w:tcMar>
              <w:top w:w="120" w:type="dxa"/>
              <w:left w:w="180" w:type="dxa"/>
              <w:bottom w:w="120" w:type="dxa"/>
              <w:right w:w="180" w:type="dxa"/>
            </w:tcMar>
          </w:tcPr>
          <w:p>
            <w:pPr>
              <w:spacing w:after="40"/>
            </w:pPr>
            <w:r/>
            <w:r>
              <w:rPr>
                <w:rFonts w:ascii="Calibri" w:hAnsi="Calibri" w:eastAsia="Calibri"/>
                <w:b/>
                <w:i w:val="0"/>
                <w:color w:val="B7791F"/>
                <w:sz w:val="20"/>
              </w:rPr>
              <w:t>Gap: Hijri Calendar Precision for Eid</w:t>
            </w:r>
          </w:p>
          <w:p>
            <w:pPr>
              <w:spacing w:after="0" w:line="312" w:lineRule="auto"/>
            </w:pPr>
            <w:r>
              <w:rPr>
                <w:rFonts w:ascii="Calibri" w:hAnsi="Calibri" w:eastAsia="Calibri"/>
                <w:b w:val="0"/>
                <w:i w:val="0"/>
                <w:color w:val="1A1A1A"/>
                <w:sz w:val="20"/>
              </w:rPr>
              <w:t>The Eid-ul-Fitr and Eid-ul-Adha dates are currently hardcoded by Gregorian month only (month 4 for Eid-ul-Fitr, month 7 for Eid-ul-Adha) — there is no day-level precision and no runtime Hijri-to-Gregorian conversion. Because Eid shifts approximately 11 days earlier each Gregorian year, this approximation is wrong for most years. The recommended fix is to install the hijri-converter npm package and maintain a per-year bd_holidays table with day-precise Eid dates, refreshed annually from the Bangladesh Government Gazette. This is documented in Section 7.1.</w:t>
            </w:r>
          </w:p>
        </w:tc>
      </w:tr>
    </w:tbl>
    <w:p>
      <w:pPr>
        <w:spacing w:after="80"/>
      </w:pPr>
    </w:p>
    <w:p>
      <w:pPr>
        <w:pStyle w:val="Heading2"/>
        <w:keepNext/>
        <w:spacing w:before="280" w:after="120"/>
      </w:pPr>
      <w:r>
        <w:rPr>
          <w:rFonts w:ascii="Calibri" w:hAnsi="Calibri" w:eastAsia="Calibri"/>
          <w:b/>
          <w:i w:val="0"/>
          <w:color w:val="1F3A5F"/>
          <w:sz w:val="28"/>
        </w:rPr>
        <w:t>3.5  Inventory Optimization (EOQ, Safety Stock, Service Level)</w:t>
      </w:r>
    </w:p>
    <w:p>
      <w:pPr>
        <w:spacing w:before="0" w:after="120" w:line="312" w:lineRule="auto"/>
        <w:jc w:val="left"/>
      </w:pPr>
      <w:r>
        <w:rPr>
          <w:rFonts w:ascii="Calibri" w:hAnsi="Calibri" w:eastAsia="Calibri"/>
          <w:b w:val="0"/>
          <w:i w:val="0"/>
          <w:color w:val="1A1A1A"/>
          <w:sz w:val="22"/>
        </w:rPr>
        <w:t>Requirement (c) — recommend how much to order — is met by the inventory-optimization module in src/lib/forecasting/eoq-safety-stock.ts (900 lines). The module implements the classical Economic Order Quantity (EOQ) formula first derived by Ford W. Harris in 1913, with three real-world constraints applied in sequence: the computed EOQ must not exceed the warehouse's maximum stock capacity for that SKU, the EOQ must be at least the supplier's minimum order quantity (MOQ), and the EOQ must not exceed the warehouse's currently available capacity. If the constraints conflict (for example, the MOQ exceeds the warehouse's remaining capacity), the system returns a warehouse_full status and the operations team is alerted to either expand capacity or split the order.</w:t>
      </w:r>
    </w:p>
    <w:p>
      <w:pPr>
        <w:spacing w:before="120" w:after="120" w:line="288" w:lineRule="auto"/>
        <w:jc w:val="center"/>
      </w:pPr>
      <w:r>
        <w:rPr>
          <w:rFonts w:ascii="Calibri" w:hAnsi="Calibri" w:eastAsia="Calibri"/>
          <w:b/>
          <w:i w:val="0"/>
          <w:color w:val="6B6B6B"/>
          <w:sz w:val="20"/>
        </w:rPr>
        <w:t xml:space="preserve">Economic Order Quantity:  </w:t>
      </w:r>
      <w:r>
        <w:rPr>
          <w:rFonts w:ascii="Cambria Math" w:hAnsi="Cambria Math" w:eastAsia="Cambria Math"/>
          <w:b w:val="0"/>
          <w:i/>
          <w:color w:val="1F3A5F"/>
          <w:sz w:val="22"/>
        </w:rPr>
        <w:t>EOQ = √( (2 × K × D) / h )</w:t>
      </w:r>
    </w:p>
    <w:p>
      <w:pPr>
        <w:spacing w:before="0" w:after="120" w:line="312" w:lineRule="auto"/>
        <w:jc w:val="left"/>
      </w:pPr>
      <w:r>
        <w:rPr>
          <w:rFonts w:ascii="Calibri" w:hAnsi="Calibri" w:eastAsia="Calibri"/>
          <w:b w:val="0"/>
          <w:i w:val="0"/>
          <w:color w:val="1A1A1A"/>
          <w:sz w:val="22"/>
        </w:rPr>
        <w:t>Where K is the ordering cost per purchase order (default 500 Taka, configurable per tenant), D is the annual demand in units (from the forecast), and h is the annual holding cost per unit (default 20 percent of unit cost, decomposed as 5 percent warehouse + 2 percent insurance + 8 percent obsolescence + 5 percent capital opportunity). These defaults are calibrated for the BD motorcycle-parts market and are configurable per tenant through the ForecastSetting Prisma model.</w:t>
      </w:r>
    </w:p>
    <w:p>
      <w:pPr>
        <w:pStyle w:val="Heading3"/>
        <w:keepNext/>
        <w:spacing w:before="200" w:after="80"/>
      </w:pPr>
      <w:r>
        <w:rPr>
          <w:rFonts w:ascii="Calibri" w:hAnsi="Calibri" w:eastAsia="Calibri"/>
          <w:b/>
          <w:i w:val="0"/>
          <w:color w:val="2E86C1"/>
          <w:sz w:val="24"/>
        </w:rPr>
        <w:t>3.5.1  Safety Stock</w:t>
      </w:r>
    </w:p>
    <w:p>
      <w:pPr>
        <w:spacing w:before="0" w:after="120" w:line="312" w:lineRule="auto"/>
        <w:jc w:val="left"/>
      </w:pPr>
      <w:r>
        <w:rPr>
          <w:rFonts w:ascii="Calibri" w:hAnsi="Calibri" w:eastAsia="Calibri"/>
          <w:b w:val="0"/>
          <w:i w:val="0"/>
          <w:color w:val="1A1A1A"/>
          <w:sz w:val="22"/>
        </w:rPr>
        <w:t>Safety stock is computed with a formula that incorporates the forecast's Mean Absolute Error (a measure of forecast uncertainty) and the lead-time variability, scaled by a service-level factor k (the Z-score). This is a more sophisticated formulation than the textbook average-demand-times-lead-time plus a fixed buffer, because it explicitly uses the forecast model's own accuracy as an input — a SKU with a high-MAPE forecast gets a larger safety stock than a SKU with a low-MAPE forecast, all else equal.</w:t>
      </w:r>
    </w:p>
    <w:p>
      <w:pPr>
        <w:spacing w:before="120" w:after="120" w:line="288" w:lineRule="auto"/>
        <w:jc w:val="center"/>
      </w:pPr>
      <w:r>
        <w:rPr>
          <w:rFonts w:ascii="Calibri" w:hAnsi="Calibri" w:eastAsia="Calibri"/>
          <w:b/>
          <w:i w:val="0"/>
          <w:color w:val="6B6B6B"/>
          <w:sz w:val="20"/>
        </w:rPr>
        <w:t xml:space="preserve">Safety Stock:  </w:t>
      </w:r>
      <w:r>
        <w:rPr>
          <w:rFonts w:ascii="Cambria Math" w:hAnsi="Cambria Math" w:eastAsia="Cambria Math"/>
          <w:b w:val="0"/>
          <w:i/>
          <w:color w:val="1F3A5F"/>
          <w:sz w:val="22"/>
        </w:rPr>
        <w:t>SS = (EOQ / R) + (MAE × μ_LT × σ_LT) × k</w:t>
      </w:r>
    </w:p>
    <w:p>
      <w:pPr>
        <w:spacing w:before="120" w:after="120" w:line="288" w:lineRule="auto"/>
        <w:jc w:val="center"/>
      </w:pPr>
      <w:r>
        <w:rPr>
          <w:rFonts w:ascii="Calibri" w:hAnsi="Calibri" w:eastAsia="Calibri"/>
          <w:b/>
          <w:i w:val="0"/>
          <w:color w:val="6B6B6B"/>
          <w:sz w:val="20"/>
        </w:rPr>
        <w:t xml:space="preserve">Reorder Point:  </w:t>
      </w:r>
      <w:r>
        <w:rPr>
          <w:rFonts w:ascii="Cambria Math" w:hAnsi="Cambria Math" w:eastAsia="Cambria Math"/>
          <w:b w:val="0"/>
          <w:i/>
          <w:color w:val="1F3A5F"/>
          <w:sz w:val="22"/>
        </w:rPr>
        <w:t>ROP = (daily_demand × lead_time) + safety_stock</w:t>
      </w:r>
    </w:p>
    <w:p>
      <w:pPr>
        <w:spacing w:before="0" w:after="120" w:line="312" w:lineRule="auto"/>
        <w:jc w:val="left"/>
      </w:pPr>
      <w:r>
        <w:rPr>
          <w:rFonts w:ascii="Calibri" w:hAnsi="Calibri" w:eastAsia="Calibri"/>
          <w:b w:val="0"/>
          <w:i w:val="0"/>
          <w:color w:val="1A1A1A"/>
          <w:sz w:val="22"/>
        </w:rPr>
        <w:t>Where R is the review period (default 10 days), MAE is the Mean Absolute Error from the forecast backtest, mu_LT is the mean lead time (default 152 days for sea, 101 days for air — these defaults come from the lead-time decomposition in Section 3.6), sigma_LT is the standard deviation of the lead time (default 15 days for sea, 5 days for air; if the tenant has at least 5 historical purchase orders for the SKU, the system computes sigma_LT from the actual lead-time observations in the purchase_history.actual_lead_time_days column), and k is the service-level Z-score from Table 3-3.</w:t>
      </w:r>
    </w:p>
    <w:p>
      <w:pPr>
        <w:pStyle w:val="Heading3"/>
        <w:keepNext/>
        <w:spacing w:before="200" w:after="80"/>
      </w:pPr>
      <w:r>
        <w:rPr>
          <w:rFonts w:ascii="Calibri" w:hAnsi="Calibri" w:eastAsia="Calibri"/>
          <w:b/>
          <w:i w:val="0"/>
          <w:color w:val="2E86C1"/>
          <w:sz w:val="24"/>
        </w:rPr>
        <w:t>3.5.2  Service-Level Z-Score Table</w:t>
      </w:r>
    </w:p>
    <w:p>
      <w:pPr>
        <w:spacing w:before="120" w:after="40"/>
        <w:jc w:val="center"/>
      </w:pPr>
      <w:r>
        <w:rPr>
          <w:rFonts w:ascii="Calibri" w:hAnsi="Calibri" w:eastAsia="Calibri"/>
          <w:b/>
          <w:i/>
          <w:color w:val="6B6B6B"/>
          <w:sz w:val="18"/>
        </w:rPr>
        <w:t>Table 3-3: Service-level to Z-score mapping (configurable per SKU)</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Service Level</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k (Z-score)</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Use Case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90%</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1.28</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Low-criticality parts (decorative trim, decals)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95%</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1.65</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Standard (default for most SKUs)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97.5%</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1.96</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High-turnover (brake pads, spark plugs, oil filters)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2.33</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Critical (brake assemblies, clutch cables)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99.9%</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3.09</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Life-critical (brake discs, steering components)</w:t>
            </w:r>
          </w:p>
        </w:tc>
      </w:tr>
    </w:tbl>
    <w:p>
      <w:pPr>
        <w:spacing w:after="120"/>
      </w:pPr>
    </w:p>
    <w:p>
      <w:pPr>
        <w:pStyle w:val="Heading2"/>
        <w:keepNext/>
        <w:spacing w:before="280" w:after="120"/>
      </w:pPr>
      <w:r>
        <w:rPr>
          <w:rFonts w:ascii="Calibri" w:hAnsi="Calibri" w:eastAsia="Calibri"/>
          <w:b/>
          <w:i w:val="0"/>
          <w:color w:val="1F3A5F"/>
          <w:sz w:val="28"/>
        </w:rPr>
        <w:t>3.6  Order Trigger &amp; Lead Time Logic</w:t>
      </w:r>
    </w:p>
    <w:p>
      <w:pPr>
        <w:spacing w:before="0" w:after="120" w:line="312" w:lineRule="auto"/>
        <w:jc w:val="left"/>
      </w:pPr>
      <w:r>
        <w:rPr>
          <w:rFonts w:ascii="Calibri" w:hAnsi="Calibri" w:eastAsia="Calibri"/>
          <w:b w:val="0"/>
          <w:i w:val="0"/>
          <w:color w:val="1A1A1A"/>
          <w:sz w:val="22"/>
        </w:rPr>
        <w:t>Requirement (d) — recommend when to order — is met by the order-trigger algorithm in src/lib/forecasting/order-trigger.ts (1,212 lines), which the source code itself marks as 'THE SINGLE MOST VALUABLE ALGORITHM IN THE SYSTEM.' The algorithm computes, for each SKU, the exact calendar date on which a purchase order must be placed so that the shipment arrives at the warehouse before the current stock is exhausted, accounting for the full lead-time decomposition and the Chinese New Year supply disruption.</w:t>
      </w:r>
    </w:p>
    <w:p>
      <w:pPr>
        <w:pStyle w:val="Heading3"/>
        <w:keepNext/>
        <w:spacing w:before="200" w:after="80"/>
      </w:pPr>
      <w:r>
        <w:rPr>
          <w:rFonts w:ascii="Calibri" w:hAnsi="Calibri" w:eastAsia="Calibri"/>
          <w:b/>
          <w:i w:val="0"/>
          <w:color w:val="2E86C1"/>
          <w:sz w:val="24"/>
        </w:rPr>
        <w:t>3.6.1  Lead-Time Decomposition</w:t>
      </w:r>
    </w:p>
    <w:p>
      <w:pPr>
        <w:spacing w:before="0" w:after="120" w:line="312" w:lineRule="auto"/>
        <w:jc w:val="left"/>
      </w:pPr>
      <w:r>
        <w:rPr>
          <w:rFonts w:ascii="Calibri" w:hAnsi="Calibri" w:eastAsia="Calibri"/>
          <w:b w:val="0"/>
          <w:i w:val="0"/>
          <w:color w:val="1A1A1A"/>
          <w:sz w:val="22"/>
        </w:rPr>
        <w:t>The total lead time from purchase-order placement to warehouse availability is decomposed into four components, each modeled with a PERT distribution (best/likely/worst case) so the system can compute not just the expected lead time but also its variance for the safety-stock calculation. The defaults are calibrated for the BD-to-China import lane through Chittagong port and Dhaka airport.</w:t>
      </w:r>
    </w:p>
    <w:p>
      <w:pPr>
        <w:spacing w:before="120" w:after="40"/>
        <w:jc w:val="center"/>
      </w:pPr>
      <w:r>
        <w:rPr>
          <w:rFonts w:ascii="Calibri" w:hAnsi="Calibri" w:eastAsia="Calibri"/>
          <w:b/>
          <w:i/>
          <w:color w:val="6B6B6B"/>
          <w:sz w:val="18"/>
        </w:rPr>
        <w:t>Table 3-4: Lead-time decomposition (China → Bangladesh)</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Lead-Time Component</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Sea (days)</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Air (days)</w:t>
            </w:r>
          </w:p>
        </w:tc>
        <w:tc>
          <w:tcPr>
            <w:tcW w:type="dxa" w:w="39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PERT Best/Likely/Worst (Sea)</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Manufacturing (supplier)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90</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75 / 90 / 120</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Shipment (ocean or air freight)</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52</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8</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45 / 52 / 65 (sea)  |  5 / 8 / 12 (air)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Customs clearance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7 / 10 / 18 (sea)  |  2 / 3 / 5 (air)</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Internal processing (PO, QC)</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Fixed</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Total lead time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155</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104</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Variance from PERT distribution</w:t>
            </w:r>
          </w:p>
        </w:tc>
      </w:tr>
    </w:tbl>
    <w:p>
      <w:pPr>
        <w:spacing w:after="120"/>
      </w:pPr>
    </w:p>
    <w:p>
      <w:pPr>
        <w:pStyle w:val="Heading3"/>
        <w:keepNext/>
        <w:spacing w:before="200" w:after="80"/>
      </w:pPr>
      <w:r>
        <w:rPr>
          <w:rFonts w:ascii="Calibri" w:hAnsi="Calibri" w:eastAsia="Calibri"/>
          <w:b/>
          <w:i w:val="0"/>
          <w:color w:val="2E86C1"/>
          <w:sz w:val="24"/>
        </w:rPr>
        <w:t>3.6.2  Nine-Step Order Trigger Algorithm</w:t>
      </w:r>
    </w:p>
    <w:p>
      <w:pPr>
        <w:pStyle w:val="ListNumber"/>
        <w:spacing w:after="60" w:line="312" w:lineRule="auto"/>
        <w:ind w:left="425"/>
      </w:pPr>
      <w:r>
        <w:rPr>
          <w:rFonts w:ascii="Calibri" w:hAnsi="Calibri" w:eastAsia="Calibri"/>
          <w:b w:val="0"/>
          <w:i w:val="0"/>
          <w:color w:val="1A1A1A"/>
          <w:sz w:val="22"/>
        </w:rPr>
        <w:t>Calculate daily_consumption_rate (average demand over the last 3 months divided by 90 days).</w:t>
      </w:r>
    </w:p>
    <w:p>
      <w:pPr>
        <w:pStyle w:val="ListNumber"/>
        <w:spacing w:after="60" w:line="312" w:lineRule="auto"/>
        <w:ind w:left="425"/>
      </w:pPr>
      <w:r>
        <w:rPr>
          <w:rFonts w:ascii="Calibri" w:hAnsi="Calibri" w:eastAsia="Calibri"/>
          <w:b w:val="0"/>
          <w:i w:val="0"/>
          <w:color w:val="1A1A1A"/>
          <w:sz w:val="22"/>
        </w:rPr>
        <w:t>Compute days_until_reorder = (qty_on_hand - reorder_point) / daily_consumption_rate.</w:t>
      </w:r>
    </w:p>
    <w:p>
      <w:pPr>
        <w:pStyle w:val="ListNumber"/>
        <w:spacing w:after="60" w:line="312" w:lineRule="auto"/>
        <w:ind w:left="425"/>
      </w:pPr>
      <w:r>
        <w:rPr>
          <w:rFonts w:ascii="Calibri" w:hAnsi="Calibri" w:eastAsia="Calibri"/>
          <w:b w:val="0"/>
          <w:i w:val="0"/>
          <w:color w:val="1A1A1A"/>
          <w:sz w:val="22"/>
        </w:rPr>
        <w:t>Compute reorder_hit_date = today + days_until_reorder.</w:t>
      </w:r>
    </w:p>
    <w:p>
      <w:pPr>
        <w:pStyle w:val="ListNumber"/>
        <w:spacing w:after="60" w:line="312" w:lineRule="auto"/>
        <w:ind w:left="425"/>
      </w:pPr>
      <w:r>
        <w:rPr>
          <w:rFonts w:ascii="Calibri" w:hAnsi="Calibri" w:eastAsia="Calibri"/>
          <w:b w:val="0"/>
          <w:i w:val="0"/>
          <w:color w:val="1A1A1A"/>
          <w:sz w:val="22"/>
        </w:rPr>
        <w:t>Compute total_lead_time = mfg_days + shipment_days + customs_days (from the lead-time decomposition above).</w:t>
      </w:r>
    </w:p>
    <w:p>
      <w:pPr>
        <w:pStyle w:val="ListNumber"/>
        <w:spacing w:after="60" w:line="312" w:lineRule="auto"/>
        <w:ind w:left="425"/>
      </w:pPr>
      <w:r>
        <w:rPr>
          <w:rFonts w:ascii="Calibri" w:hAnsi="Calibri" w:eastAsia="Calibri"/>
          <w:b w:val="0"/>
          <w:i w:val="0"/>
          <w:color w:val="1A1A1A"/>
          <w:sz w:val="22"/>
        </w:rPr>
        <w:t>Compute order_trigger_date = reorder_hit_date - total_lead_time - buffer_days (default buffer 7 days).</w:t>
      </w:r>
    </w:p>
    <w:p>
      <w:pPr>
        <w:pStyle w:val="ListNumber"/>
        <w:spacing w:after="60" w:line="312" w:lineRule="auto"/>
        <w:ind w:left="425"/>
      </w:pPr>
      <w:r>
        <w:rPr>
          <w:rFonts w:ascii="Calibri" w:hAnsi="Calibri" w:eastAsia="Calibri"/>
          <w:b w:val="0"/>
          <w:i w:val="0"/>
          <w:color w:val="1A1A1A"/>
          <w:sz w:val="22"/>
        </w:rPr>
        <w:t>Assess CNY risk: check whether the manufacturing period overlaps the CNY shutdown window (January 20 to February 20, with a 5-day pre-CNY wind-down and a 3-day post-CNY restart).</w:t>
      </w:r>
    </w:p>
    <w:p>
      <w:pPr>
        <w:pStyle w:val="ListNumber"/>
        <w:spacing w:after="60" w:line="312" w:lineRule="auto"/>
        <w:ind w:left="425"/>
      </w:pPr>
      <w:r>
        <w:rPr>
          <w:rFonts w:ascii="Calibri" w:hAnsi="Calibri" w:eastAsia="Calibri"/>
          <w:b w:val="0"/>
          <w:i w:val="0"/>
          <w:color w:val="1A1A1A"/>
          <w:sz w:val="22"/>
        </w:rPr>
        <w:t>Apply CNY strategy: if the trigger date falls in the CNY window, select one of four strategies (before_cny, after_cny, partial_order, air_escape) based on the SKU's urgency and margin.</w:t>
      </w:r>
    </w:p>
    <w:p>
      <w:pPr>
        <w:pStyle w:val="ListNumber"/>
        <w:spacing w:after="60" w:line="312" w:lineRule="auto"/>
        <w:ind w:left="425"/>
      </w:pPr>
      <w:r>
        <w:rPr>
          <w:rFonts w:ascii="Calibri" w:hAnsi="Calibri" w:eastAsia="Calibri"/>
          <w:b w:val="0"/>
          <w:i w:val="0"/>
          <w:color w:val="1A1A1A"/>
          <w:sz w:val="22"/>
        </w:rPr>
        <w:t>Build the full five-milestone timeline: order_trigger_date to order_processing_end (+2 days) to mfg_complete (+ mfg + cny_delay) to packing_loading_end (+2 days) to ship_departure to arrival_date (+ shipment_days) to customs_clearance (+ customs_days) to warehouse_arrival (+1 day) to available_for_sale (+1 day QC).</w:t>
      </w:r>
    </w:p>
    <w:p>
      <w:pPr>
        <w:pStyle w:val="ListNumber"/>
        <w:spacing w:after="60" w:line="312" w:lineRule="auto"/>
        <w:ind w:left="425"/>
      </w:pPr>
      <w:r>
        <w:rPr>
          <w:rFonts w:ascii="Calibri" w:hAnsi="Calibri" w:eastAsia="Calibri"/>
          <w:b w:val="0"/>
          <w:i w:val="0"/>
          <w:color w:val="1A1A1A"/>
          <w:sz w:val="22"/>
        </w:rPr>
        <w:t>Determine urgency: critical (trigger date &lt;= 30 days or overdue), high (&lt;= 90 days), normal (&lt;= 180 days), low (&gt; 180 days).</w:t>
      </w:r>
    </w:p>
    <w:p>
      <w:pPr>
        <w:pStyle w:val="Heading3"/>
        <w:keepNext/>
        <w:spacing w:before="200" w:after="80"/>
      </w:pPr>
      <w:r>
        <w:rPr>
          <w:rFonts w:ascii="Calibri" w:hAnsi="Calibri" w:eastAsia="Calibri"/>
          <w:b/>
          <w:i w:val="0"/>
          <w:color w:val="2E86C1"/>
          <w:sz w:val="24"/>
        </w:rPr>
        <w:t>3.6.3  Chinese New Year Strategy Selection</w:t>
      </w:r>
    </w:p>
    <w:p>
      <w:pPr>
        <w:spacing w:before="0" w:after="120" w:line="312" w:lineRule="auto"/>
        <w:jc w:val="left"/>
      </w:pPr>
      <w:r>
        <w:rPr>
          <w:rFonts w:ascii="Calibri" w:hAnsi="Calibri" w:eastAsia="Calibri"/>
          <w:b w:val="0"/>
          <w:i w:val="0"/>
          <w:color w:val="1A1A1A"/>
          <w:sz w:val="22"/>
        </w:rPr>
        <w:t>The CNY strategy selection is one of the most operationally valuable parts of the algorithm, because it directly addresses the supply-side disruption that catches Bangladesh distributors off guard every year. The system evaluates four strategies and selects the one that minimizes expected total cost (stockout cost plus freight premium plus holding cost) given the SKU's specific circumstances.</w:t>
      </w:r>
    </w:p>
    <w:p>
      <w:pPr>
        <w:spacing w:before="120" w:after="40"/>
        <w:jc w:val="center"/>
      </w:pPr>
      <w:r>
        <w:rPr>
          <w:rFonts w:ascii="Calibri" w:hAnsi="Calibri" w:eastAsia="Calibri"/>
          <w:b/>
          <w:i/>
          <w:color w:val="6B6B6B"/>
          <w:sz w:val="18"/>
        </w:rPr>
        <w:t>Table 3-5: The four Chinese New Year resolution strategies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Strategy</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Trigger Condition</w:t>
            </w:r>
          </w:p>
        </w:tc>
        <w:tc>
          <w:tcPr>
            <w:tcW w:type="dxa" w:w="45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Action</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 Before CNY</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Stockout risk during CNY + SKU urgency is critical or high</w:t>
            </w:r>
          </w:p>
        </w:tc>
        <w:tc>
          <w:tcPr>
            <w:tcW w:type="dxa" w:w="45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Place order before CNY (latest safe date = cny_start - mfg_days - buffer); accept higher inventory carrying cost to avoid stockout</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 After CNY</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days_until_stockout &gt; cny_delay_days + 30</w:t>
            </w:r>
          </w:p>
        </w:tc>
        <w:tc>
          <w:tcPr>
            <w:tcW w:type="dxa" w:w="45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Accept the delay; place order after CNY (post_cny_order = cny_end + 3 days); no stockout risk because enough inventory to bridge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 Partial Order</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Mixed SKU portfolio</w:t>
            </w:r>
          </w:p>
        </w:tc>
        <w:tc>
          <w:tcPr>
            <w:tcW w:type="dxa" w:w="45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Critical items by air (Strategy D for those), rest by sea after CNY (Strategy B)</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 Air Escape</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days_until_stockout &lt;= 30 AND can_air_ship AND item_margin_pct &gt;= 30%</w:t>
            </w:r>
          </w:p>
        </w:tc>
        <w:tc>
          <w:tcPr>
            <w:tcW w:type="dxa" w:w="45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Switch the entire order to air freight to bypass the CNY manufacturing delay; air premium absorbed by the SKU's margin</w:t>
            </w:r>
          </w:p>
        </w:tc>
      </w:tr>
    </w:tbl>
    <w:p>
      <w:pPr>
        <w:spacing w:after="120"/>
      </w:pPr>
    </w:p>
    <w:p>
      <w:pPr>
        <w:pStyle w:val="Heading2"/>
        <w:keepNext/>
        <w:spacing w:before="280" w:after="120"/>
      </w:pPr>
      <w:r>
        <w:rPr>
          <w:rFonts w:ascii="Calibri" w:hAnsi="Calibri" w:eastAsia="Calibri"/>
          <w:b/>
          <w:i w:val="0"/>
          <w:color w:val="1F3A5F"/>
          <w:sz w:val="28"/>
        </w:rPr>
        <w:t>3.7  Air vs Sea Freight Decision</w:t>
      </w:r>
    </w:p>
    <w:p>
      <w:pPr>
        <w:spacing w:before="0" w:after="120" w:line="312" w:lineRule="auto"/>
        <w:jc w:val="left"/>
      </w:pPr>
      <w:r>
        <w:rPr>
          <w:rFonts w:ascii="Calibri" w:hAnsi="Calibri" w:eastAsia="Calibri"/>
          <w:b w:val="0"/>
          <w:i w:val="0"/>
          <w:color w:val="1A1A1A"/>
          <w:sz w:val="22"/>
        </w:rPr>
        <w:t>Requirement (e) — decide air vs sea freight — is met by the freight-decision logic spread across order-trigger.ts (the lead-time and CNY-strategy logic), the sea-vs-air-comparison.tsx UI component (the side-by-side dashboard visualization), and the /api/ai/scenario-preview route (which uses the z-ai-web-dev-sdk LLM to compute shadow forecasts for mode switching). The system quantifies the air-versus-sea trade-off as two numbers the operations team can act on: the lead-time saved (51 days, computed from the lead-time decomposition) and the cost premium (approximately 7- to 8-fold higher per-unit freight cost for air versus sea).</w:t>
      </w:r>
    </w:p>
    <w:p>
      <w:pPr>
        <w:spacing w:before="120" w:after="40"/>
        <w:jc w:val="center"/>
      </w:pPr>
      <w:r>
        <w:rPr>
          <w:rFonts w:ascii="Calibri" w:hAnsi="Calibri" w:eastAsia="Calibri"/>
          <w:b/>
          <w:i/>
          <w:color w:val="6B6B6B"/>
          <w:sz w:val="18"/>
        </w:rPr>
        <w:t>Table 3-6: Sea vs Air freight comparison (BD defaults)</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Factor</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Sea</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Air</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Delta</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Manufacturing</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90 days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90 days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0 (same supplier)</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Shipment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52 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8 days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-44 days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Customs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 days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 days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-7 days</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Total lead time</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155 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104 days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-51 days (~5 weeks saved)</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Cost per unit (freight only)</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~5 Taka</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~35 Taka</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~8x higher for air</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Container/shipment cost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~$2,500/container</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~$8,000/shipment</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3.2x (but air is per-kg, sea is per-CBM)</w:t>
            </w:r>
          </w:p>
        </w:tc>
      </w:tr>
    </w:tbl>
    <w:p>
      <w:pPr>
        <w:spacing w:after="120"/>
      </w:pPr>
    </w:p>
    <w:p>
      <w:pPr>
        <w:pStyle w:val="Heading3"/>
        <w:keepNext/>
        <w:spacing w:before="200" w:after="80"/>
      </w:pPr>
      <w:r>
        <w:rPr>
          <w:rFonts w:ascii="Calibri" w:hAnsi="Calibri" w:eastAsia="Calibri"/>
          <w:b/>
          <w:i w:val="0"/>
          <w:color w:val="2E86C1"/>
          <w:sz w:val="24"/>
        </w:rPr>
        <w:t>3.7.1  AI-Powered Scenario Preview</w:t>
      </w:r>
    </w:p>
    <w:p>
      <w:pPr>
        <w:spacing w:before="0" w:after="120" w:line="312" w:lineRule="auto"/>
        <w:jc w:val="left"/>
      </w:pPr>
      <w:r>
        <w:rPr>
          <w:rFonts w:ascii="Calibri" w:hAnsi="Calibri" w:eastAsia="Calibri"/>
          <w:b w:val="0"/>
          <w:i w:val="0"/>
          <w:color w:val="1A1A1A"/>
          <w:sz w:val="22"/>
        </w:rPr>
        <w:t>A particularly innovative feature is the /api/ai/scenario-preview route, which uses the z-ai-web-dev-sdk to call an LLM that computes a shadow forecast for a mode switch. The user selects a SKU and asks 'what if I switch this from sea to air?' and the LLM returns a structured natural-language answer that quantifies the trade-off. A sample output from the codebase: 'Switching BP-001 to air: lead_time_change -51 days, safety_stock_change -18 units, holding_cost_savings 810 Taka per month, air_freight_additional_cost 14,175 Taka for 315 units, net impact = +13,365 Taka but reduces stockout risk window by 51 days.' This natural-language scenario preview, grounded in the actual numbers from the forecasting engine, is exactly the kind of decision-support output that a non-technical operations manager can act on directly.</w:t>
      </w:r>
    </w:p>
    <w:tbl>
      <w:tblPr>
        <w:tblW w:type="auto" w:w="0"/>
        <w:tblLook w:firstColumn="1" w:firstRow="1" w:lastColumn="0" w:lastRow="0" w:noHBand="0" w:noVBand="1" w:val="04A0"/>
      </w:tblPr>
      <w:tblGrid>
        <w:gridCol w:w="9072"/>
      </w:tblGrid>
      <w:tr>
        <w:tc>
          <w:tcPr>
            <w:tcW w:type="dxa" w:w="9072"/>
            <w:shd w:val="clear" w:color="auto" w:fill="FEF5E7"/>
            <w:tcBorders>
              <w:top w:val="single" w:sz="8" w:color="B7791F"/>
              <w:left w:val="single" w:sz="8" w:color="B7791F"/>
              <w:bottom w:val="single" w:sz="8" w:color="B7791F"/>
              <w:right w:val="single" w:sz="8" w:color="B7791F"/>
            </w:tcBorders>
            <w:tcMar>
              <w:top w:w="120" w:type="dxa"/>
              <w:left w:w="180" w:type="dxa"/>
              <w:bottom w:w="120" w:type="dxa"/>
              <w:right w:w="180" w:type="dxa"/>
            </w:tcMar>
          </w:tcPr>
          <w:p>
            <w:pPr>
              <w:spacing w:after="40"/>
            </w:pPr>
            <w:r/>
            <w:r>
              <w:rPr>
                <w:rFonts w:ascii="Calibri" w:hAnsi="Calibri" w:eastAsia="Calibri"/>
                <w:b/>
                <w:i w:val="0"/>
                <w:color w:val="B7791F"/>
                <w:sz w:val="20"/>
              </w:rPr>
              <w:t>Gap: Volumetric Weight &amp; FCL/LCL Break-Even</w:t>
            </w:r>
          </w:p>
          <w:p>
            <w:pPr>
              <w:spacing w:after="0" w:line="312" w:lineRule="auto"/>
            </w:pPr>
            <w:r>
              <w:rPr>
                <w:rFonts w:ascii="Calibri" w:hAnsi="Calibri" w:eastAsia="Calibri"/>
                <w:b w:val="0"/>
                <w:i w:val="0"/>
                <w:color w:val="1A1A1A"/>
                <w:sz w:val="20"/>
              </w:rPr>
              <w:t>The current sea-vs-air-comparison.tsx UI focuses on cost-per-unit and lead-time trade-off but does NOT implement a volumetric-weight calculator (L x W x H / 5000 for air, / 1000 for sea) or an FCL-vs-LCL break-even calculator (the volume threshold, typically 12-15 CBM, above which a Full Container Load is cheaper than Less than Container Load). This is a gap documented in Section 7.3 — it is a ~200-line TypeScript module to add, not a fundamental limitation.</w:t>
            </w:r>
          </w:p>
        </w:tc>
      </w:tr>
    </w:tbl>
    <w:p>
      <w:pPr>
        <w:spacing w:after="80"/>
      </w:pPr>
    </w:p>
    <w:p>
      <w:pPr>
        <w:pStyle w:val="Heading2"/>
        <w:keepNext/>
        <w:spacing w:before="280" w:after="120"/>
      </w:pPr>
      <w:r>
        <w:rPr>
          <w:rFonts w:ascii="Calibri" w:hAnsi="Calibri" w:eastAsia="Calibri"/>
          <w:b/>
          <w:i w:val="0"/>
          <w:color w:val="1F3A5F"/>
          <w:sz w:val="28"/>
        </w:rPr>
        <w:t>3.8  Line Cost Analysis</w:t>
      </w:r>
    </w:p>
    <w:p>
      <w:pPr>
        <w:spacing w:before="0" w:after="120" w:line="312" w:lineRule="auto"/>
        <w:jc w:val="left"/>
      </w:pPr>
      <w:r>
        <w:rPr>
          <w:rFonts w:ascii="Calibri" w:hAnsi="Calibri" w:eastAsia="Calibri"/>
          <w:b w:val="0"/>
          <w:i w:val="0"/>
          <w:color w:val="1A1A1A"/>
          <w:sz w:val="22"/>
        </w:rPr>
        <w:t>Requirement (f) — do line-cost analysis — is met by a suite of finance components under src/components/finance/. The centerpiece is the customs-calculator.tsx component, which implements the Bangladesh customs duty structure for imported goods: Customs Duty (5 to 25 percent depending on HS code), Supplementary Duty (0 to 20 percent), Value-Added Tax (15 percent, computed on the CIF value plus Customs Duty plus Supplementary Duty — the BD VAT is a tax-on-tax, which the calculator handles correctly), and Advance Income Tax (1 to 5 percent). The HS-code lookup is configurable per tenant through the ForecastSetting model.</w:t>
      </w:r>
    </w:p>
    <w:p>
      <w:pPr>
        <w:pStyle w:val="Heading3"/>
        <w:keepNext/>
        <w:spacing w:before="200" w:after="80"/>
      </w:pPr>
      <w:r>
        <w:rPr>
          <w:rFonts w:ascii="Calibri" w:hAnsi="Calibri" w:eastAsia="Calibri"/>
          <w:b/>
          <w:i w:val="0"/>
          <w:color w:val="2E86C1"/>
          <w:sz w:val="24"/>
        </w:rPr>
        <w:t>3.8.1  Finance Component Suite</w:t>
      </w:r>
    </w:p>
    <w:p>
      <w:pPr>
        <w:spacing w:before="120" w:after="40"/>
        <w:jc w:val="center"/>
      </w:pPr>
      <w:r>
        <w:rPr>
          <w:rFonts w:ascii="Calibri" w:hAnsi="Calibri" w:eastAsia="Calibri"/>
          <w:b/>
          <w:i/>
          <w:color w:val="6B6B6B"/>
          <w:sz w:val="18"/>
        </w:rPr>
        <w:t>Table 3-7: The finance component suite</w:t>
      </w:r>
    </w:p>
    <w:tbl>
      <w:tblPr>
        <w:tblW w:type="auto" w:w="0"/>
        <w:jc w:val="center"/>
        <w:tblLayout w:type="fixed"/>
        <w:tblLook w:firstColumn="1" w:firstRow="1" w:lastColumn="0" w:lastRow="0" w:noHBand="0" w:noVBand="1" w:val="04A0"/>
      </w:tblPr>
      <w:tblGrid>
        <w:gridCol w:w="4536"/>
        <w:gridCol w:w="4536"/>
      </w:tblGrid>
      <w:tr>
        <w:trPr>
          <w:tblHeader/>
          <w:cantSplit/>
        </w:trP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Component</w:t>
            </w:r>
          </w:p>
        </w:tc>
        <w:tc>
          <w:tcPr>
            <w:tcW w:type="dxa" w:w="6236"/>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Purpose</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customs-calculator.tsx</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BD customs duty calculator with HS-code lookup; computes CD + SD + VAT + AIT for any imported item</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cost-breakdown.tsx</w:t>
            </w:r>
          </w:p>
        </w:tc>
        <w:tc>
          <w:tcPr>
            <w:tcW w:type="dxa" w:w="6236"/>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Donut chart of the seven landed-cost categories (unit cost, origin handling, freight, insurance, duty, THC, last-mile, broker)</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margin-analysis.tsx</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Per-category and per-channel gross margin analysis (selling price minus landed cost)</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currency-exposure.tsx</w:t>
            </w:r>
          </w:p>
        </w:tc>
        <w:tc>
          <w:tcPr>
            <w:tcW w:type="dxa" w:w="6236"/>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BDT/USD/CNY/JPY foreign-exchange risk monitoring with hedging recommendations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cost-to-serve.tsx</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Per-customer and per-BD-region cost-to-serve analysis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payment-terms.tsx</w:t>
            </w:r>
          </w:p>
        </w:tc>
        <w:tc>
          <w:tcPr>
            <w:tcW w:type="dxa" w:w="6236"/>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Supplier payment-terms tracker with overdue alerts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budget-vs-actual.tsx</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Variance analysis (budgeted vs actual procurement spend)</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revenue-trends.tsx</w:t>
            </w:r>
          </w:p>
        </w:tc>
        <w:tc>
          <w:tcPr>
            <w:tcW w:type="dxa" w:w="6236"/>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12-month revenue chart with seasonal overlay and CNY-impact annotation</w:t>
            </w:r>
          </w:p>
        </w:tc>
      </w:tr>
    </w:tbl>
    <w:p>
      <w:pPr>
        <w:spacing w:after="120"/>
      </w:pPr>
    </w:p>
    <w:p>
      <w:pPr>
        <w:pStyle w:val="Heading2"/>
        <w:keepNext/>
        <w:spacing w:before="280" w:after="120"/>
      </w:pPr>
      <w:r>
        <w:rPr>
          <w:rFonts w:ascii="Calibri" w:hAnsi="Calibri" w:eastAsia="Calibri"/>
          <w:b/>
          <w:i w:val="0"/>
          <w:color w:val="1F3A5F"/>
          <w:sz w:val="28"/>
        </w:rPr>
        <w:t>3.9  Multi-Tenancy</w:t>
      </w:r>
    </w:p>
    <w:p>
      <w:pPr>
        <w:spacing w:before="0" w:after="120" w:line="312" w:lineRule="auto"/>
        <w:jc w:val="left"/>
      </w:pPr>
      <w:r>
        <w:rPr>
          <w:rFonts w:ascii="Calibri" w:hAnsi="Calibri" w:eastAsia="Calibri"/>
          <w:b w:val="0"/>
          <w:i w:val="0"/>
          <w:color w:val="1A1A1A"/>
          <w:sz w:val="22"/>
        </w:rPr>
        <w:t>TrimedCast is a multi-tenant SaaS. The implementation uses the shared-database pattern: every tenant-scoped Prisma model has a tenantId column, and every API route filters by tenantId through the getAuthContext() and resolveTenant() helpers in src/lib/api/auth.ts and src/lib/tenant-resolver.ts. There is no PostgreSQL Row-Level Security in the current implementation (SQLite does not support RLS, and even after a PostgreSQL migration the RLS policies would need to be added manually as a hardening step). The tenant isolation therefore depends on application-level enforcement, which is correct as long as every query goes through the Prisma where: { tenantId } filter — a code review discipline the repository appears to follow consistently.</w:t>
      </w:r>
    </w:p>
    <w:p>
      <w:pPr>
        <w:pStyle w:val="Heading3"/>
        <w:keepNext/>
        <w:spacing w:before="200" w:after="80"/>
      </w:pPr>
      <w:r>
        <w:rPr>
          <w:rFonts w:ascii="Calibri" w:hAnsi="Calibri" w:eastAsia="Calibri"/>
          <w:b/>
          <w:i w:val="0"/>
          <w:color w:val="2E86C1"/>
          <w:sz w:val="24"/>
        </w:rPr>
        <w:t>3.9.1  Tenant Lifecycle</w:t>
      </w:r>
    </w:p>
    <w:p>
      <w:pPr>
        <w:spacing w:before="0" w:after="120" w:line="312" w:lineRule="auto"/>
        <w:jc w:val="left"/>
      </w:pPr>
      <w:r>
        <w:rPr>
          <w:rFonts w:ascii="Calibri" w:hAnsi="Calibri" w:eastAsia="Calibri"/>
          <w:b w:val="0"/>
          <w:i w:val="0"/>
          <w:color w:val="1A1A1A"/>
          <w:sz w:val="22"/>
        </w:rPr>
        <w:t>The Tenant Prisma model tracks a status field through a seven-state lifecycle: trial (14-day default) to active to past_due (7-day grace period with full access) to suspended (read-only access) to cancelled (with a cancellation reason and feedback) to deleting (30-day data retention) to deleted (hard purge). Each transition is logged to the AuditLog model with the actor, timestamp, and before/after state.</w:t>
      </w:r>
    </w:p>
    <w:p>
      <w:pPr>
        <w:pStyle w:val="Heading3"/>
        <w:keepNext/>
        <w:spacing w:before="200" w:after="80"/>
      </w:pPr>
      <w:r>
        <w:rPr>
          <w:rFonts w:ascii="Calibri" w:hAnsi="Calibri" w:eastAsia="Calibri"/>
          <w:b/>
          <w:i w:val="0"/>
          <w:color w:val="2E86C1"/>
          <w:sz w:val="24"/>
        </w:rPr>
        <w:t>3.9.2  Per-Tenant Rate Limits</w:t>
      </w:r>
    </w:p>
    <w:p>
      <w:pPr>
        <w:spacing w:before="0" w:after="120" w:line="312" w:lineRule="auto"/>
        <w:jc w:val="left"/>
      </w:pPr>
      <w:r>
        <w:rPr>
          <w:rFonts w:ascii="Calibri" w:hAnsi="Calibri" w:eastAsia="Calibri"/>
          <w:b w:val="0"/>
          <w:i w:val="0"/>
          <w:color w:val="1A1A1A"/>
          <w:sz w:val="22"/>
        </w:rPr>
        <w:t>Per-tenant rate limits are enforced through an in-memory token-bucket implementation in src/lib/api/tenant-rate-limit.ts. The defaults are: 60 requests per minute for standard API routes, 20 per minute for AI queries, 10 per minute for forecast generation, and 5 per minute for imports. The implementation notes that for production multi-instance deployment (where the Next.js app runs on multiple servers behind a load balancer), the in-memory rate limiter should be replaced with a Redis-backed implementation to share counter state across instances.</w:t>
      </w:r>
    </w:p>
    <w:p>
      <w:pPr>
        <w:pStyle w:val="Heading2"/>
        <w:keepNext/>
        <w:spacing w:before="280" w:after="120"/>
      </w:pPr>
      <w:r>
        <w:rPr>
          <w:rFonts w:ascii="Calibri" w:hAnsi="Calibri" w:eastAsia="Calibri"/>
          <w:b/>
          <w:i w:val="0"/>
          <w:color w:val="1F3A5F"/>
          <w:sz w:val="28"/>
        </w:rPr>
        <w:t>3.10  RBAC &amp; Security</w:t>
      </w:r>
    </w:p>
    <w:p>
      <w:pPr>
        <w:spacing w:before="0" w:after="120" w:line="312" w:lineRule="auto"/>
        <w:jc w:val="left"/>
      </w:pPr>
      <w:r>
        <w:rPr>
          <w:rFonts w:ascii="Calibri" w:hAnsi="Calibri" w:eastAsia="Calibri"/>
          <w:b w:val="0"/>
          <w:i w:val="0"/>
          <w:color w:val="1A1A1A"/>
          <w:sz w:val="22"/>
        </w:rPr>
        <w:t>TrimedCast implements a seven-role RBAC model (the specification documents describe five; the actual code has seven) through the User.role Prisma enum, enforced in src/lib/api/rbac.ts and src/lib/api/field-security.ts. The permission model is a resource-by-action matrix (Create, Read, Update, Delete, Approve, Export) with field-level security that strips sensitive fields (unit_cost_bdt, supplier_contract_terms, margin_bdt) from API responses for roles not authorized to see them.</w:t>
      </w:r>
    </w:p>
    <w:p>
      <w:pPr>
        <w:spacing w:before="120" w:after="40"/>
        <w:jc w:val="center"/>
      </w:pPr>
      <w:r>
        <w:rPr>
          <w:rFonts w:ascii="Calibri" w:hAnsi="Calibri" w:eastAsia="Calibri"/>
          <w:b/>
          <w:i/>
          <w:color w:val="6B6B6B"/>
          <w:sz w:val="18"/>
        </w:rPr>
        <w:t>Table 3-8: The seven RBAC roles</w:t>
      </w:r>
    </w:p>
    <w:tbl>
      <w:tblPr>
        <w:tblW w:type="auto" w:w="0"/>
        <w:jc w:val="center"/>
        <w:tblLayout w:type="fixed"/>
        <w:tblLook w:firstColumn="1" w:firstRow="1" w:lastColumn="0" w:lastRow="0" w:noHBand="0" w:noVBand="1" w:val="04A0"/>
      </w:tblPr>
      <w:tblGrid>
        <w:gridCol w:w="4536"/>
        <w:gridCol w:w="4536"/>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Role</w:t>
            </w:r>
          </w:p>
        </w:tc>
        <w:tc>
          <w:tcPr>
            <w:tcW w:type="dxa" w:w="6803"/>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Capabilities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admin</w:t>
            </w:r>
          </w:p>
        </w:tc>
        <w:tc>
          <w:tcPr>
            <w:tcW w:type="dxa" w:w="6803"/>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Full CRUD on everything; equivalent to spec's warehouse_manager plus admin functions</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warehouse_manager</w:t>
            </w:r>
          </w:p>
        </w:tc>
        <w:tc>
          <w:tcPr>
            <w:tcW w:type="dxa" w:w="6803"/>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Operational CRUD on products, inventory, purchase orders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sales_manager</w:t>
            </w:r>
          </w:p>
        </w:tc>
        <w:tc>
          <w:tcPr>
            <w:tcW w:type="dxa" w:w="6803"/>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Read-only except own sales orders (create/update own)</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marketing_manager</w:t>
            </w:r>
          </w:p>
        </w:tc>
        <w:tc>
          <w:tcPr>
            <w:tcW w:type="dxa" w:w="6803"/>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Promo events + forecast read</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finance</w:t>
            </w:r>
          </w:p>
        </w:tc>
        <w:tc>
          <w:tcPr>
            <w:tcW w:type="dxa" w:w="6803"/>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Read-only on financial data + audit log</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executive</w:t>
            </w:r>
          </w:p>
        </w:tc>
        <w:tc>
          <w:tcPr>
            <w:tcW w:type="dxa" w:w="6803"/>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Strategic governance; approves S&amp;OP stages; no operational CRUD</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viewer</w:t>
            </w:r>
          </w:p>
        </w:tc>
        <w:tc>
          <w:tcPr>
            <w:tcW w:type="dxa" w:w="6803"/>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Read-only (added beyond the spec's five roles)</w:t>
            </w:r>
          </w:p>
        </w:tc>
      </w:tr>
    </w:tbl>
    <w:p>
      <w:pPr>
        <w:spacing w:after="120"/>
      </w:pPr>
    </w:p>
    <w:p>
      <w:pPr>
        <w:pStyle w:val="Heading3"/>
        <w:keepNext/>
        <w:spacing w:before="200" w:after="80"/>
      </w:pPr>
      <w:r>
        <w:rPr>
          <w:rFonts w:ascii="Calibri" w:hAnsi="Calibri" w:eastAsia="Calibri"/>
          <w:b/>
          <w:i w:val="0"/>
          <w:color w:val="2E86C1"/>
          <w:sz w:val="24"/>
        </w:rPr>
        <w:t>3.10.1  Authentication</w:t>
      </w:r>
    </w:p>
    <w:p>
      <w:pPr>
        <w:spacing w:before="0" w:after="120" w:line="312" w:lineRule="auto"/>
        <w:jc w:val="left"/>
      </w:pPr>
      <w:r>
        <w:rPr>
          <w:rFonts w:ascii="Calibri" w:hAnsi="Calibri" w:eastAsia="Calibri"/>
          <w:b w:val="0"/>
          <w:i w:val="0"/>
          <w:color w:val="1A1A1A"/>
          <w:sz w:val="22"/>
        </w:rPr>
        <w:t>Authentication is custom, not NextAuth (despite next-auth 4.24.11 being in package.json as a dependency — the team experimented with NextAuth and ultimately shipped a custom implementation). The custom auth uses: a UserSession Prisma model that stores a session token, expiresAt, ipAddress, and userAgent for each active session; bcrypt 6.0.0 for password hashing (in src/lib/auth/password.ts); a 6-digit OTP verification flow (in src/lib/auth/otp.ts, backed by the OtpVerification Prisma model, with a 5-minute expiry and a maximum of 3 attempts, used for signup, login, password reset, and user invitation); and an AC-ID tenant auto-naming scheme (in src/lib/auth/ac-id.ts) that generates tenant IDs in the format TC-2025-DHK-0001 encoding the year, the Bangladesh division code, and a sequence number.</w:t>
      </w:r>
    </w:p>
    <w:p>
      <w:pPr>
        <w:pStyle w:val="Heading3"/>
        <w:keepNext/>
        <w:spacing w:before="200" w:after="80"/>
      </w:pPr>
      <w:r>
        <w:rPr>
          <w:rFonts w:ascii="Calibri" w:hAnsi="Calibri" w:eastAsia="Calibri"/>
          <w:b/>
          <w:i w:val="0"/>
          <w:color w:val="2E86C1"/>
          <w:sz w:val="24"/>
        </w:rPr>
        <w:t>3.10.2  Audit Log &amp; Security Events</w:t>
      </w:r>
    </w:p>
    <w:p>
      <w:pPr>
        <w:spacing w:before="0" w:after="120" w:line="312" w:lineRule="auto"/>
        <w:jc w:val="left"/>
      </w:pPr>
      <w:r>
        <w:rPr>
          <w:rFonts w:ascii="Calibri" w:hAnsi="Calibri" w:eastAsia="Calibri"/>
          <w:b w:val="0"/>
          <w:i w:val="0"/>
          <w:color w:val="1A1A1A"/>
          <w:sz w:val="22"/>
        </w:rPr>
        <w:t>Every mutating operation (create, update, delete, import, export, approve, reject) is logged to the AuditLog Prisma model with the actor user, the entity and entity ID, the before/after state as JSON, the IP address, and the timestamp. The table is append-only at the application level (no UPDATE or DELETE operations are issued against it). Security-sensitive events (cross-tenant access attempts, admin impersonation, rate-limit exceedances, suspicious query patterns, permission-escalation attempts, data exports, login failures, token expirations) are logged to a separate SecurityEvent Prisma model with a severity field (low, medium, high, critical) and a resolution workflow. Both tables are queryable through admin API routes for security review and compliance audits.</w:t>
      </w:r>
    </w:p>
    <w:p>
      <w:pPr>
        <w:pStyle w:val="Heading2"/>
        <w:keepNext/>
        <w:spacing w:before="280" w:after="120"/>
      </w:pPr>
      <w:r>
        <w:rPr>
          <w:rFonts w:ascii="Calibri" w:hAnsi="Calibri" w:eastAsia="Calibri"/>
          <w:b/>
          <w:i w:val="0"/>
          <w:color w:val="1F3A5F"/>
          <w:sz w:val="28"/>
        </w:rPr>
        <w:t>3.11  Billing &amp; Subscription</w:t>
      </w:r>
    </w:p>
    <w:p>
      <w:pPr>
        <w:spacing w:before="0" w:after="120" w:line="312" w:lineRule="auto"/>
        <w:jc w:val="left"/>
      </w:pPr>
      <w:r>
        <w:rPr>
          <w:rFonts w:ascii="Calibri" w:hAnsi="Calibri" w:eastAsia="Calibri"/>
          <w:b w:val="0"/>
          <w:i w:val="0"/>
          <w:color w:val="1A1A1A"/>
          <w:sz w:val="22"/>
        </w:rPr>
        <w:t>TrimedCast implements a Bangladesh-native two-tier subscription model (Free and Pro) rather than the three-tier USD-denominated model (Starter, Pro, Enterprise via Stripe) described in the specification documents. This divergence is actually the correct choice for the Bangladesh market: as documented in prior research, Stripe is not directly available to Bangladesh-domiciled businesses in 2026, so a BD-native payment stack (bKash, Nagad, SSLCommerz, bank transfer) is the practical path to revenue.</w:t>
      </w:r>
    </w:p>
    <w:p>
      <w:pPr>
        <w:spacing w:before="120" w:after="40"/>
        <w:jc w:val="center"/>
      </w:pPr>
      <w:r>
        <w:rPr>
          <w:rFonts w:ascii="Calibri" w:hAnsi="Calibri" w:eastAsia="Calibri"/>
          <w:b/>
          <w:i/>
          <w:color w:val="6B6B6B"/>
          <w:sz w:val="18"/>
        </w:rPr>
        <w:t>Table 3-9: The two-tier BD-native subscription model</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cantSplit/>
        </w:trPr>
        <w:tc>
          <w:tcPr>
            <w:tcW w:type="dxa" w:w="113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Tier</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Price</w:t>
            </w:r>
          </w:p>
        </w:tc>
        <w:tc>
          <w:tcPr>
            <w:tcW w:type="dxa" w:w="113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Max SKUs</w:t>
            </w:r>
          </w:p>
        </w:tc>
        <w:tc>
          <w:tcPr>
            <w:tcW w:type="dxa" w:w="113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Max Users</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Forecast Months</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Key Features</w:t>
            </w:r>
          </w:p>
        </w:tc>
      </w:tr>
      <w:tr>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Taka forever</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 upload + view forecast only</w:t>
            </w:r>
          </w:p>
        </w:tc>
      </w:tr>
      <w:tr>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12,000 Taka/year (~$109 USD)</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Unlimited</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Unlimited</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Unlimited</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CNY alerts, order triggers, auto-recalibration, S&amp;OE tower, promo simulator, multi-user, exports, WhatsApp priority support, custom seasonal models, API, webhooks, dashboard sharing</w:t>
            </w:r>
          </w:p>
        </w:tc>
      </w:tr>
    </w:tbl>
    <w:p>
      <w:pPr>
        <w:spacing w:after="120"/>
      </w:pPr>
    </w:p>
    <w:p>
      <w:pPr>
        <w:spacing w:before="0" w:after="120" w:line="312" w:lineRule="auto"/>
        <w:jc w:val="left"/>
      </w:pPr>
      <w:r>
        <w:rPr>
          <w:rFonts w:ascii="Calibri" w:hAnsi="Calibri" w:eastAsia="Calibri"/>
          <w:b w:val="0"/>
          <w:i w:val="0"/>
          <w:color w:val="1A1A1A"/>
          <w:sz w:val="22"/>
        </w:rPr>
        <w:t>The payment gateway integration is fully implemented in src/lib/payment/, with four gateways: bKash (the dominant BD mobile financial service, in bkash.ts), Nagad (the postal mobile banking service, in nagad.ts), SSLCommerz (the BD payment aggregator with IPN webhook handling, in sslcommerz.ts), and Bank Transfer (manual receipt upload plus admin verification, in bank-transfer-flow.tsx). A unified createPayment() function in gateway.ts routes to the correct gateway based on the user's chosen payment method, creates a SubscriptionPayment Prisma record with status=pending, and returns the gateway redirect URL or IPN hook configuration. Admin verification happens through the /api/v1/payment/verify route.</w:t>
      </w:r>
    </w:p>
    <w:p>
      <w:pPr>
        <w:pStyle w:val="Heading2"/>
        <w:keepNext/>
        <w:spacing w:before="280" w:after="120"/>
      </w:pPr>
      <w:r>
        <w:rPr>
          <w:rFonts w:ascii="Calibri" w:hAnsi="Calibri" w:eastAsia="Calibri"/>
          <w:b/>
          <w:i w:val="0"/>
          <w:color w:val="1F3A5F"/>
          <w:sz w:val="28"/>
        </w:rPr>
        <w:t>3.12  Deployment</w:t>
      </w:r>
    </w:p>
    <w:p>
      <w:pPr>
        <w:spacing w:before="0" w:after="120" w:line="312" w:lineRule="auto"/>
        <w:jc w:val="left"/>
      </w:pPr>
      <w:r>
        <w:rPr>
          <w:rFonts w:ascii="Calibri" w:hAnsi="Calibri" w:eastAsia="Calibri"/>
          <w:b w:val="0"/>
          <w:i w:val="0"/>
          <w:color w:val="1A1A1A"/>
          <w:sz w:val="22"/>
        </w:rPr>
        <w:t>TrimedCast ships with a complete Docker deployment configuration. The Dockerfile is a multi-stage build (69 lines) using the oven/bun:1.3 base image: a deps stage installs production dependencies via bun install --frozen-lockfile --production, a builder stage generates the Prisma client and builds the Next.js standalone output, and a runner stage uses oven/bun:1.3-slim with a non-root user (nextjs:nodejs, UID 1001), copies the standalone build plus Prisma schema plus SQLite DB directory, and configures a 30-second HEALTHCHECK. The final image is approximately 150 MB. The runtime command is bun server.js.</w:t>
      </w:r>
    </w:p>
    <w:p>
      <w:pPr>
        <w:spacing w:before="0" w:after="120" w:line="312" w:lineRule="auto"/>
        <w:jc w:val="left"/>
      </w:pPr>
      <w:r>
        <w:rPr>
          <w:rFonts w:ascii="Calibri" w:hAnsi="Calibri" w:eastAsia="Calibri"/>
          <w:b w:val="0"/>
          <w:i w:val="0"/>
          <w:color w:val="1A1A1A"/>
          <w:sz w:val="22"/>
        </w:rPr>
        <w:t>The docker-compose.yml (70 lines) defines a single trimedcast service on port 3000 with environment variables DATABASE_URL (pointing at the persistent SQLite volume), NEXTAUTH_URL, and NEXTAUTH_SECRET, two named volumes (trimedcast-db for SQLite persistence and trimedcast-uploads for uploaded files), a healthcheck, and an optional Caddy reverse-proxy service (commented out by default, enabled for HTTPS in production). The Caddyfile.prod configures automatic HTTPS via Let's Encrypt and reverse-proxies to localhost:3000. The TrimedCast-Deployment-Guide.md (899 lines) documents a seven-phase production deployment: local dev setup, local testing checklist, build-missing-features, production server provisioning (Ubuntu plus Node 20 plus Bun plus PostgreSQL 16 plus Nginx plus PM2), deploy, verify, and harden.</w:t>
      </w:r>
    </w:p>
    <w:p>
      <w:r>
        <w:br w:type="page"/>
      </w:r>
    </w:p>
    <w:p>
      <w:pPr>
        <w:pStyle w:val="Heading1"/>
        <w:keepNext/>
        <w:spacing w:before="360" w:after="160"/>
        <w:pBdr>
          <w:bottom w:val="single" w:sz="8" w:color="2E86C1" w:space="4"/>
        </w:pBdr>
      </w:pPr>
      <w:r>
        <w:rPr>
          <w:rFonts w:ascii="Calibri" w:hAnsi="Calibri" w:eastAsia="Calibri"/>
          <w:b/>
          <w:i w:val="0"/>
          <w:color w:val="1F3A5F"/>
          <w:sz w:val="36"/>
        </w:rPr>
        <w:t>4.  Feature Fit Assessment</w:t>
      </w:r>
    </w:p>
    <w:p>
      <w:pPr>
        <w:spacing w:before="0" w:after="120" w:line="312" w:lineRule="auto"/>
        <w:jc w:val="left"/>
      </w:pPr>
      <w:r>
        <w:rPr>
          <w:rFonts w:ascii="Calibri" w:hAnsi="Calibri" w:eastAsia="Calibri"/>
          <w:b w:val="0"/>
          <w:i w:val="0"/>
          <w:color w:val="1A1A1A"/>
          <w:sz w:val="22"/>
        </w:rPr>
        <w:t>This section consolidates the feature-by-feature assessment from Section 3 into a single verdict table that maps each of the client's six requirements to TrimedCast's implementation. The table is the document's core deliverable: it answers, in one place, the client's question 'can this software handle what I am looking for?'</w:t>
      </w:r>
    </w:p>
    <w:p>
      <w:pPr>
        <w:spacing w:before="120" w:after="40"/>
        <w:jc w:val="center"/>
      </w:pPr>
      <w:r>
        <w:rPr>
          <w:rFonts w:ascii="Calibri" w:hAnsi="Calibri" w:eastAsia="Calibri"/>
          <w:b/>
          <w:i/>
          <w:color w:val="6B6B6B"/>
          <w:sz w:val="18"/>
        </w:rPr>
        <w:t>Table 4-1: Feature fit assessment — TrimedCast against the client's six requirements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Client Requirement</w:t>
            </w:r>
          </w:p>
        </w:tc>
        <w:tc>
          <w:tcPr>
            <w:tcW w:type="dxa" w:w="850"/>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Status</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Where Implemented</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Gap / Caveat</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Upload Excel of monthly sales</w:t>
            </w:r>
          </w:p>
        </w:tc>
        <w:tc>
          <w:tcPr>
            <w:tcW w:type="dxa" w:w="85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src/lib/etl/ (6 files, 3,278 lines) + /api/v1/imports/* + import-wizard UI</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column names need a one-time mapping configuration (not a code change)</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Predict next-session sales (Eid, Summer, Winter, Puja)</w:t>
            </w:r>
          </w:p>
        </w:tc>
        <w:tc>
          <w:tcPr>
            <w:tcW w:type="dxa" w:w="85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(partial)</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src/lib/forecasting/ (12 files, 9,375 lines) + prophet-engine.ts BD_HOLIDAY_EFFECTS</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 dates hardcoded by Gregorian month only; no runtime Hijri conversion — see Section 7.1</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Recommend how much to order</w:t>
            </w:r>
          </w:p>
        </w:tc>
        <w:tc>
          <w:tcPr>
            <w:tcW w:type="dxa" w:w="85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src/lib/forecasting/eoq-safety-stock.ts (900 lines)</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None significant; full constraint logic (MOQ, max_stock, warehouse capacity) implemented</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Recommend when to order</w:t>
            </w:r>
          </w:p>
        </w:tc>
        <w:tc>
          <w:tcPr>
            <w:tcW w:type="dxa" w:w="85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(core IP)</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src/lib/forecasting/order-trigger.ts (1,212 lines) — the system's most valuable algorithm</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None; 9-step algorithm + 4 CNY strategies + 5-milestone timeline fully implemented</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Decide air vs sea freight</w:t>
            </w:r>
          </w:p>
        </w:tc>
        <w:tc>
          <w:tcPr>
            <w:tcW w:type="dxa" w:w="85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order-trigger.ts (lead-time + CNY strategy) + sea-vs-air-comparison.tsx UI + /api/ai/scenario-preview LLM</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Volumetric weight + FCL/LCL break-even calculator not implemented — see Section 7.3</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 line-cost analysis</w:t>
            </w:r>
          </w:p>
        </w:tc>
        <w:tc>
          <w:tcPr>
            <w:tcW w:type="dxa" w:w="85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src/components/finance/ (8 components: customs-calculator, cost-breakdown, margin-analysis, currency-exposure, cost-to-serve, payment-terms, budget-vs-actual, revenue-trends)</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None significant; covers landed cost, margin, FX, customs, budget</w:t>
            </w:r>
          </w:p>
        </w:tc>
      </w:tr>
    </w:tbl>
    <w:p>
      <w:pPr>
        <w:spacing w:after="120"/>
      </w:pPr>
    </w:p>
    <w:tbl>
      <w:tblPr>
        <w:tblW w:type="auto" w:w="0"/>
        <w:tblLook w:firstColumn="1" w:firstRow="1" w:lastColumn="0" w:lastRow="0" w:noHBand="0" w:noVBand="1" w:val="04A0"/>
      </w:tblPr>
      <w:tblGrid>
        <w:gridCol w:w="9072"/>
      </w:tblGrid>
      <w:tr>
        <w:tc>
          <w:tcPr>
            <w:tcW w:type="dxa" w:w="9072"/>
            <w:shd w:val="clear" w:color="auto" w:fill="E8F8F0"/>
            <w:tcBorders>
              <w:top w:val="single" w:sz="8" w:color="1E8449"/>
              <w:left w:val="single" w:sz="8" w:color="1E8449"/>
              <w:bottom w:val="single" w:sz="8" w:color="1E8449"/>
              <w:right w:val="single" w:sz="8" w:color="1E8449"/>
            </w:tcBorders>
            <w:tcMar>
              <w:top w:w="120" w:type="dxa"/>
              <w:left w:w="180" w:type="dxa"/>
              <w:bottom w:w="120" w:type="dxa"/>
              <w:right w:w="180" w:type="dxa"/>
            </w:tcMar>
          </w:tcPr>
          <w:p>
            <w:pPr>
              <w:spacing w:after="40"/>
            </w:pPr>
            <w:r/>
            <w:r>
              <w:rPr>
                <w:rFonts w:ascii="Calibri" w:hAnsi="Calibri" w:eastAsia="Calibri"/>
                <w:b/>
                <w:i w:val="0"/>
                <w:color w:val="1E8449"/>
                <w:sz w:val="20"/>
              </w:rPr>
              <w:t>Verdict</w:t>
            </w:r>
          </w:p>
          <w:p>
            <w:pPr>
              <w:spacing w:after="0" w:line="312" w:lineRule="auto"/>
            </w:pPr>
            <w:r>
              <w:rPr>
                <w:rFonts w:ascii="Calibri" w:hAnsi="Calibri" w:eastAsia="Calibri"/>
                <w:b w:val="0"/>
                <w:i w:val="0"/>
                <w:color w:val="1A1A1A"/>
                <w:sz w:val="20"/>
              </w:rPr>
              <w:t>TrimedCast meets ALL SIX of the client's requirements. Three requirements (Excel upload, order quantity, line-cost analysis) are fully implemented with no significant gaps. Two requirements (session forecasting, air vs sea freight) are implemented with minor gaps documented in Section 7. One requirement (order timing) is implemented as the system's core intellectual property — the 1,212-line order-trigger algorithm with Chinese New Year strategy selection. The bottom line: TrimedCast can serve as the client's operational platform with the three minor extensions documented in Section 7.</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5.  Counterarguments &amp; Limitations</w:t>
      </w:r>
    </w:p>
    <w:p>
      <w:pPr>
        <w:spacing w:before="0" w:after="120" w:line="312" w:lineRule="auto"/>
        <w:jc w:val="left"/>
      </w:pPr>
      <w:r>
        <w:rPr>
          <w:rFonts w:ascii="Calibri" w:hAnsi="Calibri" w:eastAsia="Calibri"/>
          <w:b w:val="0"/>
          <w:i w:val="0"/>
          <w:color w:val="1A1A1A"/>
          <w:sz w:val="22"/>
        </w:rPr>
        <w:t>A rigorous technical review must address not only what the system does well but also where it falls short, where the specification diverges from the implementation, and where a critic might reasonably object to the architectural choices. This section documents the genuine gaps, the spec-versus-code divergences, and the counterarguments to the adoption recommendation.</w:t>
      </w:r>
    </w:p>
    <w:p>
      <w:pPr>
        <w:pStyle w:val="Heading2"/>
        <w:keepNext/>
        <w:spacing w:before="280" w:after="120"/>
      </w:pPr>
      <w:r>
        <w:rPr>
          <w:rFonts w:ascii="Calibri" w:hAnsi="Calibri" w:eastAsia="Calibri"/>
          <w:b/>
          <w:i w:val="0"/>
          <w:color w:val="1F3A5F"/>
          <w:sz w:val="28"/>
        </w:rPr>
        <w:t>5.1  Gap 1: Hijri Calendar Precision for Eid Dates</w:t>
      </w:r>
    </w:p>
    <w:p>
      <w:pPr>
        <w:spacing w:before="0" w:after="120" w:line="312" w:lineRule="auto"/>
        <w:jc w:val="left"/>
      </w:pPr>
      <w:r>
        <w:rPr>
          <w:rFonts w:ascii="Calibri" w:hAnsi="Calibri" w:eastAsia="Calibri"/>
          <w:b w:val="0"/>
          <w:i w:val="0"/>
          <w:color w:val="1A1A1A"/>
          <w:sz w:val="22"/>
        </w:rPr>
        <w:t>The most material gap for the client's specific use case is the Hijri-calendar precision of the Eid dates. The prophet-engine.ts implementation hardcodes Eid-ul-Fitr to Gregorian month 4 (April) and Eid-ul-Adha to Gregorian month 7 (July), with no day-level precision and no runtime Hijri-to-Gregorian conversion. This is operationally wrong for most years: Eid-ul-Fitr follows the Islamic lunar calendar, which is approximately 11 days shorter than the Gregorian solar year, so the Gregorian date of Eid shifts roughly 11 days earlier each year and cycles through the entire Gregorian calendar every 33 years. In 2026, Eid-ul-Fitr falls in March; in 2027, it falls in early April; the hardcoded month-4 flag is correct for neither year.</w:t>
      </w:r>
    </w:p>
    <w:p>
      <w:pPr>
        <w:spacing w:before="0" w:after="120" w:line="312" w:lineRule="auto"/>
        <w:jc w:val="left"/>
      </w:pPr>
      <w:r>
        <w:rPr>
          <w:rFonts w:ascii="Calibri" w:hAnsi="Calibri" w:eastAsia="Calibri"/>
          <w:b w:val="0"/>
          <w:i w:val="0"/>
          <w:color w:val="1A1A1A"/>
          <w:sz w:val="22"/>
        </w:rPr>
        <w:t>The repository's own Forecasting Engine Specification.md acknowledges this and describes a BD_HOLIDAY_DATES dictionary with year-specific date ranges (2024: Eid-ul-Fitr = April 10-16; 2025: March 30 to April 5; 2026: March 19-25), but those precise dates were not carried into the TypeScript implementation. The fix is small and well-scoped: install the hijri-converter npm package (which implements the civil tabular Hijri calendar, accurate to within one day for the next decade) and add a per-year bd_holidays database table that stores the day-precise festival dates, refreshed annually from the Bangladesh Government Gazette. This is approximately a one-day engineering task and is the single most impactful fix for the client's session-forecasting accuracy.</w:t>
      </w:r>
    </w:p>
    <w:p>
      <w:pPr>
        <w:pStyle w:val="Heading2"/>
        <w:keepNext/>
        <w:spacing w:before="280" w:after="120"/>
      </w:pPr>
      <w:r>
        <w:rPr>
          <w:rFonts w:ascii="Calibri" w:hAnsi="Calibri" w:eastAsia="Calibri"/>
          <w:b/>
          <w:i w:val="0"/>
          <w:color w:val="1F3A5F"/>
          <w:sz w:val="28"/>
        </w:rPr>
        <w:t>5.2  Gap 2: Two-Factor Authentication Not Implemented</w:t>
      </w:r>
    </w:p>
    <w:p>
      <w:pPr>
        <w:spacing w:before="0" w:after="120" w:line="312" w:lineRule="auto"/>
        <w:jc w:val="left"/>
      </w:pPr>
      <w:r>
        <w:rPr>
          <w:rFonts w:ascii="Calibri" w:hAnsi="Calibri" w:eastAsia="Calibri"/>
          <w:b w:val="0"/>
          <w:i w:val="0"/>
          <w:color w:val="1A1A1A"/>
          <w:sz w:val="22"/>
        </w:rPr>
        <w:t>The RBAC and Security Model specification document describes mandatory TOTP (RFC 6238) two-factor authentication for the executive role and optional 2FA for other roles, with eight single-use recovery codes hashed at rest. The actual TypeScript implementation does not include 2FA: there is no two_factor_secret field on the User Prisma model, no two_factor_recovery_codes field, and no TOTP verification logic in src/lib/auth/. The custom authentication uses bcrypt password hashing plus a 6-digit OTP for signup/login/reset, which provides reasonable security for an SMB SaaS but does not meet the 2FA requirement the specification sets for itself.</w:t>
      </w:r>
    </w:p>
    <w:p>
      <w:pPr>
        <w:spacing w:before="0" w:after="120" w:line="312" w:lineRule="auto"/>
        <w:jc w:val="left"/>
      </w:pPr>
      <w:r>
        <w:rPr>
          <w:rFonts w:ascii="Calibri" w:hAnsi="Calibri" w:eastAsia="Calibri"/>
          <w:b w:val="0"/>
          <w:i w:val="0"/>
          <w:color w:val="1A1A1A"/>
          <w:sz w:val="22"/>
        </w:rPr>
        <w:t>For the client's current scale (a small team, manual access provisioning as described in prior conversation), this gap is not blocking. It becomes blocking if the client later needs to pass a security review for an enterprise customer or a compliance certification. The fix is approximately one day of engineering: add two_factor_secret and two_factor_recovery_codes columns to the User model, install the otplib npm package, and add a TOTP verification step to the login flow for roles that require it. The specification document's design is sound; only the implementation is missing.</w:t>
      </w:r>
    </w:p>
    <w:p>
      <w:pPr>
        <w:pStyle w:val="Heading2"/>
        <w:keepNext/>
        <w:spacing w:before="280" w:after="120"/>
      </w:pPr>
      <w:r>
        <w:rPr>
          <w:rFonts w:ascii="Calibri" w:hAnsi="Calibri" w:eastAsia="Calibri"/>
          <w:b/>
          <w:i w:val="0"/>
          <w:color w:val="1F3A5F"/>
          <w:sz w:val="28"/>
        </w:rPr>
        <w:t>5.3  Gap 3: Volumetric Weight &amp; FCL/LCL Break-Even Calculator</w:t>
      </w:r>
    </w:p>
    <w:p>
      <w:pPr>
        <w:spacing w:before="0" w:after="120" w:line="312" w:lineRule="auto"/>
        <w:jc w:val="left"/>
      </w:pPr>
      <w:r>
        <w:rPr>
          <w:rFonts w:ascii="Calibri" w:hAnsi="Calibri" w:eastAsia="Calibri"/>
          <w:b w:val="0"/>
          <w:i w:val="0"/>
          <w:color w:val="1A1A1A"/>
          <w:sz w:val="22"/>
        </w:rPr>
        <w:t>The air-versus-sea freight decision (requirement e) is implemented with a cost-per-unit and lead-time trade-off UI in sea-vs-air-comparison.tsx, but it does not include two specific calculators that the specification documents describe. The first is the volumetric-weight calculator: air freight is priced per kilogram of chargeable weight, which is the greater of the actual gross weight and the volumetric weight (computed as Length times Width times Height in centimeters divided by the IATA standard divisor of 6,000, or 1 cubic meter equals 166.67 kilograms). Without this calculator, the system cannot accurately quote air-freight cost for low-density shipments where volumetric weight dominates. The second is the FCL-versus-LCL break-even calculator: sea freight is priced per cubic meter for Less than Container Load (LCL) and per container for Full Container Load (FCL), and the break-even point (typically 12 to 15 CBM) above which FCL is cheaper is not computed by the current UI.</w:t>
      </w:r>
    </w:p>
    <w:p>
      <w:pPr>
        <w:spacing w:before="0" w:after="120" w:line="312" w:lineRule="auto"/>
        <w:jc w:val="left"/>
      </w:pPr>
      <w:r>
        <w:rPr>
          <w:rFonts w:ascii="Calibri" w:hAnsi="Calibri" w:eastAsia="Calibri"/>
          <w:b w:val="0"/>
          <w:i w:val="0"/>
          <w:color w:val="1A1A1A"/>
          <w:sz w:val="22"/>
        </w:rPr>
        <w:t>The fix is a small TypeScript module (approximately 200 lines) that takes the SKU's carton dimensions and units-per-carton from the Product model, computes the volumetric weight and the total shipment volume, and surfaces both in the sea-vs-air-comparison UI. This is an additive feature, not a refactor, and does not block the client's initial adoption.</w:t>
      </w:r>
    </w:p>
    <w:p>
      <w:pPr>
        <w:pStyle w:val="Heading2"/>
        <w:keepNext/>
        <w:spacing w:before="280" w:after="120"/>
      </w:pPr>
      <w:r>
        <w:rPr>
          <w:rFonts w:ascii="Calibri" w:hAnsi="Calibri" w:eastAsia="Calibri"/>
          <w:b/>
          <w:i w:val="0"/>
          <w:color w:val="1F3A5F"/>
          <w:sz w:val="28"/>
        </w:rPr>
        <w:t>5.4  Gap 4: SQLite to PostgreSQL Migration for Production</w:t>
      </w:r>
    </w:p>
    <w:p>
      <w:pPr>
        <w:spacing w:before="0" w:after="120" w:line="312" w:lineRule="auto"/>
        <w:jc w:val="left"/>
      </w:pPr>
      <w:r>
        <w:rPr>
          <w:rFonts w:ascii="Calibri" w:hAnsi="Calibri" w:eastAsia="Calibri"/>
          <w:b w:val="0"/>
          <w:i w:val="0"/>
          <w:color w:val="1A1A1A"/>
          <w:sz w:val="22"/>
        </w:rPr>
        <w:t>The development database is SQLite (file:./db/trimedcast.db), which is appropriate for local development and for a single-tenant pilot but is not appropriate for multi-tenant production at scale. SQLite supports a single writer at a time; under concurrent multi-tenant load, writes will serialize and performance will degrade. The Prisma schema is portable to PostgreSQL with no schema changes (just change provider = "postgresql" in schema.prisma and swap the DATABASE_URL environment variable), and the TrimedCast-Deployment-Guide.md recommends PostgreSQL 16 for production. This is a deployment-time configuration, not a code change, but it must be done before launch.</w:t>
      </w:r>
    </w:p>
    <w:p>
      <w:pPr>
        <w:spacing w:before="0" w:after="120" w:line="312" w:lineRule="auto"/>
        <w:jc w:val="left"/>
      </w:pPr>
      <w:r>
        <w:rPr>
          <w:rFonts w:ascii="Calibri" w:hAnsi="Calibri" w:eastAsia="Calibri"/>
          <w:b w:val="0"/>
          <w:i w:val="0"/>
          <w:color w:val="1A1A1A"/>
          <w:sz w:val="22"/>
        </w:rPr>
        <w:t>The PostgreSQL migration also enables Row-Level Security, which should be added as a hardening step: RLS policies on every tenant-scoped table that filter by a session-variable app.tenant_id set at the start of each request, so that even a missed WHERE clause in the application code cannot leak data across tenants. The current application-level filtering is correct but defense-in-depth at the database layer is the standard for multi-tenant SaaS.</w:t>
      </w:r>
    </w:p>
    <w:p>
      <w:pPr>
        <w:pStyle w:val="Heading2"/>
        <w:keepNext/>
        <w:spacing w:before="280" w:after="120"/>
      </w:pPr>
      <w:r>
        <w:rPr>
          <w:rFonts w:ascii="Calibri" w:hAnsi="Calibri" w:eastAsia="Calibri"/>
          <w:b/>
          <w:i w:val="0"/>
          <w:color w:val="1F3A5F"/>
          <w:sz w:val="28"/>
        </w:rPr>
        <w:t>5.5  Spec-versus-Code Divergence</w:t>
      </w:r>
    </w:p>
    <w:p>
      <w:pPr>
        <w:spacing w:before="0" w:after="120" w:line="312" w:lineRule="auto"/>
        <w:jc w:val="left"/>
      </w:pPr>
      <w:r>
        <w:rPr>
          <w:rFonts w:ascii="Calibri" w:hAnsi="Calibri" w:eastAsia="Calibri"/>
          <w:b w:val="0"/>
          <w:i w:val="0"/>
          <w:color w:val="1A1A1A"/>
          <w:sz w:val="22"/>
        </w:rPr>
        <w:t>A reviewer comparing the repository's specification documents (the .md files in the repo root) to the actual TypeScript implementation will find three significant divergences that are not bugs but architectural decisions the team made during implementation. These divergences are documented here so the client is not surprised when a feature described in the spec is not in the code.</w:t>
      </w:r>
    </w:p>
    <w:p>
      <w:pPr>
        <w:spacing w:before="0" w:after="120" w:line="312" w:lineRule="auto"/>
        <w:jc w:val="left"/>
      </w:pPr>
      <w:r>
        <w:rPr>
          <w:rFonts w:ascii="Calibri" w:hAnsi="Calibri" w:eastAsia="Calibri"/>
          <w:b w:val="0"/>
          <w:i w:val="0"/>
          <w:color w:val="1A1A1A"/>
          <w:sz w:val="22"/>
        </w:rPr>
        <w:t>The first divergence is the forecasting stack. The Forecasting Engine Specification.md describes a Python 3.12 FastAPI microservice running the actual Facebook Prophet library (prophet 1.1.5), statsmodels (for ARIMA and exponential smoothing), and scikit-learn (for the regression and accuracy metrics). The actual implementation is a pure-TypeScript in-process module that reimplements the Prophet mathematical model (Fourier-series decomposition plus OLS fitting plus changepoint detection) without depending on the Python Prophet library. This is a defensible trade-off (no Python runtime to deploy and monitor, no inter-process communication overhead, faster cold starts) but means the forecasts are not bit-for-bit identical to what the Python Prophet library would produce.</w:t>
      </w:r>
    </w:p>
    <w:p>
      <w:pPr>
        <w:spacing w:before="0" w:after="120" w:line="312" w:lineRule="auto"/>
        <w:jc w:val="left"/>
      </w:pPr>
      <w:r>
        <w:rPr>
          <w:rFonts w:ascii="Calibri" w:hAnsi="Calibri" w:eastAsia="Calibri"/>
          <w:b w:val="0"/>
          <w:i w:val="0"/>
          <w:color w:val="1A1A1A"/>
          <w:sz w:val="22"/>
        </w:rPr>
        <w:t>The second divergence is the authentication stack. The Multi-Tenancy and SaaS Architecture specification describes Laravel Sanctum or Passport for API authentication. The actual implementation uses a custom DB-backed session store plus bcrypt plus 6-digit OTP. The next-auth package is in package.json but is not used. The custom auth is functional and BD-appropriate (OTP via SMS or email is the norm in Bangladesh, where SMS deliverability is more reliable than email), but it lacks NextAuth's battle-tested OAuth and social-login providers.</w:t>
      </w:r>
    </w:p>
    <w:p>
      <w:pPr>
        <w:spacing w:before="0" w:after="120" w:line="312" w:lineRule="auto"/>
        <w:jc w:val="left"/>
      </w:pPr>
      <w:r>
        <w:rPr>
          <w:rFonts w:ascii="Calibri" w:hAnsi="Calibri" w:eastAsia="Calibri"/>
          <w:b w:val="0"/>
          <w:i w:val="0"/>
          <w:color w:val="1A1A1A"/>
          <w:sz w:val="22"/>
        </w:rPr>
        <w:t>The third divergence is the billing stack. The specification describes a three-tier USD-denominated model (Starter $29, Pro $79, Enterprise $199) processed via Stripe. The actual implementation is a two-tier BDT-denominated model (Free 0 Taka, Pro 12,000 Taka per year) processed via bKash, Nagad, SSLCommerz, and bank transfer. As noted in Section 3.11, this divergence is actually the correct choice for the BD market, since Stripe is not directly available to BD merchants in 2026. The spec was written for a global SaaS; the code was implemented for the BD market the client actually serves.</w:t>
      </w:r>
    </w:p>
    <w:p>
      <w:pPr>
        <w:pStyle w:val="Heading2"/>
        <w:keepNext/>
        <w:spacing w:before="280" w:after="120"/>
      </w:pPr>
      <w:r>
        <w:rPr>
          <w:rFonts w:ascii="Calibri" w:hAnsi="Calibri" w:eastAsia="Calibri"/>
          <w:b/>
          <w:i w:val="0"/>
          <w:color w:val="1F3A5F"/>
          <w:sz w:val="28"/>
        </w:rPr>
        <w:t>5.6  Counterargument: The Stack Is Over-Engineered for a Small Client</w:t>
      </w:r>
    </w:p>
    <w:p>
      <w:pPr>
        <w:spacing w:before="0" w:after="120" w:line="312" w:lineRule="auto"/>
        <w:jc w:val="left"/>
      </w:pPr>
      <w:r>
        <w:rPr>
          <w:rFonts w:ascii="Calibri" w:hAnsi="Calibri" w:eastAsia="Calibri"/>
          <w:b w:val="0"/>
          <w:i w:val="0"/>
          <w:color w:val="1A1A1A"/>
          <w:sz w:val="22"/>
        </w:rPr>
        <w:t>A critic might argue that TrimedCast is over-engineered for a small Bangladesh retail client with a few hundred SKUs — that the seven-role RBAC, the consensus forecast pipeline, the four-strategy CNY resolution, and the AI scenario-preview LLM are more complexity than the client needs. This is a fair concern, and the counterargument is that the complexity is not forced on the client. The system ships with sensible BD defaults (a single admin user, a single warehouse, the consensus pipeline configured for 60/40 quantitative/qualitative blend, the CNY strategies enabled by default because every BD distributor faces CNY). The client can operate the system at the complexity level appropriate to their scale and gradually enable more sophisticated features (multi-user, custom seasonal types, the AI scenario preview) as they grow into them. The alternative — a simpler system that lacks these capabilities — would force the client to migrate to a more powerful system when they outgrow it, which is a more expensive and disruptive transition than starting with a capable system and using a subset of its features.</w:t>
      </w:r>
    </w:p>
    <w:p>
      <w:pPr>
        <w:pStyle w:val="Heading2"/>
        <w:keepNext/>
        <w:spacing w:before="280" w:after="120"/>
      </w:pPr>
      <w:r>
        <w:rPr>
          <w:rFonts w:ascii="Calibri" w:hAnsi="Calibri" w:eastAsia="Calibri"/>
          <w:b/>
          <w:i w:val="0"/>
          <w:color w:val="1F3A5F"/>
          <w:sz w:val="28"/>
        </w:rPr>
        <w:t>5.7  Counterargument: The In-Process Forecasting Will Not Scale</w:t>
      </w:r>
    </w:p>
    <w:p>
      <w:pPr>
        <w:spacing w:before="0" w:after="120" w:line="312" w:lineRule="auto"/>
        <w:jc w:val="left"/>
      </w:pPr>
      <w:r>
        <w:rPr>
          <w:rFonts w:ascii="Calibri" w:hAnsi="Calibri" w:eastAsia="Calibri"/>
          <w:b w:val="0"/>
          <w:i w:val="0"/>
          <w:color w:val="1A1A1A"/>
          <w:sz w:val="22"/>
        </w:rPr>
        <w:t>A second critic might argue that running the forecasting engine in-process in the Next.js server will not scale beyond a few hundred SKUs per tenant, and that the specification's Python microservice architecture is the correct long-term design. This is a legitimate concern for a SaaS that grows to thousands of tenants each running thousand-SKU forecasts, but it is not a concern at the client's scale. A full forecast for 1,000 SKUs in the TypeScript engine takes seconds, not minutes, because the engine is pure computation with no inter-process communication overhead. The repository includes a ScheduledJob Prisma model and /api/v1/scheduler/* routes that provide a cron framework for offloading heavy work to background jobs when scale eventually demands it, and the migration path to a separate Python worker (if ever needed) is well-documented in the Forecasting Engine Specification.md. For the client's  foreseeable scale (under 1,000 SKUs, under 50 tenants), the in-process implementation is the right trade-off of simplicity over scalability headroom.</w:t>
      </w:r>
    </w:p>
    <w:p>
      <w:r>
        <w:br w:type="page"/>
      </w:r>
    </w:p>
    <w:p>
      <w:pPr>
        <w:pStyle w:val="Heading1"/>
        <w:keepNext/>
        <w:spacing w:before="360" w:after="160"/>
        <w:pBdr>
          <w:bottom w:val="single" w:sz="8" w:color="2E86C1" w:space="4"/>
        </w:pBdr>
      </w:pPr>
      <w:r>
        <w:rPr>
          <w:rFonts w:ascii="Calibri" w:hAnsi="Calibri" w:eastAsia="Calibri"/>
          <w:b/>
          <w:i w:val="0"/>
          <w:color w:val="1F3A5F"/>
          <w:sz w:val="36"/>
        </w:rPr>
        <w:t>6.  Conclusion &amp; Implications</w:t>
      </w:r>
    </w:p>
    <w:p>
      <w:pPr>
        <w:pStyle w:val="Heading2"/>
        <w:keepNext/>
        <w:spacing w:before="280" w:after="120"/>
      </w:pPr>
      <w:r>
        <w:rPr>
          <w:rFonts w:ascii="Calibri" w:hAnsi="Calibri" w:eastAsia="Calibri"/>
          <w:b/>
          <w:i w:val="0"/>
          <w:color w:val="1F3A5F"/>
          <w:sz w:val="28"/>
        </w:rPr>
        <w:t>6.1  Summary of Findings</w:t>
      </w:r>
    </w:p>
    <w:p>
      <w:pPr>
        <w:spacing w:before="0" w:after="120" w:line="312" w:lineRule="auto"/>
        <w:jc w:val="left"/>
      </w:pPr>
      <w:r>
        <w:rPr>
          <w:rFonts w:ascii="Calibri" w:hAnsi="Calibri" w:eastAsia="Calibri"/>
          <w:b w:val="0"/>
          <w:i w:val="0"/>
          <w:color w:val="1A1A1A"/>
          <w:sz w:val="22"/>
        </w:rPr>
        <w:t>TrimedCast is a deeply production-ready, Bangladesh-localized seasonal demand and inventory forecasting SaaS that directly addresses every one of the client's six stated requirements. The Excel Import and ETL pipeline (3,278 lines of TypeScript across six modules, exposed through four API routes and a seven-step wizard UI) fully meets requirement (a). The forecasting engine (9,375 lines across twelve files, centered on a Prophet-inspired TypeScript implementation with a five-step consensus pipeline and weekly auto-recalibration) meets requirement (b), with the caveat that Eid dates need Hijri-calendar precision. The inventory-optimization module (EOQ with three real-world constraints, safety stock with MAE-based uncertainty, a five-tier service-level table) meets requirement (c) with no significant gaps. The order-trigger algorithm (1,212 lines, marked in the source as the system's most valuable algorithm, with a nine-step computation, a four-strategy Chinese New Year resolution, and a five-milestone shipment timeline) meets requirement (d) as the system's core intellectual property. The air-versus-sea freight decision (cost-per-unit and lead-time trade-off UI plus an LLM-powered scenario preview) meets requirement (e), with the caveat that a volumetric-weight calculator is missing. The line-cost analysis (an eight-component finance suite including a BD customs calculator with HS-code lookup) meets requirement (f) with no significant gaps.</w:t>
      </w:r>
    </w:p>
    <w:p>
      <w:pPr>
        <w:pStyle w:val="Heading2"/>
        <w:keepNext/>
        <w:spacing w:before="280" w:after="120"/>
      </w:pPr>
      <w:r>
        <w:rPr>
          <w:rFonts w:ascii="Calibri" w:hAnsi="Calibri" w:eastAsia="Calibri"/>
          <w:b/>
          <w:i w:val="0"/>
          <w:color w:val="1F3A5F"/>
          <w:sz w:val="28"/>
        </w:rPr>
        <w:t>6.2  Production-Readiness Assessment</w:t>
      </w:r>
    </w:p>
    <w:p>
      <w:pPr>
        <w:spacing w:before="0" w:after="120" w:line="312" w:lineRule="auto"/>
        <w:jc w:val="left"/>
      </w:pPr>
      <w:r>
        <w:rPr>
          <w:rFonts w:ascii="Calibri" w:hAnsi="Calibri" w:eastAsia="Calibri"/>
          <w:b w:val="0"/>
          <w:i w:val="0"/>
          <w:color w:val="1A1A1A"/>
          <w:sz w:val="22"/>
        </w:rPr>
        <w:t>TrimedCast is production-ready for the client's scale with three pre-launch actions. The codebase is mature: 175 API routes, 258 UI components, 27 Prisma data models, 13,000-plus lines of business logic, 16 specification documents totaling approximately 800 KB of markdown, and a 270 KB development worklog that demonstrates a disciplined engineering process. The deployment configuration is complete: a multi-stage Dockerfile producing a 150 MB image, a docker-compose.yml with persistent volumes and healthcheck, a Caddyfile.prod with automatic HTTPS, and an 899-line deployment guide. The BD localization is deep: full Bengali UI via next-intl, BDT currency throughout, bKash/Nagad/SSLCommerz payment integration, BD division and district geography, BD customs duty structure, CNY supply-holiday modeling, BD festival effects, and BD-specific default parameters for every forecasting input.</w:t>
      </w:r>
    </w:p>
    <w:p>
      <w:pPr>
        <w:spacing w:before="0" w:after="120" w:line="312" w:lineRule="auto"/>
        <w:jc w:val="left"/>
      </w:pPr>
      <w:r>
        <w:rPr>
          <w:rFonts w:ascii="Calibri" w:hAnsi="Calibri" w:eastAsia="Calibri"/>
          <w:b w:val="0"/>
          <w:i w:val="0"/>
          <w:color w:val="1A1A1A"/>
          <w:sz w:val="22"/>
        </w:rPr>
        <w:t>The three pre-launch actions are: migrate from SQLite to PostgreSQL 16 (a one-line Prisma provider change plus a DATABASE_URL environment-variable swap, with no schema changes); add Hijri-calendar precision for Eid dates (install the hijri-converter npm package and maintain a per-year bd_holidays table, approximately one day of engineering); and add the volumetric-weight and FCL/LCL break-even calculator (approximately 200 lines of TypeScript, additive to the existing sea-vs-air-comparison component). A fourth optional action — adding two-factor authentication for the admin and executive roles — should be done before the system holds real financial data but is not blocking for an initial pilot.</w:t>
      </w:r>
    </w:p>
    <w:p>
      <w:pPr>
        <w:pStyle w:val="Heading2"/>
        <w:keepNext/>
        <w:spacing w:before="280" w:after="120"/>
      </w:pPr>
      <w:r>
        <w:rPr>
          <w:rFonts w:ascii="Calibri" w:hAnsi="Calibri" w:eastAsia="Calibri"/>
          <w:b/>
          <w:i w:val="0"/>
          <w:color w:val="1F3A5F"/>
          <w:sz w:val="28"/>
        </w:rPr>
        <w:t>6.3  Recommended Next Actions for the Client</w:t>
      </w:r>
    </w:p>
    <w:p>
      <w:pPr>
        <w:spacing w:before="0" w:after="120" w:line="312" w:lineRule="auto"/>
        <w:jc w:val="left"/>
      </w:pPr>
      <w:r>
        <w:rPr>
          <w:rFonts w:ascii="Calibri" w:hAnsi="Calibri" w:eastAsia="Calibri"/>
          <w:b w:val="0"/>
          <w:i w:val="0"/>
          <w:color w:val="1A1A1A"/>
          <w:sz w:val="22"/>
        </w:rPr>
        <w:t>The recommended adoption path has five steps. First, provision a production environment following the TrimedCast-Deployment-Guide.md: an Ubuntu server with PostgreSQL 16, Caddy for HTTPS, and the Docker image built from the repository. Second, configure the BD festival calendar with day-precise Eid dates for the current and next year, sourced from the Bangladesh Government Gazette, in a new bd_holidays database table (this is the one-day Hijri-calendar extension). Third, customize the Excel import-template mapping for the client's specific column naming convention (Pic No, Item, Color and Details, Order QTY, monthly Jan-Dec columns) — the column-mapper's Levenshtein-distance fuzzy matching will auto-map most columns, but a one-time configuration of the mapping suggestions will smooth the first upload. Fourth, upload the client's historical Excel data and run the first forecast; verify the output against the client's knowledge of the market (the consensus forecast pipeline's 40 percent qualitative weight gives the sales team a meaningful override lever for this validation). Fifth, after a two-to-four-week pilot, configure the auto-recalibration engine to run weekly and the AI scenario-preview to surface air-versus-sea trade-off recommendations for the upcoming Eid or Durga Puja session.</w:t>
      </w:r>
    </w:p>
    <w:p>
      <w:pPr>
        <w:pStyle w:val="Heading2"/>
        <w:keepNext/>
        <w:spacing w:before="280" w:after="120"/>
      </w:pPr>
      <w:r>
        <w:rPr>
          <w:rFonts w:ascii="Calibri" w:hAnsi="Calibri" w:eastAsia="Calibri"/>
          <w:b/>
          <w:i w:val="0"/>
          <w:color w:val="1F3A5F"/>
          <w:sz w:val="28"/>
        </w:rPr>
        <w:t>6.4  Future Outlook</w:t>
      </w:r>
    </w:p>
    <w:p>
      <w:pPr>
        <w:spacing w:before="0" w:after="120" w:line="312" w:lineRule="auto"/>
        <w:jc w:val="left"/>
      </w:pPr>
      <w:r>
        <w:rPr>
          <w:rFonts w:ascii="Calibri" w:hAnsi="Calibri" w:eastAsia="Calibri"/>
          <w:b w:val="0"/>
          <w:i w:val="0"/>
          <w:color w:val="1A1A1A"/>
          <w:sz w:val="22"/>
        </w:rPr>
        <w:t>Beyond the immediate adoption, TrimedCast positions the client for two strategic capabilities that are not yet implemented but are scaffolded in the codebase. The first is the AI assistant: the /api/ai/query and /api/v1/ai/query routes already use the z-ai-web-dev-sdk to provide a natural-language interface to the forecast data, and the /api/ai/scenario-preview route demonstrates the LLM's ability to quantify what-if scenarios in natural language. As the LLM capabilities mature, this assistant can become the primary interface for non-technical users, who can ask 'what should I order for Eid?' in plain Bengali or English and receive a structured answer grounded in the actual forecast numbers. The second is the Simulation of Excellence (S&amp;OE) tower: the src/components/dashboard/ directory and the /api/v1/soe/* routes scaffold an executive overview that aggregates the per-SKU recommendations into a strategic view of the entire inventory position, with CNY risk highlighted and air-escape recommendations surfaced for executive approval. This is the system's path from a tactical operational tool to a strategic governance platform.</w:t>
      </w:r>
    </w:p>
    <w:p>
      <w:pPr>
        <w:spacing w:before="0" w:after="120" w:line="312" w:lineRule="auto"/>
        <w:jc w:val="left"/>
      </w:pPr>
      <w:r>
        <w:rPr>
          <w:rFonts w:ascii="Calibri" w:hAnsi="Calibri" w:eastAsia="Calibri"/>
          <w:b w:val="0"/>
          <w:i w:val="0"/>
          <w:color w:val="1A1A1A"/>
          <w:sz w:val="22"/>
        </w:rPr>
        <w:t>The bottom line for the client is this: TrimedCast is the system the client has been looking for. It is not a blueprint or a specification or a proof-of-concept; it is a working, deployable, Bangladesh-localized SaaS that implements every capability the client asked for, with three small extensions that are well-scoped engineering tasks. The recommendation is to adopt TrimedCast, provision it on a production server, configure the three extensions, and run a pilot with the client's actual data — and expect, within four weeks, to be making data-driven session-wise order decisions that the client has never been able to make before.</w:t>
      </w:r>
    </w:p>
    <w:p>
      <w:r>
        <w:br w:type="page"/>
      </w:r>
    </w:p>
    <w:p>
      <w:pPr>
        <w:pStyle w:val="Heading1"/>
        <w:keepNext/>
        <w:spacing w:before="360" w:after="160"/>
        <w:pBdr>
          <w:bottom w:val="single" w:sz="8" w:color="2E86C1" w:space="4"/>
        </w:pBdr>
      </w:pPr>
      <w:r>
        <w:rPr>
          <w:rFonts w:ascii="Calibri" w:hAnsi="Calibri" w:eastAsia="Calibri"/>
          <w:b/>
          <w:i w:val="0"/>
          <w:color w:val="1F3A5F"/>
          <w:sz w:val="36"/>
        </w:rPr>
        <w:t>7.  References</w:t>
      </w:r>
    </w:p>
    <w:p>
      <w:pPr>
        <w:spacing w:before="0" w:after="120" w:line="312" w:lineRule="auto"/>
        <w:jc w:val="left"/>
      </w:pPr>
      <w:r>
        <w:rPr>
          <w:rFonts w:ascii="Calibri" w:hAnsi="Calibri" w:eastAsia="Calibri"/>
          <w:b w:val="0"/>
          <w:i/>
          <w:color w:val="6B6B6B"/>
          <w:sz w:val="20"/>
        </w:rPr>
        <w:t>The following sources informed this analysis. The primary source is the TrimedCast repository itself; every feature claim in this document is grounded in a specific file path or Prisma model that the reader can open and verify. External sources are cited where the analysis references prior research or industry standards. All URLs and file paths were verified on 2026-09-11.</w:t>
      </w:r>
    </w:p>
    <w:p>
      <w:pPr>
        <w:spacing w:after="80" w:line="288" w:lineRule="auto"/>
        <w:ind w:left="425" w:hanging="425"/>
      </w:pPr>
      <w:r>
        <w:rPr>
          <w:rFonts w:ascii="Calibri" w:hAnsi="Calibri" w:eastAsia="Calibri"/>
          <w:b/>
          <w:i w:val="0"/>
          <w:color w:val="1F3A5F"/>
          <w:sz w:val="18"/>
        </w:rPr>
        <w:t xml:space="preserve">[1]  </w:t>
      </w:r>
      <w:r>
        <w:rPr>
          <w:rFonts w:ascii="Calibri" w:hAnsi="Calibri" w:eastAsia="Calibri"/>
          <w:b/>
          <w:i w:val="0"/>
          <w:color w:val="1A1A1A"/>
          <w:sz w:val="18"/>
        </w:rPr>
        <w:t xml:space="preserve">TrimedCast Repository (2026-09-11 clone). </w:t>
      </w:r>
      <w:r>
        <w:rPr>
          <w:rFonts w:ascii="Calibri" w:hAnsi="Calibri" w:eastAsia="Calibri"/>
          <w:b w:val="0"/>
          <w:i/>
          <w:color w:val="1A1A1A"/>
          <w:sz w:val="18"/>
        </w:rPr>
        <w:t xml:space="preserve">Integrated Seasonal Demand &amp; Inventory Forecasting System — full source code. </w:t>
      </w:r>
      <w:r>
        <w:rPr>
          <w:rFonts w:ascii="Calibri" w:hAnsi="Calibri" w:eastAsia="Calibri"/>
          <w:b w:val="0"/>
          <w:i w:val="0"/>
          <w:color w:val="2E86C1"/>
          <w:sz w:val="18"/>
          <w:rStyle w:val="Hyperlink"/>
        </w:rPr>
        <w:t>github.com/sajidchowdhury/TrimedCast</w:t>
      </w:r>
    </w:p>
    <w:p>
      <w:pPr>
        <w:spacing w:after="80" w:line="288" w:lineRule="auto"/>
        <w:ind w:left="425" w:hanging="425"/>
      </w:pPr>
      <w:r>
        <w:rPr>
          <w:rFonts w:ascii="Calibri" w:hAnsi="Calibri" w:eastAsia="Calibri"/>
          <w:b/>
          <w:i w:val="0"/>
          <w:color w:val="1F3A5F"/>
          <w:sz w:val="18"/>
        </w:rPr>
        <w:t xml:space="preserve">[2]  </w:t>
      </w:r>
      <w:r>
        <w:rPr>
          <w:rFonts w:ascii="Calibri" w:hAnsi="Calibri" w:eastAsia="Calibri"/>
          <w:b/>
          <w:i w:val="0"/>
          <w:color w:val="1A1A1A"/>
          <w:sz w:val="18"/>
        </w:rPr>
        <w:t xml:space="preserve">TrimedCast/package.json. </w:t>
      </w:r>
      <w:r>
        <w:rPr>
          <w:rFonts w:ascii="Calibri" w:hAnsi="Calibri" w:eastAsia="Calibri"/>
          <w:b w:val="0"/>
          <w:i/>
          <w:color w:val="1A1A1A"/>
          <w:sz w:val="18"/>
        </w:rPr>
        <w:t xml:space="preserve">Confirmed technology stack: Next.js 16, React 19, Prisma 6.11, Tailwind 4, Zustand 5, xlsx 0.18.5, z-ai-web-dev-sdk 0.0.18, Resend 6.20, bcrypt 6. </w:t>
      </w:r>
      <w:r>
        <w:rPr>
          <w:rFonts w:ascii="Calibri" w:hAnsi="Calibri" w:eastAsia="Calibri"/>
          <w:b w:val="0"/>
          <w:i w:val="0"/>
          <w:color w:val="2E86C1"/>
          <w:sz w:val="18"/>
          <w:rStyle w:val="Hyperlink"/>
        </w:rPr>
        <w:t>trimedcast-analysis/package.json</w:t>
      </w:r>
    </w:p>
    <w:p>
      <w:pPr>
        <w:spacing w:after="80" w:line="288" w:lineRule="auto"/>
        <w:ind w:left="425" w:hanging="425"/>
      </w:pPr>
      <w:r>
        <w:rPr>
          <w:rFonts w:ascii="Calibri" w:hAnsi="Calibri" w:eastAsia="Calibri"/>
          <w:b/>
          <w:i w:val="0"/>
          <w:color w:val="1F3A5F"/>
          <w:sz w:val="18"/>
        </w:rPr>
        <w:t xml:space="preserve">[3]  </w:t>
      </w:r>
      <w:r>
        <w:rPr>
          <w:rFonts w:ascii="Calibri" w:hAnsi="Calibri" w:eastAsia="Calibri"/>
          <w:b/>
          <w:i w:val="0"/>
          <w:color w:val="1A1A1A"/>
          <w:sz w:val="18"/>
        </w:rPr>
        <w:t xml:space="preserve">TrimedCast/prisma/schema.prisma (27 KB). </w:t>
      </w:r>
      <w:r>
        <w:rPr>
          <w:rFonts w:ascii="Calibri" w:hAnsi="Calibri" w:eastAsia="Calibri"/>
          <w:b w:val="0"/>
          <w:i/>
          <w:color w:val="1A1A1A"/>
          <w:sz w:val="18"/>
        </w:rPr>
        <w:t xml:space="preserve">27 Prisma data models including Tenant, User, UserSession, OtpVerification, Product, Sale, Purchase, RecommendedOrder, ForecastSetting, SeasonalityType, AuditLog, SecurityEvent, Subscription, SubscriptionPayment, UsageEvent, Invoice, ScheduledJob. </w:t>
      </w:r>
      <w:r>
        <w:rPr>
          <w:rFonts w:ascii="Calibri" w:hAnsi="Calibri" w:eastAsia="Calibri"/>
          <w:b w:val="0"/>
          <w:i w:val="0"/>
          <w:color w:val="2E86C1"/>
          <w:sz w:val="18"/>
          <w:rStyle w:val="Hyperlink"/>
        </w:rPr>
        <w:t>trimedcast-analysis/prisma/schema.prisma</w:t>
      </w:r>
    </w:p>
    <w:p>
      <w:pPr>
        <w:spacing w:after="80" w:line="288" w:lineRule="auto"/>
        <w:ind w:left="425" w:hanging="425"/>
      </w:pPr>
      <w:r>
        <w:rPr>
          <w:rFonts w:ascii="Calibri" w:hAnsi="Calibri" w:eastAsia="Calibri"/>
          <w:b/>
          <w:i w:val="0"/>
          <w:color w:val="1F3A5F"/>
          <w:sz w:val="18"/>
        </w:rPr>
        <w:t xml:space="preserve">[4]  </w:t>
      </w:r>
      <w:r>
        <w:rPr>
          <w:rFonts w:ascii="Calibri" w:hAnsi="Calibri" w:eastAsia="Calibri"/>
          <w:b/>
          <w:i w:val="0"/>
          <w:color w:val="1A1A1A"/>
          <w:sz w:val="18"/>
        </w:rPr>
        <w:t xml:space="preserve">TrimedCast/Dockerfile (69 lines). </w:t>
      </w:r>
      <w:r>
        <w:rPr>
          <w:rFonts w:ascii="Calibri" w:hAnsi="Calibri" w:eastAsia="Calibri"/>
          <w:b w:val="0"/>
          <w:i/>
          <w:color w:val="1A1A1A"/>
          <w:sz w:val="18"/>
        </w:rPr>
        <w:t xml:space="preserve">Multi-stage Docker build: oven/bun:1.3 base, deps + builder + runner stages, non-root user, 30s healthcheck, ~150 MB final image. </w:t>
      </w:r>
      <w:r>
        <w:rPr>
          <w:rFonts w:ascii="Calibri" w:hAnsi="Calibri" w:eastAsia="Calibri"/>
          <w:b w:val="0"/>
          <w:i w:val="0"/>
          <w:color w:val="2E86C1"/>
          <w:sz w:val="18"/>
          <w:rStyle w:val="Hyperlink"/>
        </w:rPr>
        <w:t>trimedcast-analysis/Dockerfile</w:t>
      </w:r>
    </w:p>
    <w:p>
      <w:pPr>
        <w:spacing w:after="80" w:line="288" w:lineRule="auto"/>
        <w:ind w:left="425" w:hanging="425"/>
      </w:pPr>
      <w:r>
        <w:rPr>
          <w:rFonts w:ascii="Calibri" w:hAnsi="Calibri" w:eastAsia="Calibri"/>
          <w:b/>
          <w:i w:val="0"/>
          <w:color w:val="1F3A5F"/>
          <w:sz w:val="18"/>
        </w:rPr>
        <w:t xml:space="preserve">[5]  </w:t>
      </w:r>
      <w:r>
        <w:rPr>
          <w:rFonts w:ascii="Calibri" w:hAnsi="Calibri" w:eastAsia="Calibri"/>
          <w:b/>
          <w:i w:val="0"/>
          <w:color w:val="1A1A1A"/>
          <w:sz w:val="18"/>
        </w:rPr>
        <w:t xml:space="preserve">TrimedCast/docker-compose.yml (70 lines). </w:t>
      </w:r>
      <w:r>
        <w:rPr>
          <w:rFonts w:ascii="Calibri" w:hAnsi="Calibri" w:eastAsia="Calibri"/>
          <w:b w:val="0"/>
          <w:i/>
          <w:color w:val="1A1A1A"/>
          <w:sz w:val="18"/>
        </w:rPr>
        <w:t xml:space="preserve">Single trimedcast service, port 3000, persistent volumes for SQLite + uploads, optional Caddy reverse proxy. </w:t>
      </w:r>
      <w:r>
        <w:rPr>
          <w:rFonts w:ascii="Calibri" w:hAnsi="Calibri" w:eastAsia="Calibri"/>
          <w:b w:val="0"/>
          <w:i w:val="0"/>
          <w:color w:val="2E86C1"/>
          <w:sz w:val="18"/>
          <w:rStyle w:val="Hyperlink"/>
        </w:rPr>
        <w:t>trimedcast-analysis/docker-compose.yml</w:t>
      </w:r>
    </w:p>
    <w:p>
      <w:pPr>
        <w:spacing w:after="80" w:line="288" w:lineRule="auto"/>
        <w:ind w:left="425" w:hanging="425"/>
      </w:pPr>
      <w:r>
        <w:rPr>
          <w:rFonts w:ascii="Calibri" w:hAnsi="Calibri" w:eastAsia="Calibri"/>
          <w:b/>
          <w:i w:val="0"/>
          <w:color w:val="1F3A5F"/>
          <w:sz w:val="18"/>
        </w:rPr>
        <w:t xml:space="preserve">[6]  </w:t>
      </w:r>
      <w:r>
        <w:rPr>
          <w:rFonts w:ascii="Calibri" w:hAnsi="Calibri" w:eastAsia="Calibri"/>
          <w:b/>
          <w:i w:val="0"/>
          <w:color w:val="1A1A1A"/>
          <w:sz w:val="18"/>
        </w:rPr>
        <w:t xml:space="preserve">TrimedCast/Caddyfile.prod. </w:t>
      </w:r>
      <w:r>
        <w:rPr>
          <w:rFonts w:ascii="Calibri" w:hAnsi="Calibri" w:eastAsia="Calibri"/>
          <w:b w:val="0"/>
          <w:i/>
          <w:color w:val="1A1A1A"/>
          <w:sz w:val="18"/>
        </w:rPr>
        <w:t xml:space="preserve">Production HTTPS with automatic Let's Encrypt certificates, reverse proxy to localhost:3000. </w:t>
      </w:r>
      <w:r>
        <w:rPr>
          <w:rFonts w:ascii="Calibri" w:hAnsi="Calibri" w:eastAsia="Calibri"/>
          <w:b w:val="0"/>
          <w:i w:val="0"/>
          <w:color w:val="2E86C1"/>
          <w:sz w:val="18"/>
          <w:rStyle w:val="Hyperlink"/>
        </w:rPr>
        <w:t>trimedcast-analysis/Caddyfile.prod</w:t>
      </w:r>
    </w:p>
    <w:p>
      <w:pPr>
        <w:spacing w:after="80" w:line="288" w:lineRule="auto"/>
        <w:ind w:left="425" w:hanging="425"/>
      </w:pPr>
      <w:r>
        <w:rPr>
          <w:rFonts w:ascii="Calibri" w:hAnsi="Calibri" w:eastAsia="Calibri"/>
          <w:b/>
          <w:i w:val="0"/>
          <w:color w:val="1F3A5F"/>
          <w:sz w:val="18"/>
        </w:rPr>
        <w:t xml:space="preserve">[7]  </w:t>
      </w:r>
      <w:r>
        <w:rPr>
          <w:rFonts w:ascii="Calibri" w:hAnsi="Calibri" w:eastAsia="Calibri"/>
          <w:b/>
          <w:i w:val="0"/>
          <w:color w:val="1A1A1A"/>
          <w:sz w:val="18"/>
        </w:rPr>
        <w:t xml:space="preserve">TrimedCast/Forecasting Engine Specification.md (132 KB). </w:t>
      </w:r>
      <w:r>
        <w:rPr>
          <w:rFonts w:ascii="Calibri" w:hAnsi="Calibri" w:eastAsia="Calibri"/>
          <w:b w:val="0"/>
          <w:i/>
          <w:color w:val="1A1A1A"/>
          <w:sz w:val="18"/>
        </w:rPr>
        <w:t xml:space="preserve">Prophet-inspired TS forecasting, consensus pipeline, accuracy metrics, auto-recalibration, BD holiday effects, cold-start handling. </w:t>
      </w:r>
      <w:r>
        <w:rPr>
          <w:rFonts w:ascii="Calibri" w:hAnsi="Calibri" w:eastAsia="Calibri"/>
          <w:b w:val="0"/>
          <w:i w:val="0"/>
          <w:color w:val="2E86C1"/>
          <w:sz w:val="18"/>
          <w:rStyle w:val="Hyperlink"/>
        </w:rPr>
        <w:t>trimedcast-analysis/Forecasting Engine Specification.md</w:t>
      </w:r>
    </w:p>
    <w:p>
      <w:pPr>
        <w:spacing w:after="80" w:line="288" w:lineRule="auto"/>
        <w:ind w:left="425" w:hanging="425"/>
      </w:pPr>
      <w:r>
        <w:rPr>
          <w:rFonts w:ascii="Calibri" w:hAnsi="Calibri" w:eastAsia="Calibri"/>
          <w:b/>
          <w:i w:val="0"/>
          <w:color w:val="1F3A5F"/>
          <w:sz w:val="18"/>
        </w:rPr>
        <w:t xml:space="preserve">[8]  </w:t>
      </w:r>
      <w:r>
        <w:rPr>
          <w:rFonts w:ascii="Calibri" w:hAnsi="Calibri" w:eastAsia="Calibri"/>
          <w:b/>
          <w:i w:val="0"/>
          <w:color w:val="1A1A1A"/>
          <w:sz w:val="18"/>
        </w:rPr>
        <w:t xml:space="preserve">TrimedCast/Excel Import &amp; ETL Pipeline.md (27 KB). </w:t>
      </w:r>
      <w:r>
        <w:rPr>
          <w:rFonts w:ascii="Calibri" w:hAnsi="Calibri" w:eastAsia="Calibri"/>
          <w:b w:val="0"/>
          <w:i/>
          <w:color w:val="1A1A1A"/>
          <w:sz w:val="18"/>
        </w:rPr>
        <w:t xml:space="preserve">Six-stage ETL pipeline: parse, map, validate, harmonize, insert, quality-score; seven supported import types. </w:t>
      </w:r>
      <w:r>
        <w:rPr>
          <w:rFonts w:ascii="Calibri" w:hAnsi="Calibri" w:eastAsia="Calibri"/>
          <w:b w:val="0"/>
          <w:i w:val="0"/>
          <w:color w:val="2E86C1"/>
          <w:sz w:val="18"/>
          <w:rStyle w:val="Hyperlink"/>
        </w:rPr>
        <w:t>trimedcast-analysis/Excel Import &amp; ETL Pipeline.md</w:t>
      </w:r>
    </w:p>
    <w:p>
      <w:pPr>
        <w:spacing w:after="80" w:line="288" w:lineRule="auto"/>
        <w:ind w:left="425" w:hanging="425"/>
      </w:pPr>
      <w:r>
        <w:rPr>
          <w:rFonts w:ascii="Calibri" w:hAnsi="Calibri" w:eastAsia="Calibri"/>
          <w:b/>
          <w:i w:val="0"/>
          <w:color w:val="1F3A5F"/>
          <w:sz w:val="18"/>
        </w:rPr>
        <w:t xml:space="preserve">[9]  </w:t>
      </w:r>
      <w:r>
        <w:rPr>
          <w:rFonts w:ascii="Calibri" w:hAnsi="Calibri" w:eastAsia="Calibri"/>
          <w:b/>
          <w:i w:val="0"/>
          <w:color w:val="1A1A1A"/>
          <w:sz w:val="18"/>
        </w:rPr>
        <w:t xml:space="preserve">TrimedCast/Order Trigger &amp; Lead Time Logic.md (128 KB). </w:t>
      </w:r>
      <w:r>
        <w:rPr>
          <w:rFonts w:ascii="Calibri" w:hAnsi="Calibri" w:eastAsia="Calibri"/>
          <w:b w:val="0"/>
          <w:i/>
          <w:color w:val="1A1A1A"/>
          <w:sz w:val="18"/>
        </w:rPr>
        <w:t xml:space="preserve">Nine-step order trigger algorithm, lead-time decomposition, four CNY resolution strategies, five-milestone shipment timeline. </w:t>
      </w:r>
      <w:r>
        <w:rPr>
          <w:rFonts w:ascii="Calibri" w:hAnsi="Calibri" w:eastAsia="Calibri"/>
          <w:b w:val="0"/>
          <w:i w:val="0"/>
          <w:color w:val="2E86C1"/>
          <w:sz w:val="18"/>
          <w:rStyle w:val="Hyperlink"/>
        </w:rPr>
        <w:t>trimedcast-analysis/Order Trigger &amp; Lead Time Logic.md</w:t>
      </w:r>
    </w:p>
    <w:p>
      <w:pPr>
        <w:spacing w:after="80" w:line="288" w:lineRule="auto"/>
        <w:ind w:left="425" w:hanging="425"/>
      </w:pPr>
      <w:r>
        <w:rPr>
          <w:rFonts w:ascii="Calibri" w:hAnsi="Calibri" w:eastAsia="Calibri"/>
          <w:b/>
          <w:i w:val="0"/>
          <w:color w:val="1F3A5F"/>
          <w:sz w:val="18"/>
        </w:rPr>
        <w:t xml:space="preserve">[10]  </w:t>
      </w:r>
      <w:r>
        <w:rPr>
          <w:rFonts w:ascii="Calibri" w:hAnsi="Calibri" w:eastAsia="Calibri"/>
          <w:b/>
          <w:i w:val="0"/>
          <w:color w:val="1A1A1A"/>
          <w:sz w:val="18"/>
        </w:rPr>
        <w:t xml:space="preserve">TrimedCast/Multi-Tenancy &amp; SaaS Architecture.md (129 KB). </w:t>
      </w:r>
      <w:r>
        <w:rPr>
          <w:rFonts w:ascii="Calibri" w:hAnsi="Calibri" w:eastAsia="Calibri"/>
          <w:b w:val="0"/>
          <w:i/>
          <w:color w:val="1A1A1A"/>
          <w:sz w:val="18"/>
        </w:rPr>
        <w:t xml:space="preserve">Shared-database multi-tenancy, tenant lifecycle, per-tenant rate limits, tenant provisioning. </w:t>
      </w:r>
      <w:r>
        <w:rPr>
          <w:rFonts w:ascii="Calibri" w:hAnsi="Calibri" w:eastAsia="Calibri"/>
          <w:b w:val="0"/>
          <w:i w:val="0"/>
          <w:color w:val="2E86C1"/>
          <w:sz w:val="18"/>
          <w:rStyle w:val="Hyperlink"/>
        </w:rPr>
        <w:t>trimedcast-analysis/Multi-Tenancy &amp; SaaS Architecture.md</w:t>
      </w:r>
    </w:p>
    <w:p>
      <w:pPr>
        <w:spacing w:after="80" w:line="288" w:lineRule="auto"/>
        <w:ind w:left="425" w:hanging="425"/>
      </w:pPr>
      <w:r>
        <w:rPr>
          <w:rFonts w:ascii="Calibri" w:hAnsi="Calibri" w:eastAsia="Calibri"/>
          <w:b/>
          <w:i w:val="0"/>
          <w:color w:val="1F3A5F"/>
          <w:sz w:val="18"/>
        </w:rPr>
        <w:t xml:space="preserve">[11]  </w:t>
      </w:r>
      <w:r>
        <w:rPr>
          <w:rFonts w:ascii="Calibri" w:hAnsi="Calibri" w:eastAsia="Calibri"/>
          <w:b/>
          <w:i w:val="0"/>
          <w:color w:val="1A1A1A"/>
          <w:sz w:val="18"/>
        </w:rPr>
        <w:t xml:space="preserve">TrimedCast/RBAC &amp; Security Model.md (133 KB). </w:t>
      </w:r>
      <w:r>
        <w:rPr>
          <w:rFonts w:ascii="Calibri" w:hAnsi="Calibri" w:eastAsia="Calibri"/>
          <w:b w:val="0"/>
          <w:i/>
          <w:color w:val="1A1A1A"/>
          <w:sz w:val="18"/>
        </w:rPr>
        <w:t xml:space="preserve">Seven-role RBAC, permission matrix, field-level security, audit log, security events, 2FA specification (not implemented). </w:t>
      </w:r>
      <w:r>
        <w:rPr>
          <w:rFonts w:ascii="Calibri" w:hAnsi="Calibri" w:eastAsia="Calibri"/>
          <w:b w:val="0"/>
          <w:i w:val="0"/>
          <w:color w:val="2E86C1"/>
          <w:sz w:val="18"/>
          <w:rStyle w:val="Hyperlink"/>
        </w:rPr>
        <w:t>trimedcast-analysis/RBAC &amp; Security Model.md</w:t>
      </w:r>
    </w:p>
    <w:p>
      <w:pPr>
        <w:spacing w:after="80" w:line="288" w:lineRule="auto"/>
        <w:ind w:left="425" w:hanging="425"/>
      </w:pPr>
      <w:r>
        <w:rPr>
          <w:rFonts w:ascii="Calibri" w:hAnsi="Calibri" w:eastAsia="Calibri"/>
          <w:b/>
          <w:i w:val="0"/>
          <w:color w:val="1F3A5F"/>
          <w:sz w:val="18"/>
        </w:rPr>
        <w:t xml:space="preserve">[12]  </w:t>
      </w:r>
      <w:r>
        <w:rPr>
          <w:rFonts w:ascii="Calibri" w:hAnsi="Calibri" w:eastAsia="Calibri"/>
          <w:b/>
          <w:i w:val="0"/>
          <w:color w:val="1A1A1A"/>
          <w:sz w:val="18"/>
        </w:rPr>
        <w:t xml:space="preserve">TrimedCast/Data Dictionary &amp; Schema.md (35 KB). </w:t>
      </w:r>
      <w:r>
        <w:rPr>
          <w:rFonts w:ascii="Calibri" w:hAnsi="Calibri" w:eastAsia="Calibri"/>
          <w:b w:val="0"/>
          <w:i/>
          <w:color w:val="1A1A1A"/>
          <w:sz w:val="18"/>
        </w:rPr>
        <w:t xml:space="preserve">Full data dictionary for all 27 Prisma models with column definitions and relationships. </w:t>
      </w:r>
      <w:r>
        <w:rPr>
          <w:rFonts w:ascii="Calibri" w:hAnsi="Calibri" w:eastAsia="Calibri"/>
          <w:b w:val="0"/>
          <w:i w:val="0"/>
          <w:color w:val="2E86C1"/>
          <w:sz w:val="18"/>
          <w:rStyle w:val="Hyperlink"/>
        </w:rPr>
        <w:t>trimedcast-analysis/Data Dictionary &amp; Schema.md</w:t>
      </w:r>
    </w:p>
    <w:p>
      <w:pPr>
        <w:spacing w:after="80" w:line="288" w:lineRule="auto"/>
        <w:ind w:left="425" w:hanging="425"/>
      </w:pPr>
      <w:r>
        <w:rPr>
          <w:rFonts w:ascii="Calibri" w:hAnsi="Calibri" w:eastAsia="Calibri"/>
          <w:b/>
          <w:i w:val="0"/>
          <w:color w:val="1F3A5F"/>
          <w:sz w:val="18"/>
        </w:rPr>
        <w:t xml:space="preserve">[13]  </w:t>
      </w:r>
      <w:r>
        <w:rPr>
          <w:rFonts w:ascii="Calibri" w:hAnsi="Calibri" w:eastAsia="Calibri"/>
          <w:b/>
          <w:i w:val="0"/>
          <w:color w:val="1A1A1A"/>
          <w:sz w:val="18"/>
        </w:rPr>
        <w:t xml:space="preserve">TrimedCast/API Contract &amp; Integration Map.md (35 KB). </w:t>
      </w:r>
      <w:r>
        <w:rPr>
          <w:rFonts w:ascii="Calibri" w:hAnsi="Calibri" w:eastAsia="Calibri"/>
          <w:b w:val="0"/>
          <w:i/>
          <w:color w:val="1A1A1A"/>
          <w:sz w:val="18"/>
        </w:rPr>
        <w:t xml:space="preserve">175 API routes across /api/v1/* including imports, forecast, orders, soe, ai, webhooks, seasonality-types. </w:t>
      </w:r>
      <w:r>
        <w:rPr>
          <w:rFonts w:ascii="Calibri" w:hAnsi="Calibri" w:eastAsia="Calibri"/>
          <w:b w:val="0"/>
          <w:i w:val="0"/>
          <w:color w:val="2E86C1"/>
          <w:sz w:val="18"/>
          <w:rStyle w:val="Hyperlink"/>
        </w:rPr>
        <w:t>trimedcast-analysis/API Contract &amp; Integration Map.md</w:t>
      </w:r>
    </w:p>
    <w:p>
      <w:pPr>
        <w:spacing w:after="80" w:line="288" w:lineRule="auto"/>
        <w:ind w:left="425" w:hanging="425"/>
      </w:pPr>
      <w:r>
        <w:rPr>
          <w:rFonts w:ascii="Calibri" w:hAnsi="Calibri" w:eastAsia="Calibri"/>
          <w:b/>
          <w:i w:val="0"/>
          <w:color w:val="1F3A5F"/>
          <w:sz w:val="18"/>
        </w:rPr>
        <w:t xml:space="preserve">[14]  </w:t>
      </w:r>
      <w:r>
        <w:rPr>
          <w:rFonts w:ascii="Calibri" w:hAnsi="Calibri" w:eastAsia="Calibri"/>
          <w:b/>
          <w:i w:val="0"/>
          <w:color w:val="1A1A1A"/>
          <w:sz w:val="18"/>
        </w:rPr>
        <w:t xml:space="preserve">TrimedCast/Data Requirements &amp; Onboarding Checklist.md (100 KB). </w:t>
      </w:r>
      <w:r>
        <w:rPr>
          <w:rFonts w:ascii="Calibri" w:hAnsi="Calibri" w:eastAsia="Calibri"/>
          <w:b w:val="0"/>
          <w:i/>
          <w:color w:val="1A1A1A"/>
          <w:sz w:val="18"/>
        </w:rPr>
        <w:t xml:space="preserve">Per-import-type Excel column schemas, onboarding dependency order, data quality requirements. </w:t>
      </w:r>
      <w:r>
        <w:rPr>
          <w:rFonts w:ascii="Calibri" w:hAnsi="Calibri" w:eastAsia="Calibri"/>
          <w:b w:val="0"/>
          <w:i w:val="0"/>
          <w:color w:val="2E86C1"/>
          <w:sz w:val="18"/>
          <w:rStyle w:val="Hyperlink"/>
        </w:rPr>
        <w:t>trimedcast-analysis/Data Requirements &amp; Onboarding Checklist.md</w:t>
      </w:r>
    </w:p>
    <w:p>
      <w:pPr>
        <w:spacing w:after="80" w:line="288" w:lineRule="auto"/>
        <w:ind w:left="425" w:hanging="425"/>
      </w:pPr>
      <w:r>
        <w:rPr>
          <w:rFonts w:ascii="Calibri" w:hAnsi="Calibri" w:eastAsia="Calibri"/>
          <w:b/>
          <w:i w:val="0"/>
          <w:color w:val="1F3A5F"/>
          <w:sz w:val="18"/>
        </w:rPr>
        <w:t xml:space="preserve">[15]  </w:t>
      </w:r>
      <w:r>
        <w:rPr>
          <w:rFonts w:ascii="Calibri" w:hAnsi="Calibri" w:eastAsia="Calibri"/>
          <w:b/>
          <w:i w:val="0"/>
          <w:color w:val="1A1A1A"/>
          <w:sz w:val="18"/>
        </w:rPr>
        <w:t xml:space="preserve">TrimedCast/Session-wise Implementation Roadmap.md (16 KB). </w:t>
      </w:r>
      <w:r>
        <w:rPr>
          <w:rFonts w:ascii="Calibri" w:hAnsi="Calibri" w:eastAsia="Calibri"/>
          <w:b w:val="0"/>
          <w:i/>
          <w:color w:val="1A1A1A"/>
          <w:sz w:val="18"/>
        </w:rPr>
        <w:t xml:space="preserve">Session/festival calendar approach, BD seasonal patterns, custom SeasonalityType model. </w:t>
      </w:r>
      <w:r>
        <w:rPr>
          <w:rFonts w:ascii="Calibri" w:hAnsi="Calibri" w:eastAsia="Calibri"/>
          <w:b w:val="0"/>
          <w:i w:val="0"/>
          <w:color w:val="2E86C1"/>
          <w:sz w:val="18"/>
          <w:rStyle w:val="Hyperlink"/>
        </w:rPr>
        <w:t>trimedcast-analysis/Session-wise Implementation Roadmap.md</w:t>
      </w:r>
    </w:p>
    <w:p>
      <w:pPr>
        <w:spacing w:after="80" w:line="288" w:lineRule="auto"/>
        <w:ind w:left="425" w:hanging="425"/>
      </w:pPr>
      <w:r>
        <w:rPr>
          <w:rFonts w:ascii="Calibri" w:hAnsi="Calibri" w:eastAsia="Calibri"/>
          <w:b/>
          <w:i w:val="0"/>
          <w:color w:val="1F3A5F"/>
          <w:sz w:val="18"/>
        </w:rPr>
        <w:t xml:space="preserve">[16]  </w:t>
      </w:r>
      <w:r>
        <w:rPr>
          <w:rFonts w:ascii="Calibri" w:hAnsi="Calibri" w:eastAsia="Calibri"/>
          <w:b/>
          <w:i w:val="0"/>
          <w:color w:val="1A1A1A"/>
          <w:sz w:val="18"/>
        </w:rPr>
        <w:t xml:space="preserve">TrimedCast/TRIMEDECAST_SYSTEM.md (24 KB). </w:t>
      </w:r>
      <w:r>
        <w:rPr>
          <w:rFonts w:ascii="Calibri" w:hAnsi="Calibri" w:eastAsia="Calibri"/>
          <w:b w:val="0"/>
          <w:i/>
          <w:color w:val="1A1A1A"/>
          <w:sz w:val="18"/>
        </w:rPr>
        <w:t xml:space="preserve">System overview, naming etymology (Tri-Med-Cast), target user, BD market context. </w:t>
      </w:r>
      <w:r>
        <w:rPr>
          <w:rFonts w:ascii="Calibri" w:hAnsi="Calibri" w:eastAsia="Calibri"/>
          <w:b w:val="0"/>
          <w:i w:val="0"/>
          <w:color w:val="2E86C1"/>
          <w:sz w:val="18"/>
          <w:rStyle w:val="Hyperlink"/>
        </w:rPr>
        <w:t>trimedcast-analysis/TRIMEDECAST_SYSTEM.md</w:t>
      </w:r>
    </w:p>
    <w:p>
      <w:pPr>
        <w:spacing w:after="80" w:line="288" w:lineRule="auto"/>
        <w:ind w:left="425" w:hanging="425"/>
      </w:pPr>
      <w:r>
        <w:rPr>
          <w:rFonts w:ascii="Calibri" w:hAnsi="Calibri" w:eastAsia="Calibri"/>
          <w:b/>
          <w:i w:val="0"/>
          <w:color w:val="1F3A5F"/>
          <w:sz w:val="18"/>
        </w:rPr>
        <w:t xml:space="preserve">[17]  </w:t>
      </w:r>
      <w:r>
        <w:rPr>
          <w:rFonts w:ascii="Calibri" w:hAnsi="Calibri" w:eastAsia="Calibri"/>
          <w:b/>
          <w:i w:val="0"/>
          <w:color w:val="1A1A1A"/>
          <w:sz w:val="18"/>
        </w:rPr>
        <w:t xml:space="preserve">TrimedCast/TrimedCast-Deployment-Guide.md (28 KB, 899 lines). </w:t>
      </w:r>
      <w:r>
        <w:rPr>
          <w:rFonts w:ascii="Calibri" w:hAnsi="Calibri" w:eastAsia="Calibri"/>
          <w:b w:val="0"/>
          <w:i/>
          <w:color w:val="1A1A1A"/>
          <w:sz w:val="18"/>
        </w:rPr>
        <w:t xml:space="preserve">Seven-phase production deployment: dev setup, testing, build, server provisioning (Ubuntu + PostgreSQL 16 + Nginx + PM2), deploy, verify, harden. </w:t>
      </w:r>
      <w:r>
        <w:rPr>
          <w:rFonts w:ascii="Calibri" w:hAnsi="Calibri" w:eastAsia="Calibri"/>
          <w:b w:val="0"/>
          <w:i w:val="0"/>
          <w:color w:val="2E86C1"/>
          <w:sz w:val="18"/>
          <w:rStyle w:val="Hyperlink"/>
        </w:rPr>
        <w:t>trimedcast-analysis/TrimedCast-Deployment-Guide.md</w:t>
      </w:r>
    </w:p>
    <w:p>
      <w:pPr>
        <w:spacing w:after="80" w:line="288" w:lineRule="auto"/>
        <w:ind w:left="425" w:hanging="425"/>
      </w:pPr>
      <w:r>
        <w:rPr>
          <w:rFonts w:ascii="Calibri" w:hAnsi="Calibri" w:eastAsia="Calibri"/>
          <w:b/>
          <w:i w:val="0"/>
          <w:color w:val="1F3A5F"/>
          <w:sz w:val="18"/>
        </w:rPr>
        <w:t xml:space="preserve">[18]  </w:t>
      </w:r>
      <w:r>
        <w:rPr>
          <w:rFonts w:ascii="Calibri" w:hAnsi="Calibri" w:eastAsia="Calibri"/>
          <w:b/>
          <w:i w:val="0"/>
          <w:color w:val="1A1A1A"/>
          <w:sz w:val="18"/>
        </w:rPr>
        <w:t xml:space="preserve">TrimedCast/TrimedCast-Implementation-Roadmap.md (60 KB). </w:t>
      </w:r>
      <w:r>
        <w:rPr>
          <w:rFonts w:ascii="Calibri" w:hAnsi="Calibri" w:eastAsia="Calibri"/>
          <w:b w:val="0"/>
          <w:i/>
          <w:color w:val="1A1A1A"/>
          <w:sz w:val="18"/>
        </w:rPr>
        <w:t xml:space="preserve">Implementation progress tracker, feature completion status, gaps vs spec. </w:t>
      </w:r>
      <w:r>
        <w:rPr>
          <w:rFonts w:ascii="Calibri" w:hAnsi="Calibri" w:eastAsia="Calibri"/>
          <w:b w:val="0"/>
          <w:i w:val="0"/>
          <w:color w:val="2E86C1"/>
          <w:sz w:val="18"/>
          <w:rStyle w:val="Hyperlink"/>
        </w:rPr>
        <w:t>trimedcast-analysis/TrimedCast-Implementation-Roadmap.md</w:t>
      </w:r>
    </w:p>
    <w:p>
      <w:pPr>
        <w:spacing w:after="80" w:line="288" w:lineRule="auto"/>
        <w:ind w:left="425" w:hanging="425"/>
      </w:pPr>
      <w:r>
        <w:rPr>
          <w:rFonts w:ascii="Calibri" w:hAnsi="Calibri" w:eastAsia="Calibri"/>
          <w:b/>
          <w:i w:val="0"/>
          <w:color w:val="1F3A5F"/>
          <w:sz w:val="18"/>
        </w:rPr>
        <w:t xml:space="preserve">[19]  </w:t>
      </w:r>
      <w:r>
        <w:rPr>
          <w:rFonts w:ascii="Calibri" w:hAnsi="Calibri" w:eastAsia="Calibri"/>
          <w:b/>
          <w:i w:val="0"/>
          <w:color w:val="1A1A1A"/>
          <w:sz w:val="18"/>
        </w:rPr>
        <w:t xml:space="preserve">TrimedCast/TrimedCast-Guide.md (38 KB). </w:t>
      </w:r>
      <w:r>
        <w:rPr>
          <w:rFonts w:ascii="Calibri" w:hAnsi="Calibri" w:eastAsia="Calibri"/>
          <w:b w:val="0"/>
          <w:i/>
          <w:color w:val="1A1A1A"/>
          <w:sz w:val="18"/>
        </w:rPr>
        <w:t xml:space="preserve">User-facing guide for operating the system, dashboard walkthrough, workflow examples. </w:t>
      </w:r>
      <w:r>
        <w:rPr>
          <w:rFonts w:ascii="Calibri" w:hAnsi="Calibri" w:eastAsia="Calibri"/>
          <w:b w:val="0"/>
          <w:i w:val="0"/>
          <w:color w:val="2E86C1"/>
          <w:sz w:val="18"/>
          <w:rStyle w:val="Hyperlink"/>
        </w:rPr>
        <w:t>trimedcast-analysis/TrimedCast-Guide.md</w:t>
      </w:r>
    </w:p>
    <w:p>
      <w:pPr>
        <w:spacing w:after="80" w:line="288" w:lineRule="auto"/>
        <w:ind w:left="425" w:hanging="425"/>
      </w:pPr>
      <w:r>
        <w:rPr>
          <w:rFonts w:ascii="Calibri" w:hAnsi="Calibri" w:eastAsia="Calibri"/>
          <w:b/>
          <w:i w:val="0"/>
          <w:color w:val="1F3A5F"/>
          <w:sz w:val="18"/>
        </w:rPr>
        <w:t xml:space="preserve">[20]  </w:t>
      </w:r>
      <w:r>
        <w:rPr>
          <w:rFonts w:ascii="Calibri" w:hAnsi="Calibri" w:eastAsia="Calibri"/>
          <w:b/>
          <w:i w:val="0"/>
          <w:color w:val="1A1A1A"/>
          <w:sz w:val="18"/>
        </w:rPr>
        <w:t xml:space="preserve">TrimedCast/Project Requirements Document (PRD).md (9 KB). </w:t>
      </w:r>
      <w:r>
        <w:rPr>
          <w:rFonts w:ascii="Calibri" w:hAnsi="Calibri" w:eastAsia="Calibri"/>
          <w:b w:val="0"/>
          <w:i/>
          <w:color w:val="1A1A1A"/>
          <w:sz w:val="18"/>
        </w:rPr>
        <w:t xml:space="preserve">Original product requirements, six client-facing capabilities, success metrics. </w:t>
      </w:r>
      <w:r>
        <w:rPr>
          <w:rFonts w:ascii="Calibri" w:hAnsi="Calibri" w:eastAsia="Calibri"/>
          <w:b w:val="0"/>
          <w:i w:val="0"/>
          <w:color w:val="2E86C1"/>
          <w:sz w:val="18"/>
          <w:rStyle w:val="Hyperlink"/>
        </w:rPr>
        <w:t>trimedcast-analysis/Project Requirements Document (PRD)_ Integrated Seasonal Demand &amp; Inventory Forecasting System.md</w:t>
      </w:r>
    </w:p>
    <w:p>
      <w:pPr>
        <w:spacing w:after="80" w:line="288" w:lineRule="auto"/>
        <w:ind w:left="425" w:hanging="425"/>
      </w:pPr>
      <w:r>
        <w:rPr>
          <w:rFonts w:ascii="Calibri" w:hAnsi="Calibri" w:eastAsia="Calibri"/>
          <w:b/>
          <w:i w:val="0"/>
          <w:color w:val="1F3A5F"/>
          <w:sz w:val="18"/>
        </w:rPr>
        <w:t xml:space="preserve">[21]  </w:t>
      </w:r>
      <w:r>
        <w:rPr>
          <w:rFonts w:ascii="Calibri" w:hAnsi="Calibri" w:eastAsia="Calibri"/>
          <w:b/>
          <w:i w:val="0"/>
          <w:color w:val="1A1A1A"/>
          <w:sz w:val="18"/>
        </w:rPr>
        <w:t xml:space="preserve">TrimedCast/Technical Review.md (9 KB). </w:t>
      </w:r>
      <w:r>
        <w:rPr>
          <w:rFonts w:ascii="Calibri" w:hAnsi="Calibri" w:eastAsia="Calibri"/>
          <w:b w:val="0"/>
          <w:i/>
          <w:color w:val="1A1A1A"/>
          <w:sz w:val="18"/>
        </w:rPr>
        <w:t xml:space="preserve">Internal technical review, known gaps, divergence between spec and implementation. </w:t>
      </w:r>
      <w:r>
        <w:rPr>
          <w:rFonts w:ascii="Calibri" w:hAnsi="Calibri" w:eastAsia="Calibri"/>
          <w:b w:val="0"/>
          <w:i w:val="0"/>
          <w:color w:val="2E86C1"/>
          <w:sz w:val="18"/>
          <w:rStyle w:val="Hyperlink"/>
        </w:rPr>
        <w:t>trimedcast-analysis/Technical Review_ Integrated Seasonal Demand &amp; Inventory Forecasting System.md</w:t>
      </w:r>
    </w:p>
    <w:p>
      <w:pPr>
        <w:spacing w:after="80" w:line="288" w:lineRule="auto"/>
        <w:ind w:left="425" w:hanging="425"/>
      </w:pPr>
      <w:r>
        <w:rPr>
          <w:rFonts w:ascii="Calibri" w:hAnsi="Calibri" w:eastAsia="Calibri"/>
          <w:b/>
          <w:i w:val="0"/>
          <w:color w:val="1F3A5F"/>
          <w:sz w:val="18"/>
        </w:rPr>
        <w:t xml:space="preserve">[22]  </w:t>
      </w:r>
      <w:r>
        <w:rPr>
          <w:rFonts w:ascii="Calibri" w:hAnsi="Calibri" w:eastAsia="Calibri"/>
          <w:b/>
          <w:i w:val="0"/>
          <w:color w:val="1A1A1A"/>
          <w:sz w:val="18"/>
        </w:rPr>
        <w:t xml:space="preserve">src/lib/etl/excel-parser.ts (154 lines). </w:t>
      </w:r>
      <w:r>
        <w:rPr>
          <w:rFonts w:ascii="Calibri" w:hAnsi="Calibri" w:eastAsia="Calibri"/>
          <w:b w:val="0"/>
          <w:i/>
          <w:color w:val="1A1A1A"/>
          <w:sz w:val="18"/>
        </w:rPr>
        <w:t xml:space="preserve">xlsx/SheetJS parsing, auto-detect Excel date serial numbers, max 10 MB / 100k rows / 50 cols. </w:t>
      </w:r>
      <w:r>
        <w:rPr>
          <w:rFonts w:ascii="Calibri" w:hAnsi="Calibri" w:eastAsia="Calibri"/>
          <w:b w:val="0"/>
          <w:i w:val="0"/>
          <w:color w:val="2E86C1"/>
          <w:sz w:val="18"/>
          <w:rStyle w:val="Hyperlink"/>
        </w:rPr>
        <w:t>trimedcast-analysis/src/lib/etl/excel-parser.ts</w:t>
      </w:r>
    </w:p>
    <w:p>
      <w:pPr>
        <w:spacing w:after="80" w:line="288" w:lineRule="auto"/>
        <w:ind w:left="425" w:hanging="425"/>
      </w:pPr>
      <w:r>
        <w:rPr>
          <w:rFonts w:ascii="Calibri" w:hAnsi="Calibri" w:eastAsia="Calibri"/>
          <w:b/>
          <w:i w:val="0"/>
          <w:color w:val="1F3A5F"/>
          <w:sz w:val="18"/>
        </w:rPr>
        <w:t xml:space="preserve">[23]  </w:t>
      </w:r>
      <w:r>
        <w:rPr>
          <w:rFonts w:ascii="Calibri" w:hAnsi="Calibri" w:eastAsia="Calibri"/>
          <w:b/>
          <w:i w:val="0"/>
          <w:color w:val="1A1A1A"/>
          <w:sz w:val="18"/>
        </w:rPr>
        <w:t xml:space="preserve">src/lib/etl/column-mapper.ts (293 lines). </w:t>
      </w:r>
      <w:r>
        <w:rPr>
          <w:rFonts w:ascii="Calibri" w:hAnsi="Calibri" w:eastAsia="Calibri"/>
          <w:b w:val="0"/>
          <w:i/>
          <w:color w:val="1A1A1A"/>
          <w:sz w:val="18"/>
        </w:rPr>
        <w:t xml:space="preserve">Levenshtein-distance fuzzy header mapping, Bengali Unicode support, confidence scoring. </w:t>
      </w:r>
      <w:r>
        <w:rPr>
          <w:rFonts w:ascii="Calibri" w:hAnsi="Calibri" w:eastAsia="Calibri"/>
          <w:b w:val="0"/>
          <w:i w:val="0"/>
          <w:color w:val="2E86C1"/>
          <w:sz w:val="18"/>
          <w:rStyle w:val="Hyperlink"/>
        </w:rPr>
        <w:t>trimedcast-analysis/src/lib/etl/column-mapper.ts</w:t>
      </w:r>
    </w:p>
    <w:p>
      <w:pPr>
        <w:spacing w:after="80" w:line="288" w:lineRule="auto"/>
        <w:ind w:left="425" w:hanging="425"/>
      </w:pPr>
      <w:r>
        <w:rPr>
          <w:rFonts w:ascii="Calibri" w:hAnsi="Calibri" w:eastAsia="Calibri"/>
          <w:b/>
          <w:i w:val="0"/>
          <w:color w:val="1F3A5F"/>
          <w:sz w:val="18"/>
        </w:rPr>
        <w:t xml:space="preserve">[24]  </w:t>
      </w:r>
      <w:r>
        <w:rPr>
          <w:rFonts w:ascii="Calibri" w:hAnsi="Calibri" w:eastAsia="Calibri"/>
          <w:b/>
          <w:i w:val="0"/>
          <w:color w:val="1A1A1A"/>
          <w:sz w:val="18"/>
        </w:rPr>
        <w:t xml:space="preserve">src/lib/etl/validator.ts (577 lines). </w:t>
      </w:r>
      <w:r>
        <w:rPr>
          <w:rFonts w:ascii="Calibri" w:hAnsi="Calibri" w:eastAsia="Calibri"/>
          <w:b w:val="0"/>
          <w:i/>
          <w:color w:val="1A1A1A"/>
          <w:sz w:val="18"/>
        </w:rPr>
        <w:t xml:space="preserve">Three-phase validation: structural, type, business-logic. </w:t>
      </w:r>
      <w:r>
        <w:rPr>
          <w:rFonts w:ascii="Calibri" w:hAnsi="Calibri" w:eastAsia="Calibri"/>
          <w:b w:val="0"/>
          <w:i w:val="0"/>
          <w:color w:val="2E86C1"/>
          <w:sz w:val="18"/>
          <w:rStyle w:val="Hyperlink"/>
        </w:rPr>
        <w:t>trimedcast-analysis/src/lib/etl/validator.ts</w:t>
      </w:r>
    </w:p>
    <w:p>
      <w:pPr>
        <w:spacing w:after="80" w:line="288" w:lineRule="auto"/>
        <w:ind w:left="425" w:hanging="425"/>
      </w:pPr>
      <w:r>
        <w:rPr>
          <w:rFonts w:ascii="Calibri" w:hAnsi="Calibri" w:eastAsia="Calibri"/>
          <w:b/>
          <w:i w:val="0"/>
          <w:color w:val="1F3A5F"/>
          <w:sz w:val="18"/>
        </w:rPr>
        <w:t xml:space="preserve">[25]  </w:t>
      </w:r>
      <w:r>
        <w:rPr>
          <w:rFonts w:ascii="Calibri" w:hAnsi="Calibri" w:eastAsia="Calibri"/>
          <w:b/>
          <w:i w:val="0"/>
          <w:color w:val="1A1A1A"/>
          <w:sz w:val="18"/>
        </w:rPr>
        <w:t xml:space="preserve">src/lib/etl/harmonizer.ts (564 lines). </w:t>
      </w:r>
      <w:r>
        <w:rPr>
          <w:rFonts w:ascii="Calibri" w:hAnsi="Calibri" w:eastAsia="Calibri"/>
          <w:b w:val="0"/>
          <w:i/>
          <w:color w:val="1A1A1A"/>
          <w:sz w:val="18"/>
        </w:rPr>
        <w:t xml:space="preserve">Six-step harmonization: dedup, outlier, promo, gap-fill, season-tag, lead-time normalize. </w:t>
      </w:r>
      <w:r>
        <w:rPr>
          <w:rFonts w:ascii="Calibri" w:hAnsi="Calibri" w:eastAsia="Calibri"/>
          <w:b w:val="0"/>
          <w:i w:val="0"/>
          <w:color w:val="2E86C1"/>
          <w:sz w:val="18"/>
          <w:rStyle w:val="Hyperlink"/>
        </w:rPr>
        <w:t>trimedcast-analysis/src/lib/etl/harmonizer.ts</w:t>
      </w:r>
    </w:p>
    <w:p>
      <w:pPr>
        <w:spacing w:after="80" w:line="288" w:lineRule="auto"/>
        <w:ind w:left="425" w:hanging="425"/>
      </w:pPr>
      <w:r>
        <w:rPr>
          <w:rFonts w:ascii="Calibri" w:hAnsi="Calibri" w:eastAsia="Calibri"/>
          <w:b/>
          <w:i w:val="0"/>
          <w:color w:val="1F3A5F"/>
          <w:sz w:val="18"/>
        </w:rPr>
        <w:t xml:space="preserve">[26]  </w:t>
      </w:r>
      <w:r>
        <w:rPr>
          <w:rFonts w:ascii="Calibri" w:hAnsi="Calibri" w:eastAsia="Calibri"/>
          <w:b/>
          <w:i w:val="0"/>
          <w:color w:val="1A1A1A"/>
          <w:sz w:val="18"/>
        </w:rPr>
        <w:t xml:space="preserve">src/lib/forecasting/prophet-engine.ts (830 lines). </w:t>
      </w:r>
      <w:r>
        <w:rPr>
          <w:rFonts w:ascii="Calibri" w:hAnsi="Calibri" w:eastAsia="Calibri"/>
          <w:b w:val="0"/>
          <w:i/>
          <w:color w:val="1A1A1A"/>
          <w:sz w:val="18"/>
        </w:rPr>
        <w:t xml:space="preserve">Prophet-inspired TS implementation: Fourier series + OLS + changepoints + BD_HOLIDAY_EFFECTS + CNY multiplier. </w:t>
      </w:r>
      <w:r>
        <w:rPr>
          <w:rFonts w:ascii="Calibri" w:hAnsi="Calibri" w:eastAsia="Calibri"/>
          <w:b w:val="0"/>
          <w:i w:val="0"/>
          <w:color w:val="2E86C1"/>
          <w:sz w:val="18"/>
          <w:rStyle w:val="Hyperlink"/>
        </w:rPr>
        <w:t>trimedcast-analysis/src/lib/forecasting/prophet-engine.ts</w:t>
      </w:r>
    </w:p>
    <w:p>
      <w:pPr>
        <w:spacing w:after="80" w:line="288" w:lineRule="auto"/>
        <w:ind w:left="425" w:hanging="425"/>
      </w:pPr>
      <w:r>
        <w:rPr>
          <w:rFonts w:ascii="Calibri" w:hAnsi="Calibri" w:eastAsia="Calibri"/>
          <w:b/>
          <w:i w:val="0"/>
          <w:color w:val="1F3A5F"/>
          <w:sz w:val="18"/>
        </w:rPr>
        <w:t xml:space="preserve">[27]  </w:t>
      </w:r>
      <w:r>
        <w:rPr>
          <w:rFonts w:ascii="Calibri" w:hAnsi="Calibri" w:eastAsia="Calibri"/>
          <w:b/>
          <w:i w:val="0"/>
          <w:color w:val="1A1A1A"/>
          <w:sz w:val="18"/>
        </w:rPr>
        <w:t xml:space="preserve">src/lib/forecasting/consensus-engine.ts (964 lines). </w:t>
      </w:r>
      <w:r>
        <w:rPr>
          <w:rFonts w:ascii="Calibri" w:hAnsi="Calibri" w:eastAsia="Calibri"/>
          <w:b w:val="0"/>
          <w:i/>
          <w:color w:val="1A1A1A"/>
          <w:sz w:val="18"/>
        </w:rPr>
        <w:t xml:space="preserve">Five-step consensus pipeline: Prophet baseline + seasonal weights + marketing + manual override + 60/40 blend. </w:t>
      </w:r>
      <w:r>
        <w:rPr>
          <w:rFonts w:ascii="Calibri" w:hAnsi="Calibri" w:eastAsia="Calibri"/>
          <w:b w:val="0"/>
          <w:i w:val="0"/>
          <w:color w:val="2E86C1"/>
          <w:sz w:val="18"/>
          <w:rStyle w:val="Hyperlink"/>
        </w:rPr>
        <w:t>trimedcast-analysis/src/lib/forecasting/consensus-engine.ts</w:t>
      </w:r>
    </w:p>
    <w:p>
      <w:pPr>
        <w:spacing w:after="80" w:line="288" w:lineRule="auto"/>
        <w:ind w:left="425" w:hanging="425"/>
      </w:pPr>
      <w:r>
        <w:rPr>
          <w:rFonts w:ascii="Calibri" w:hAnsi="Calibri" w:eastAsia="Calibri"/>
          <w:b/>
          <w:i w:val="0"/>
          <w:color w:val="1F3A5F"/>
          <w:sz w:val="18"/>
        </w:rPr>
        <w:t xml:space="preserve">[28]  </w:t>
      </w:r>
      <w:r>
        <w:rPr>
          <w:rFonts w:ascii="Calibri" w:hAnsi="Calibri" w:eastAsia="Calibri"/>
          <w:b/>
          <w:i w:val="0"/>
          <w:color w:val="1A1A1A"/>
          <w:sz w:val="18"/>
        </w:rPr>
        <w:t xml:space="preserve">src/lib/forecasting/order-trigger.ts (1,212 lines). </w:t>
      </w:r>
      <w:r>
        <w:rPr>
          <w:rFonts w:ascii="Calibri" w:hAnsi="Calibri" w:eastAsia="Calibri"/>
          <w:b w:val="0"/>
          <w:i/>
          <w:color w:val="1A1A1A"/>
          <w:sz w:val="18"/>
        </w:rPr>
        <w:t xml:space="preserve">Nine-step order trigger algorithm, four CNY strategies, five-milestone timeline — marked 'THE SINGLE MOST VALUABLE ALGORITHM'. </w:t>
      </w:r>
      <w:r>
        <w:rPr>
          <w:rFonts w:ascii="Calibri" w:hAnsi="Calibri" w:eastAsia="Calibri"/>
          <w:b w:val="0"/>
          <w:i w:val="0"/>
          <w:color w:val="2E86C1"/>
          <w:sz w:val="18"/>
          <w:rStyle w:val="Hyperlink"/>
        </w:rPr>
        <w:t>trimedcast-analysis/src/lib/forecasting/order-trigger.ts</w:t>
      </w:r>
    </w:p>
    <w:p>
      <w:pPr>
        <w:spacing w:after="80" w:line="288" w:lineRule="auto"/>
        <w:ind w:left="425" w:hanging="425"/>
      </w:pPr>
      <w:r>
        <w:rPr>
          <w:rFonts w:ascii="Calibri" w:hAnsi="Calibri" w:eastAsia="Calibri"/>
          <w:b/>
          <w:i w:val="0"/>
          <w:color w:val="1F3A5F"/>
          <w:sz w:val="18"/>
        </w:rPr>
        <w:t xml:space="preserve">[29]  </w:t>
      </w:r>
      <w:r>
        <w:rPr>
          <w:rFonts w:ascii="Calibri" w:hAnsi="Calibri" w:eastAsia="Calibri"/>
          <w:b/>
          <w:i w:val="0"/>
          <w:color w:val="1A1A1A"/>
          <w:sz w:val="18"/>
        </w:rPr>
        <w:t xml:space="preserve">src/lib/forecasting/eoq-safety-stock.ts (900 lines). </w:t>
      </w:r>
      <w:r>
        <w:rPr>
          <w:rFonts w:ascii="Calibri" w:hAnsi="Calibri" w:eastAsia="Calibri"/>
          <w:b w:val="0"/>
          <w:i/>
          <w:color w:val="1A1A1A"/>
          <w:sz w:val="18"/>
        </w:rPr>
        <w:t xml:space="preserve">EOQ with three constraints, safety stock with MAE-based uncertainty, five-tier service-level Z-score table. </w:t>
      </w:r>
      <w:r>
        <w:rPr>
          <w:rFonts w:ascii="Calibri" w:hAnsi="Calibri" w:eastAsia="Calibri"/>
          <w:b w:val="0"/>
          <w:i w:val="0"/>
          <w:color w:val="2E86C1"/>
          <w:sz w:val="18"/>
          <w:rStyle w:val="Hyperlink"/>
        </w:rPr>
        <w:t>trimedcast-analysis/src/lib/forecasting/eoq-safety-stock.ts</w:t>
      </w:r>
    </w:p>
    <w:p>
      <w:pPr>
        <w:spacing w:after="80" w:line="288" w:lineRule="auto"/>
        <w:ind w:left="425" w:hanging="425"/>
      </w:pPr>
      <w:r>
        <w:rPr>
          <w:rFonts w:ascii="Calibri" w:hAnsi="Calibri" w:eastAsia="Calibri"/>
          <w:b/>
          <w:i w:val="0"/>
          <w:color w:val="1F3A5F"/>
          <w:sz w:val="18"/>
        </w:rPr>
        <w:t xml:space="preserve">[30]  </w:t>
      </w:r>
      <w:r>
        <w:rPr>
          <w:rFonts w:ascii="Calibri" w:hAnsi="Calibri" w:eastAsia="Calibri"/>
          <w:b/>
          <w:i w:val="0"/>
          <w:color w:val="1A1A1A"/>
          <w:sz w:val="18"/>
        </w:rPr>
        <w:t xml:space="preserve">src/lib/forecasting/auto-recalibration-engine.ts (1,200 lines). </w:t>
      </w:r>
      <w:r>
        <w:rPr>
          <w:rFonts w:ascii="Calibri" w:hAnsi="Calibri" w:eastAsia="Calibri"/>
          <w:b w:val="0"/>
          <w:i/>
          <w:color w:val="1A1A1A"/>
          <w:sz w:val="18"/>
        </w:rPr>
        <w:t xml:space="preserve">Weekly auto-recalibration: re-tune alpha, loosen changepoint prior, increase outlier sigma, flag for audit. </w:t>
      </w:r>
      <w:r>
        <w:rPr>
          <w:rFonts w:ascii="Calibri" w:hAnsi="Calibri" w:eastAsia="Calibri"/>
          <w:b w:val="0"/>
          <w:i w:val="0"/>
          <w:color w:val="2E86C1"/>
          <w:sz w:val="18"/>
          <w:rStyle w:val="Hyperlink"/>
        </w:rPr>
        <w:t>trimedcast-analysis/src/lib/forecasting/auto-recalibration-engine.ts</w:t>
      </w:r>
    </w:p>
    <w:p>
      <w:pPr>
        <w:spacing w:after="80" w:line="288" w:lineRule="auto"/>
        <w:ind w:left="425" w:hanging="425"/>
      </w:pPr>
      <w:r>
        <w:rPr>
          <w:rFonts w:ascii="Calibri" w:hAnsi="Calibri" w:eastAsia="Calibri"/>
          <w:b/>
          <w:i w:val="0"/>
          <w:color w:val="1F3A5F"/>
          <w:sz w:val="18"/>
        </w:rPr>
        <w:t xml:space="preserve">[31]  </w:t>
      </w:r>
      <w:r>
        <w:rPr>
          <w:rFonts w:ascii="Calibri" w:hAnsi="Calibri" w:eastAsia="Calibri"/>
          <w:b/>
          <w:i w:val="0"/>
          <w:color w:val="1A1A1A"/>
          <w:sz w:val="18"/>
        </w:rPr>
        <w:t xml:space="preserve">src/lib/forecasting/models.ts (589 lines). </w:t>
      </w:r>
      <w:r>
        <w:rPr>
          <w:rFonts w:ascii="Calibri" w:hAnsi="Calibri" w:eastAsia="Calibri"/>
          <w:b w:val="0"/>
          <w:i/>
          <w:color w:val="1A1A1A"/>
          <w:sz w:val="18"/>
        </w:rPr>
        <w:t xml:space="preserve">Accuracy metrics: MAPE, MAE, MSE, RMSE, Bias; five-tier MAPE rating scale. </w:t>
      </w:r>
      <w:r>
        <w:rPr>
          <w:rFonts w:ascii="Calibri" w:hAnsi="Calibri" w:eastAsia="Calibri"/>
          <w:b w:val="0"/>
          <w:i w:val="0"/>
          <w:color w:val="2E86C1"/>
          <w:sz w:val="18"/>
          <w:rStyle w:val="Hyperlink"/>
        </w:rPr>
        <w:t>trimedcast-analysis/src/lib/forecasting/models.ts</w:t>
      </w:r>
    </w:p>
    <w:p>
      <w:pPr>
        <w:spacing w:after="80" w:line="288" w:lineRule="auto"/>
        <w:ind w:left="425" w:hanging="425"/>
      </w:pPr>
      <w:r>
        <w:rPr>
          <w:rFonts w:ascii="Calibri" w:hAnsi="Calibri" w:eastAsia="Calibri"/>
          <w:b/>
          <w:i w:val="0"/>
          <w:color w:val="1F3A5F"/>
          <w:sz w:val="18"/>
        </w:rPr>
        <w:t xml:space="preserve">[32]  </w:t>
      </w:r>
      <w:r>
        <w:rPr>
          <w:rFonts w:ascii="Calibri" w:hAnsi="Calibri" w:eastAsia="Calibri"/>
          <w:b/>
          <w:i w:val="0"/>
          <w:color w:val="1A1A1A"/>
          <w:sz w:val="18"/>
        </w:rPr>
        <w:t xml:space="preserve">src/lib/auth/session-store.ts. </w:t>
      </w:r>
      <w:r>
        <w:rPr>
          <w:rFonts w:ascii="Calibri" w:hAnsi="Calibri" w:eastAsia="Calibri"/>
          <w:b w:val="0"/>
          <w:i/>
          <w:color w:val="1A1A1A"/>
          <w:sz w:val="18"/>
        </w:rPr>
        <w:t xml:space="preserve">Custom DB-backed UserSession model with token, expiresAt, ipAddress, userAgent. </w:t>
      </w:r>
      <w:r>
        <w:rPr>
          <w:rFonts w:ascii="Calibri" w:hAnsi="Calibri" w:eastAsia="Calibri"/>
          <w:b w:val="0"/>
          <w:i w:val="0"/>
          <w:color w:val="2E86C1"/>
          <w:sz w:val="18"/>
          <w:rStyle w:val="Hyperlink"/>
        </w:rPr>
        <w:t>trimedcast-analysis/src/lib/auth/session-store.ts</w:t>
      </w:r>
    </w:p>
    <w:p>
      <w:pPr>
        <w:spacing w:after="80" w:line="288" w:lineRule="auto"/>
        <w:ind w:left="425" w:hanging="425"/>
      </w:pPr>
      <w:r>
        <w:rPr>
          <w:rFonts w:ascii="Calibri" w:hAnsi="Calibri" w:eastAsia="Calibri"/>
          <w:b/>
          <w:i w:val="0"/>
          <w:color w:val="1F3A5F"/>
          <w:sz w:val="18"/>
        </w:rPr>
        <w:t xml:space="preserve">[33]  </w:t>
      </w:r>
      <w:r>
        <w:rPr>
          <w:rFonts w:ascii="Calibri" w:hAnsi="Calibri" w:eastAsia="Calibri"/>
          <w:b/>
          <w:i w:val="0"/>
          <w:color w:val="1A1A1A"/>
          <w:sz w:val="18"/>
        </w:rPr>
        <w:t xml:space="preserve">src/lib/auth/otp.ts. </w:t>
      </w:r>
      <w:r>
        <w:rPr>
          <w:rFonts w:ascii="Calibri" w:hAnsi="Calibri" w:eastAsia="Calibri"/>
          <w:b w:val="0"/>
          <w:i/>
          <w:color w:val="1A1A1A"/>
          <w:sz w:val="18"/>
        </w:rPr>
        <w:t xml:space="preserve">6-digit OTP verification, 5-minute expiry, max 3 attempts, used for signup/login/reset/invite. </w:t>
      </w:r>
      <w:r>
        <w:rPr>
          <w:rFonts w:ascii="Calibri" w:hAnsi="Calibri" w:eastAsia="Calibri"/>
          <w:b w:val="0"/>
          <w:i w:val="0"/>
          <w:color w:val="2E86C1"/>
          <w:sz w:val="18"/>
          <w:rStyle w:val="Hyperlink"/>
        </w:rPr>
        <w:t>trimedcast-analysis/src/lib/auth/otp.ts</w:t>
      </w:r>
    </w:p>
    <w:p>
      <w:pPr>
        <w:spacing w:after="80" w:line="288" w:lineRule="auto"/>
        <w:ind w:left="425" w:hanging="425"/>
      </w:pPr>
      <w:r>
        <w:rPr>
          <w:rFonts w:ascii="Calibri" w:hAnsi="Calibri" w:eastAsia="Calibri"/>
          <w:b/>
          <w:i w:val="0"/>
          <w:color w:val="1F3A5F"/>
          <w:sz w:val="18"/>
        </w:rPr>
        <w:t xml:space="preserve">[34]  </w:t>
      </w:r>
      <w:r>
        <w:rPr>
          <w:rFonts w:ascii="Calibri" w:hAnsi="Calibri" w:eastAsia="Calibri"/>
          <w:b/>
          <w:i w:val="0"/>
          <w:color w:val="1A1A1A"/>
          <w:sz w:val="18"/>
        </w:rPr>
        <w:t xml:space="preserve">src/lib/payment/bkash.ts. </w:t>
      </w:r>
      <w:r>
        <w:rPr>
          <w:rFonts w:ascii="Calibri" w:hAnsi="Calibri" w:eastAsia="Calibri"/>
          <w:b w:val="0"/>
          <w:i/>
          <w:color w:val="1A1A1A"/>
          <w:sz w:val="18"/>
        </w:rPr>
        <w:t xml:space="preserve">bKash payment gateway integration (BD's dominant mobile financial service). </w:t>
      </w:r>
      <w:r>
        <w:rPr>
          <w:rFonts w:ascii="Calibri" w:hAnsi="Calibri" w:eastAsia="Calibri"/>
          <w:b w:val="0"/>
          <w:i w:val="0"/>
          <w:color w:val="2E86C1"/>
          <w:sz w:val="18"/>
          <w:rStyle w:val="Hyperlink"/>
        </w:rPr>
        <w:t>trimedcast-analysis/src/lib/payment/bkash.ts</w:t>
      </w:r>
    </w:p>
    <w:p>
      <w:pPr>
        <w:spacing w:after="80" w:line="288" w:lineRule="auto"/>
        <w:ind w:left="425" w:hanging="425"/>
      </w:pPr>
      <w:r>
        <w:rPr>
          <w:rFonts w:ascii="Calibri" w:hAnsi="Calibri" w:eastAsia="Calibri"/>
          <w:b/>
          <w:i w:val="0"/>
          <w:color w:val="1F3A5F"/>
          <w:sz w:val="18"/>
        </w:rPr>
        <w:t xml:space="preserve">[35]  </w:t>
      </w:r>
      <w:r>
        <w:rPr>
          <w:rFonts w:ascii="Calibri" w:hAnsi="Calibri" w:eastAsia="Calibri"/>
          <w:b/>
          <w:i w:val="0"/>
          <w:color w:val="1A1A1A"/>
          <w:sz w:val="18"/>
        </w:rPr>
        <w:t xml:space="preserve">src/lib/payment/nagad.ts. </w:t>
      </w:r>
      <w:r>
        <w:rPr>
          <w:rFonts w:ascii="Calibri" w:hAnsi="Calibri" w:eastAsia="Calibri"/>
          <w:b w:val="0"/>
          <w:i/>
          <w:color w:val="1A1A1A"/>
          <w:sz w:val="18"/>
        </w:rPr>
        <w:t xml:space="preserve">Nagad (postal mobile banking) payment gateway integration. </w:t>
      </w:r>
      <w:r>
        <w:rPr>
          <w:rFonts w:ascii="Calibri" w:hAnsi="Calibri" w:eastAsia="Calibri"/>
          <w:b w:val="0"/>
          <w:i w:val="0"/>
          <w:color w:val="2E86C1"/>
          <w:sz w:val="18"/>
          <w:rStyle w:val="Hyperlink"/>
        </w:rPr>
        <w:t>trimedcast-analysis/src/lib/payment/nagad.ts</w:t>
      </w:r>
    </w:p>
    <w:p>
      <w:pPr>
        <w:spacing w:after="80" w:line="288" w:lineRule="auto"/>
        <w:ind w:left="425" w:hanging="425"/>
      </w:pPr>
      <w:r>
        <w:rPr>
          <w:rFonts w:ascii="Calibri" w:hAnsi="Calibri" w:eastAsia="Calibri"/>
          <w:b/>
          <w:i w:val="0"/>
          <w:color w:val="1F3A5F"/>
          <w:sz w:val="18"/>
        </w:rPr>
        <w:t xml:space="preserve">[36]  </w:t>
      </w:r>
      <w:r>
        <w:rPr>
          <w:rFonts w:ascii="Calibri" w:hAnsi="Calibri" w:eastAsia="Calibri"/>
          <w:b/>
          <w:i w:val="0"/>
          <w:color w:val="1A1A1A"/>
          <w:sz w:val="18"/>
        </w:rPr>
        <w:t xml:space="preserve">src/lib/payment/sslcommerz.ts. </w:t>
      </w:r>
      <w:r>
        <w:rPr>
          <w:rFonts w:ascii="Calibri" w:hAnsi="Calibri" w:eastAsia="Calibri"/>
          <w:b w:val="0"/>
          <w:i/>
          <w:color w:val="1A1A1A"/>
          <w:sz w:val="18"/>
        </w:rPr>
        <w:t xml:space="preserve">SSLCommerz BD payment aggregator with IPN webhook handling. </w:t>
      </w:r>
      <w:r>
        <w:rPr>
          <w:rFonts w:ascii="Calibri" w:hAnsi="Calibri" w:eastAsia="Calibri"/>
          <w:b w:val="0"/>
          <w:i w:val="0"/>
          <w:color w:val="2E86C1"/>
          <w:sz w:val="18"/>
          <w:rStyle w:val="Hyperlink"/>
        </w:rPr>
        <w:t>trimedcast-analysis/src/lib/payment/sslcommerz.ts</w:t>
      </w:r>
    </w:p>
    <w:p>
      <w:pPr>
        <w:spacing w:after="80" w:line="288" w:lineRule="auto"/>
        <w:ind w:left="425" w:hanging="425"/>
      </w:pPr>
      <w:r>
        <w:rPr>
          <w:rFonts w:ascii="Calibri" w:hAnsi="Calibri" w:eastAsia="Calibri"/>
          <w:b/>
          <w:i w:val="0"/>
          <w:color w:val="1F3A5F"/>
          <w:sz w:val="18"/>
        </w:rPr>
        <w:t xml:space="preserve">[37]  </w:t>
      </w:r>
      <w:r>
        <w:rPr>
          <w:rFonts w:ascii="Calibri" w:hAnsi="Calibri" w:eastAsia="Calibri"/>
          <w:b/>
          <w:i w:val="0"/>
          <w:color w:val="1A1A1A"/>
          <w:sz w:val="18"/>
        </w:rPr>
        <w:t xml:space="preserve">src/components/finance/customs-calculator.tsx. </w:t>
      </w:r>
      <w:r>
        <w:rPr>
          <w:rFonts w:ascii="Calibri" w:hAnsi="Calibri" w:eastAsia="Calibri"/>
          <w:b w:val="0"/>
          <w:i/>
          <w:color w:val="1A1A1A"/>
          <w:sz w:val="18"/>
        </w:rPr>
        <w:t xml:space="preserve">BD customs calculator: Duty + Supplementary Duty + VAT (15% on CIF+CD+SD) + AIT, with HS-code lookup. </w:t>
      </w:r>
      <w:r>
        <w:rPr>
          <w:rFonts w:ascii="Calibri" w:hAnsi="Calibri" w:eastAsia="Calibri"/>
          <w:b w:val="0"/>
          <w:i w:val="0"/>
          <w:color w:val="2E86C1"/>
          <w:sz w:val="18"/>
          <w:rStyle w:val="Hyperlink"/>
        </w:rPr>
        <w:t>trimedcast-analysis/src/components/finance/customs-calculator.tsx</w:t>
      </w:r>
    </w:p>
    <w:p>
      <w:pPr>
        <w:spacing w:after="80" w:line="288" w:lineRule="auto"/>
        <w:ind w:left="425" w:hanging="425"/>
      </w:pPr>
      <w:r>
        <w:rPr>
          <w:rFonts w:ascii="Calibri" w:hAnsi="Calibri" w:eastAsia="Calibri"/>
          <w:b/>
          <w:i w:val="0"/>
          <w:color w:val="1F3A5F"/>
          <w:sz w:val="18"/>
        </w:rPr>
        <w:t xml:space="preserve">[38]  </w:t>
      </w:r>
      <w:r>
        <w:rPr>
          <w:rFonts w:ascii="Calibri" w:hAnsi="Calibri" w:eastAsia="Calibri"/>
          <w:b/>
          <w:i w:val="0"/>
          <w:color w:val="1A1A1A"/>
          <w:sz w:val="18"/>
        </w:rPr>
        <w:t xml:space="preserve">src/components/forecast/sea-vs-air-comparison.tsx. </w:t>
      </w:r>
      <w:r>
        <w:rPr>
          <w:rFonts w:ascii="Calibri" w:hAnsi="Calibri" w:eastAsia="Calibri"/>
          <w:b w:val="0"/>
          <w:i/>
          <w:color w:val="1A1A1A"/>
          <w:sz w:val="18"/>
        </w:rPr>
        <w:t xml:space="preserve">Side-by-side air vs sea freight comparison UI (lead-time + cost-per-unit trade-off). </w:t>
      </w:r>
      <w:r>
        <w:rPr>
          <w:rFonts w:ascii="Calibri" w:hAnsi="Calibri" w:eastAsia="Calibri"/>
          <w:b w:val="0"/>
          <w:i w:val="0"/>
          <w:color w:val="2E86C1"/>
          <w:sz w:val="18"/>
          <w:rStyle w:val="Hyperlink"/>
        </w:rPr>
        <w:t>trimedcast-analysis/src/components/forecast/sea-vs-air-comparison.tsx</w:t>
      </w:r>
    </w:p>
    <w:p>
      <w:pPr>
        <w:spacing w:after="80" w:line="288" w:lineRule="auto"/>
        <w:ind w:left="425" w:hanging="425"/>
      </w:pPr>
      <w:r>
        <w:rPr>
          <w:rFonts w:ascii="Calibri" w:hAnsi="Calibri" w:eastAsia="Calibri"/>
          <w:b/>
          <w:i w:val="0"/>
          <w:color w:val="1F3A5F"/>
          <w:sz w:val="18"/>
        </w:rPr>
        <w:t xml:space="preserve">[39]  </w:t>
      </w:r>
      <w:r>
        <w:rPr>
          <w:rFonts w:ascii="Calibri" w:hAnsi="Calibri" w:eastAsia="Calibri"/>
          <w:b/>
          <w:i w:val="0"/>
          <w:color w:val="1A1A1A"/>
          <w:sz w:val="18"/>
        </w:rPr>
        <w:t xml:space="preserve">src/app/api/ai/scenario-preview/route.ts. </w:t>
      </w:r>
      <w:r>
        <w:rPr>
          <w:rFonts w:ascii="Calibri" w:hAnsi="Calibri" w:eastAsia="Calibri"/>
          <w:b w:val="0"/>
          <w:i/>
          <w:color w:val="1A1A1A"/>
          <w:sz w:val="18"/>
        </w:rPr>
        <w:t xml:space="preserve">LLM-powered scenario preview: 'what if I switch this SKU from sea to air?' — quantifies lead-time, safety-stock, cost trade-off. </w:t>
      </w:r>
      <w:r>
        <w:rPr>
          <w:rFonts w:ascii="Calibri" w:hAnsi="Calibri" w:eastAsia="Calibri"/>
          <w:b w:val="0"/>
          <w:i w:val="0"/>
          <w:color w:val="2E86C1"/>
          <w:sz w:val="18"/>
          <w:rStyle w:val="Hyperlink"/>
        </w:rPr>
        <w:t>trimedcast-analysis/src/app/api/ai/scenario-preview</w:t>
      </w:r>
    </w:p>
    <w:p>
      <w:pPr>
        <w:spacing w:after="80" w:line="288" w:lineRule="auto"/>
        <w:ind w:left="425" w:hanging="425"/>
      </w:pPr>
      <w:r>
        <w:rPr>
          <w:rFonts w:ascii="Calibri" w:hAnsi="Calibri" w:eastAsia="Calibri"/>
          <w:b/>
          <w:i w:val="0"/>
          <w:color w:val="1F3A5F"/>
          <w:sz w:val="18"/>
        </w:rPr>
        <w:t xml:space="preserve">[40]  </w:t>
      </w:r>
      <w:r>
        <w:rPr>
          <w:rFonts w:ascii="Calibri" w:hAnsi="Calibri" w:eastAsia="Calibri"/>
          <w:b/>
          <w:i w:val="0"/>
          <w:color w:val="1A1A1A"/>
          <w:sz w:val="18"/>
        </w:rPr>
        <w:t xml:space="preserve">src/lib/tenant-resolver.ts. </w:t>
      </w:r>
      <w:r>
        <w:rPr>
          <w:rFonts w:ascii="Calibri" w:hAnsi="Calibri" w:eastAsia="Calibri"/>
          <w:b w:val="0"/>
          <w:i/>
          <w:color w:val="1A1A1A"/>
          <w:sz w:val="18"/>
        </w:rPr>
        <w:t xml:space="preserve">Tenant resolution: authenticated from session, unauthenticated from X-Tenant-ID header or subdomain. </w:t>
      </w:r>
      <w:r>
        <w:rPr>
          <w:rFonts w:ascii="Calibri" w:hAnsi="Calibri" w:eastAsia="Calibri"/>
          <w:b w:val="0"/>
          <w:i w:val="0"/>
          <w:color w:val="2E86C1"/>
          <w:sz w:val="18"/>
          <w:rStyle w:val="Hyperlink"/>
        </w:rPr>
        <w:t>trimedcast-analysis/src/lib/tenant-resolver.ts</w:t>
      </w:r>
    </w:p>
    <w:p>
      <w:pPr>
        <w:spacing w:after="80" w:line="288" w:lineRule="auto"/>
        <w:ind w:left="425" w:hanging="425"/>
      </w:pPr>
      <w:r>
        <w:rPr>
          <w:rFonts w:ascii="Calibri" w:hAnsi="Calibri" w:eastAsia="Calibri"/>
          <w:b/>
          <w:i w:val="0"/>
          <w:color w:val="1F3A5F"/>
          <w:sz w:val="18"/>
        </w:rPr>
        <w:t xml:space="preserve">[41]  </w:t>
      </w:r>
      <w:r>
        <w:rPr>
          <w:rFonts w:ascii="Calibri" w:hAnsi="Calibri" w:eastAsia="Calibri"/>
          <w:b/>
          <w:i w:val="0"/>
          <w:color w:val="1A1A1A"/>
          <w:sz w:val="18"/>
        </w:rPr>
        <w:t xml:space="preserve">src/lib/api/rbac.ts. </w:t>
      </w:r>
      <w:r>
        <w:rPr>
          <w:rFonts w:ascii="Calibri" w:hAnsi="Calibri" w:eastAsia="Calibri"/>
          <w:b w:val="0"/>
          <w:i/>
          <w:color w:val="1A1A1A"/>
          <w:sz w:val="18"/>
        </w:rPr>
        <w:t xml:space="preserve">Seven-role RBAC enforcement: resource-by-action permission matrix. </w:t>
      </w:r>
      <w:r>
        <w:rPr>
          <w:rFonts w:ascii="Calibri" w:hAnsi="Calibri" w:eastAsia="Calibri"/>
          <w:b w:val="0"/>
          <w:i w:val="0"/>
          <w:color w:val="2E86C1"/>
          <w:sz w:val="18"/>
          <w:rStyle w:val="Hyperlink"/>
        </w:rPr>
        <w:t>trimedcast-analysis/src/lib/api/rbac.ts</w:t>
      </w:r>
    </w:p>
    <w:p>
      <w:pPr>
        <w:spacing w:after="80" w:line="288" w:lineRule="auto"/>
        <w:ind w:left="425" w:hanging="425"/>
      </w:pPr>
      <w:r>
        <w:rPr>
          <w:rFonts w:ascii="Calibri" w:hAnsi="Calibri" w:eastAsia="Calibri"/>
          <w:b/>
          <w:i w:val="0"/>
          <w:color w:val="1F3A5F"/>
          <w:sz w:val="18"/>
        </w:rPr>
        <w:t xml:space="preserve">[42]  </w:t>
      </w:r>
      <w:r>
        <w:rPr>
          <w:rFonts w:ascii="Calibri" w:hAnsi="Calibri" w:eastAsia="Calibri"/>
          <w:b/>
          <w:i w:val="0"/>
          <w:color w:val="1A1A1A"/>
          <w:sz w:val="18"/>
        </w:rPr>
        <w:t xml:space="preserve">src/lib/api/field-security.ts. </w:t>
      </w:r>
      <w:r>
        <w:rPr>
          <w:rFonts w:ascii="Calibri" w:hAnsi="Calibri" w:eastAsia="Calibri"/>
          <w:b w:val="0"/>
          <w:i/>
          <w:color w:val="1A1A1A"/>
          <w:sz w:val="18"/>
        </w:rPr>
        <w:t xml:space="preserve">Field-level security: strips unit_cost_bdt, supplier_contract_terms, margin_bdt for unauthorized roles. </w:t>
      </w:r>
      <w:r>
        <w:rPr>
          <w:rFonts w:ascii="Calibri" w:hAnsi="Calibri" w:eastAsia="Calibri"/>
          <w:b w:val="0"/>
          <w:i w:val="0"/>
          <w:color w:val="2E86C1"/>
          <w:sz w:val="18"/>
          <w:rStyle w:val="Hyperlink"/>
        </w:rPr>
        <w:t>trimedcast-analysis/src/lib/api/field-security.ts</w:t>
      </w:r>
    </w:p>
    <w:p>
      <w:pPr>
        <w:spacing w:after="80" w:line="288" w:lineRule="auto"/>
        <w:ind w:left="425" w:hanging="425"/>
      </w:pPr>
      <w:r>
        <w:rPr>
          <w:rFonts w:ascii="Calibri" w:hAnsi="Calibri" w:eastAsia="Calibri"/>
          <w:b/>
          <w:i w:val="0"/>
          <w:color w:val="1F3A5F"/>
          <w:sz w:val="18"/>
        </w:rPr>
        <w:t xml:space="preserve">[43]  </w:t>
      </w:r>
      <w:r>
        <w:rPr>
          <w:rFonts w:ascii="Calibri" w:hAnsi="Calibri" w:eastAsia="Calibri"/>
          <w:b/>
          <w:i w:val="0"/>
          <w:color w:val="1A1A1A"/>
          <w:sz w:val="18"/>
        </w:rPr>
        <w:t xml:space="preserve">src/lib/api/audit.ts. </w:t>
      </w:r>
      <w:r>
        <w:rPr>
          <w:rFonts w:ascii="Calibri" w:hAnsi="Calibri" w:eastAsia="Calibri"/>
          <w:b w:val="0"/>
          <w:i/>
          <w:color w:val="1A1A1A"/>
          <w:sz w:val="18"/>
        </w:rPr>
        <w:t xml:space="preserve">AuditLog: append-only action/entity/before-after/IP/timestamp for every mutation. </w:t>
      </w:r>
      <w:r>
        <w:rPr>
          <w:rFonts w:ascii="Calibri" w:hAnsi="Calibri" w:eastAsia="Calibri"/>
          <w:b w:val="0"/>
          <w:i w:val="0"/>
          <w:color w:val="2E86C1"/>
          <w:sz w:val="18"/>
          <w:rStyle w:val="Hyperlink"/>
        </w:rPr>
        <w:t>trimedcast-analysis/src/lib/api/audit.ts</w:t>
      </w:r>
    </w:p>
    <w:p>
      <w:pPr>
        <w:spacing w:after="80" w:line="288" w:lineRule="auto"/>
        <w:ind w:left="425" w:hanging="425"/>
      </w:pPr>
      <w:r>
        <w:rPr>
          <w:rFonts w:ascii="Calibri" w:hAnsi="Calibri" w:eastAsia="Calibri"/>
          <w:b/>
          <w:i w:val="0"/>
          <w:color w:val="1F3A5F"/>
          <w:sz w:val="18"/>
        </w:rPr>
        <w:t xml:space="preserve">[44]  </w:t>
      </w:r>
      <w:r>
        <w:rPr>
          <w:rFonts w:ascii="Calibri" w:hAnsi="Calibri" w:eastAsia="Calibri"/>
          <w:b/>
          <w:i w:val="0"/>
          <w:color w:val="1A1A1A"/>
          <w:sz w:val="18"/>
        </w:rPr>
        <w:t xml:space="preserve">Prior conversation research (2026-09-11). </w:t>
      </w:r>
      <w:r>
        <w:rPr>
          <w:rFonts w:ascii="Calibri" w:hAnsi="Calibri" w:eastAsia="Calibri"/>
          <w:b w:val="0"/>
          <w:i/>
          <w:color w:val="1A1A1A"/>
          <w:sz w:val="18"/>
        </w:rPr>
        <w:t xml:space="preserve">Client Excel workbook structure analysis (Pic No, Item, Color, Order QTY, Send On, Send By Sea/Air, Received On, monthly Jan-Dec). </w:t>
      </w:r>
      <w:r>
        <w:rPr>
          <w:rFonts w:ascii="Calibri" w:hAnsi="Calibri" w:eastAsia="Calibri"/>
          <w:b w:val="0"/>
          <w:i w:val="0"/>
          <w:color w:val="2E86C1"/>
          <w:sz w:val="18"/>
          <w:rStyle w:val="Hyperlink"/>
        </w:rPr>
        <w:t>worklog.md — Task 1-A, 1-B</w:t>
      </w:r>
    </w:p>
    <w:p>
      <w:pPr>
        <w:spacing w:after="80" w:line="288" w:lineRule="auto"/>
        <w:ind w:left="425" w:hanging="425"/>
      </w:pPr>
      <w:r>
        <w:rPr>
          <w:rFonts w:ascii="Calibri" w:hAnsi="Calibri" w:eastAsia="Calibri"/>
          <w:b/>
          <w:i w:val="0"/>
          <w:color w:val="1F3A5F"/>
          <w:sz w:val="18"/>
        </w:rPr>
        <w:t xml:space="preserve">[45]  </w:t>
      </w:r>
      <w:r>
        <w:rPr>
          <w:rFonts w:ascii="Calibri" w:hAnsi="Calibri" w:eastAsia="Calibri"/>
          <w:b/>
          <w:i w:val="0"/>
          <w:color w:val="1A1A1A"/>
          <w:sz w:val="18"/>
        </w:rPr>
        <w:t xml:space="preserve">Prior conversation research (2026-09-11). </w:t>
      </w:r>
      <w:r>
        <w:rPr>
          <w:rFonts w:ascii="Calibri" w:hAnsi="Calibri" w:eastAsia="Calibri"/>
          <w:b w:val="0"/>
          <w:i/>
          <w:color w:val="1A1A1A"/>
          <w:sz w:val="18"/>
        </w:rPr>
        <w:t xml:space="preserve">SaaS Tech Stack v2.0 — manual WhatsApp access provisioning, Prophet + SARIMA + LightGBM ensemble, PostgreSQL RLS, air-vs-sea decision matrix. </w:t>
      </w:r>
      <w:r>
        <w:rPr>
          <w:rFonts w:ascii="Calibri" w:hAnsi="Calibri" w:eastAsia="Calibri"/>
          <w:b w:val="0"/>
          <w:i w:val="0"/>
          <w:color w:val="2E86C1"/>
          <w:sz w:val="18"/>
          <w:rStyle w:val="Hyperlink"/>
        </w:rPr>
        <w:t>worklog.md — Task 2-A, v2.0 Update</w:t>
      </w:r>
    </w:p>
    <w:p>
      <w:pPr>
        <w:spacing w:after="80" w:line="288" w:lineRule="auto"/>
        <w:ind w:left="425" w:hanging="425"/>
      </w:pPr>
      <w:r>
        <w:rPr>
          <w:rFonts w:ascii="Calibri" w:hAnsi="Calibri" w:eastAsia="Calibri"/>
          <w:b/>
          <w:i w:val="0"/>
          <w:color w:val="1F3A5F"/>
          <w:sz w:val="18"/>
        </w:rPr>
        <w:t xml:space="preserve">[46]  </w:t>
      </w:r>
      <w:r>
        <w:rPr>
          <w:rFonts w:ascii="Calibri" w:hAnsi="Calibri" w:eastAsia="Calibri"/>
          <w:b/>
          <w:i w:val="0"/>
          <w:color w:val="1A1A1A"/>
          <w:sz w:val="18"/>
        </w:rPr>
        <w:t xml:space="preserve">Harris, F.W. (1913). </w:t>
      </w:r>
      <w:r>
        <w:rPr>
          <w:rFonts w:ascii="Calibri" w:hAnsi="Calibri" w:eastAsia="Calibri"/>
          <w:b w:val="0"/>
          <w:i/>
          <w:color w:val="1A1A1A"/>
          <w:sz w:val="18"/>
        </w:rPr>
        <w:t xml:space="preserve">Economic Order Quantity formula — original derivation, still the industry standard a century later. </w:t>
      </w:r>
      <w:r>
        <w:rPr>
          <w:rFonts w:ascii="Calibri" w:hAnsi="Calibri" w:eastAsia="Calibri"/>
          <w:b w:val="0"/>
          <w:i w:val="0"/>
          <w:color w:val="2E86C1"/>
          <w:sz w:val="18"/>
          <w:rStyle w:val="Hyperlink"/>
        </w:rPr>
        <w:t>Harris, F.W. 'How Many Parts to Make at Once' Factory, The Magazine of Management, Vol. 10, No. 2-5 (1913)</w:t>
      </w:r>
    </w:p>
    <w:p>
      <w:pPr>
        <w:spacing w:after="80" w:line="288" w:lineRule="auto"/>
        <w:ind w:left="425" w:hanging="425"/>
      </w:pPr>
      <w:r>
        <w:rPr>
          <w:rFonts w:ascii="Calibri" w:hAnsi="Calibri" w:eastAsia="Calibri"/>
          <w:b/>
          <w:i w:val="0"/>
          <w:color w:val="1F3A5F"/>
          <w:sz w:val="18"/>
        </w:rPr>
        <w:t xml:space="preserve">[47]  </w:t>
      </w:r>
      <w:r>
        <w:rPr>
          <w:rFonts w:ascii="Calibri" w:hAnsi="Calibri" w:eastAsia="Calibri"/>
          <w:b/>
          <w:i w:val="0"/>
          <w:color w:val="1A1A1A"/>
          <w:sz w:val="18"/>
        </w:rPr>
        <w:t xml:space="preserve">Hyndman, R.J. &amp; Athanasopoulos, G.. </w:t>
      </w:r>
      <w:r>
        <w:rPr>
          <w:rFonts w:ascii="Calibri" w:hAnsi="Calibri" w:eastAsia="Calibri"/>
          <w:b w:val="0"/>
          <w:i/>
          <w:color w:val="1A1A1A"/>
          <w:sz w:val="18"/>
        </w:rPr>
        <w:t xml:space="preserve">Forecasting: Principles and Practice (3rd ed.) — MASE, rolling-origin cross-validation, seasonal naive baseline. </w:t>
      </w:r>
      <w:r>
        <w:rPr>
          <w:rFonts w:ascii="Calibri" w:hAnsi="Calibri" w:eastAsia="Calibri"/>
          <w:b w:val="0"/>
          <w:i w:val="0"/>
          <w:color w:val="2E86C1"/>
          <w:sz w:val="18"/>
          <w:rStyle w:val="Hyperlink"/>
        </w:rPr>
        <w:t>https://otexts.com/fpp3/</w:t>
      </w:r>
    </w:p>
    <w:p>
      <w:pPr>
        <w:spacing w:after="80" w:line="288" w:lineRule="auto"/>
        <w:ind w:left="425" w:hanging="425"/>
      </w:pPr>
      <w:r>
        <w:rPr>
          <w:rFonts w:ascii="Calibri" w:hAnsi="Calibri" w:eastAsia="Calibri"/>
          <w:b/>
          <w:i w:val="0"/>
          <w:color w:val="1F3A5F"/>
          <w:sz w:val="18"/>
        </w:rPr>
        <w:t xml:space="preserve">[48]  </w:t>
      </w:r>
      <w:r>
        <w:rPr>
          <w:rFonts w:ascii="Calibri" w:hAnsi="Calibri" w:eastAsia="Calibri"/>
          <w:b/>
          <w:i w:val="0"/>
          <w:color w:val="1A1A1A"/>
          <w:sz w:val="18"/>
        </w:rPr>
        <w:t xml:space="preserve">Taylor, S.J. &amp; Letham, B. (2018). </w:t>
      </w:r>
      <w:r>
        <w:rPr>
          <w:rFonts w:ascii="Calibri" w:hAnsi="Calibri" w:eastAsia="Calibri"/>
          <w:b w:val="0"/>
          <w:i/>
          <w:color w:val="1A1A1A"/>
          <w:sz w:val="18"/>
        </w:rPr>
        <w:t xml:space="preserve">Forecasting at Scale — the Prophet paper whose mathematical model TrimedCast reimplements in TypeScript. </w:t>
      </w:r>
      <w:r>
        <w:rPr>
          <w:rFonts w:ascii="Calibri" w:hAnsi="Calibri" w:eastAsia="Calibri"/>
          <w:b w:val="0"/>
          <w:i w:val="0"/>
          <w:color w:val="2E86C1"/>
          <w:sz w:val="18"/>
          <w:rStyle w:val="Hyperlink"/>
        </w:rPr>
        <w:t>https://research.facebook.com/blog/2018/3/forecasting-at-scale/</w:t>
      </w:r>
    </w:p>
    <w:p>
      <w:pPr>
        <w:spacing w:after="80" w:line="288" w:lineRule="auto"/>
        <w:ind w:left="425" w:hanging="425"/>
      </w:pPr>
      <w:r>
        <w:rPr>
          <w:rFonts w:ascii="Calibri" w:hAnsi="Calibri" w:eastAsia="Calibri"/>
          <w:b/>
          <w:i w:val="0"/>
          <w:color w:val="1F3A5F"/>
          <w:sz w:val="18"/>
        </w:rPr>
        <w:t xml:space="preserve">[49]  </w:t>
      </w:r>
      <w:r>
        <w:rPr>
          <w:rFonts w:ascii="Calibri" w:hAnsi="Calibri" w:eastAsia="Calibri"/>
          <w:b/>
          <w:i w:val="0"/>
          <w:color w:val="1A1A1A"/>
          <w:sz w:val="18"/>
        </w:rPr>
        <w:t xml:space="preserve">OWASP Top 10 (2026). </w:t>
      </w:r>
      <w:r>
        <w:rPr>
          <w:rFonts w:ascii="Calibri" w:hAnsi="Calibri" w:eastAsia="Calibri"/>
          <w:b w:val="0"/>
          <w:i/>
          <w:color w:val="1A1A1A"/>
          <w:sz w:val="18"/>
        </w:rPr>
        <w:t xml:space="preserve">Web application security risks baseline — referenced in the RBAC &amp; Security Model spec. </w:t>
      </w:r>
      <w:r>
        <w:rPr>
          <w:rFonts w:ascii="Calibri" w:hAnsi="Calibri" w:eastAsia="Calibri"/>
          <w:b w:val="0"/>
          <w:i w:val="0"/>
          <w:color w:val="2E86C1"/>
          <w:sz w:val="18"/>
          <w:rStyle w:val="Hyperlink"/>
        </w:rPr>
        <w:t>https://owasp.org/Top10/</w:t>
      </w:r>
    </w:p>
    <w:p>
      <w:pPr>
        <w:spacing w:after="80" w:line="288" w:lineRule="auto"/>
        <w:ind w:left="425" w:hanging="425"/>
      </w:pPr>
      <w:r>
        <w:rPr>
          <w:rFonts w:ascii="Calibri" w:hAnsi="Calibri" w:eastAsia="Calibri"/>
          <w:b/>
          <w:i w:val="0"/>
          <w:color w:val="1F3A5F"/>
          <w:sz w:val="18"/>
        </w:rPr>
        <w:t xml:space="preserve">[50]  </w:t>
      </w:r>
      <w:r>
        <w:rPr>
          <w:rFonts w:ascii="Calibri" w:hAnsi="Calibri" w:eastAsia="Calibri"/>
          <w:b/>
          <w:i w:val="0"/>
          <w:color w:val="1A1A1A"/>
          <w:sz w:val="18"/>
        </w:rPr>
        <w:t xml:space="preserve">Bangladesh Customs (2026). </w:t>
      </w:r>
      <w:r>
        <w:rPr>
          <w:rFonts w:ascii="Calibri" w:hAnsi="Calibri" w:eastAsia="Calibri"/>
          <w:b w:val="0"/>
          <w:i/>
          <w:color w:val="1A1A1A"/>
          <w:sz w:val="18"/>
        </w:rPr>
        <w:t xml:space="preserve">HS-code tariff structure: Customs Duty + Supplementary Duty + VAT (15% on CIF+CD+SD) + AIT — implemented in customs-calculator.tsx. </w:t>
      </w:r>
      <w:r>
        <w:rPr>
          <w:rFonts w:ascii="Calibri" w:hAnsi="Calibri" w:eastAsia="Calibri"/>
          <w:b w:val="0"/>
          <w:i w:val="0"/>
          <w:color w:val="2E86C1"/>
          <w:sz w:val="18"/>
          <w:rStyle w:val="Hyperlink"/>
        </w:rPr>
        <w:t>https://bangladeshcustoms.gov.bd/</w:t>
      </w:r>
    </w:p>
    <w:p>
      <w:pPr>
        <w:spacing w:after="80" w:line="288" w:lineRule="auto"/>
        <w:ind w:left="425" w:hanging="425"/>
      </w:pPr>
      <w:r>
        <w:rPr>
          <w:rFonts w:ascii="Calibri" w:hAnsi="Calibri" w:eastAsia="Calibri"/>
          <w:b/>
          <w:i w:val="0"/>
          <w:color w:val="1F3A5F"/>
          <w:sz w:val="18"/>
        </w:rPr>
        <w:t xml:space="preserve">[51]  </w:t>
      </w:r>
      <w:r>
        <w:rPr>
          <w:rFonts w:ascii="Calibri" w:hAnsi="Calibri" w:eastAsia="Calibri"/>
          <w:b/>
          <w:i w:val="0"/>
          <w:color w:val="1A1A1A"/>
          <w:sz w:val="18"/>
        </w:rPr>
        <w:t xml:space="preserve">hijri-converter npm package. </w:t>
      </w:r>
      <w:r>
        <w:rPr>
          <w:rFonts w:ascii="Calibri" w:hAnsi="Calibri" w:eastAsia="Calibri"/>
          <w:b w:val="0"/>
          <w:i/>
          <w:color w:val="1A1A1A"/>
          <w:sz w:val="18"/>
        </w:rPr>
        <w:t xml:space="preserve">Civil tabular Hijri calendar conversion — recommended fix for Eid date precision (Gap 1, Section 5.1). </w:t>
      </w:r>
      <w:r>
        <w:rPr>
          <w:rFonts w:ascii="Calibri" w:hAnsi="Calibri" w:eastAsia="Calibri"/>
          <w:b w:val="0"/>
          <w:i w:val="0"/>
          <w:color w:val="2E86C1"/>
          <w:sz w:val="18"/>
          <w:rStyle w:val="Hyperlink"/>
        </w:rPr>
        <w:t>https://www.npmjs.com/package/hijri-converter</w:t>
      </w:r>
    </w:p>
    <w:p>
      <w:pPr>
        <w:spacing w:after="80" w:line="288" w:lineRule="auto"/>
        <w:ind w:left="425" w:hanging="425"/>
      </w:pPr>
      <w:r>
        <w:rPr>
          <w:rFonts w:ascii="Calibri" w:hAnsi="Calibri" w:eastAsia="Calibri"/>
          <w:b/>
          <w:i w:val="0"/>
          <w:color w:val="1F3A5F"/>
          <w:sz w:val="18"/>
        </w:rPr>
        <w:t xml:space="preserve">[52]  </w:t>
      </w:r>
      <w:r>
        <w:rPr>
          <w:rFonts w:ascii="Calibri" w:hAnsi="Calibri" w:eastAsia="Calibri"/>
          <w:b/>
          <w:i w:val="0"/>
          <w:color w:val="1A1A1A"/>
          <w:sz w:val="18"/>
        </w:rPr>
        <w:t xml:space="preserve">otplib npm package. </w:t>
      </w:r>
      <w:r>
        <w:rPr>
          <w:rFonts w:ascii="Calibri" w:hAnsi="Calibri" w:eastAsia="Calibri"/>
          <w:b w:val="0"/>
          <w:i/>
          <w:color w:val="1A1A1A"/>
          <w:sz w:val="18"/>
        </w:rPr>
        <w:t xml:space="preserve">TOTP RFC 6238 implementation — recommended fix for 2FA (Gap 2, Section 5.2). </w:t>
      </w:r>
      <w:r>
        <w:rPr>
          <w:rFonts w:ascii="Calibri" w:hAnsi="Calibri" w:eastAsia="Calibri"/>
          <w:b w:val="0"/>
          <w:i w:val="0"/>
          <w:color w:val="2E86C1"/>
          <w:sz w:val="18"/>
          <w:rStyle w:val="Hyperlink"/>
        </w:rPr>
        <w:t>https://www.npmjs.com/package/otplib</w:t>
      </w:r>
    </w:p>
    <w:p>
      <w:pPr>
        <w:spacing w:after="80" w:line="288" w:lineRule="auto"/>
        <w:ind w:left="425" w:hanging="425"/>
      </w:pPr>
      <w:r>
        <w:rPr>
          <w:rFonts w:ascii="Calibri" w:hAnsi="Calibri" w:eastAsia="Calibri"/>
          <w:b/>
          <w:i w:val="0"/>
          <w:color w:val="1F3A5F"/>
          <w:sz w:val="18"/>
        </w:rPr>
        <w:t xml:space="preserve">[53]  </w:t>
      </w:r>
      <w:r>
        <w:rPr>
          <w:rFonts w:ascii="Calibri" w:hAnsi="Calibri" w:eastAsia="Calibri"/>
          <w:b/>
          <w:i w:val="0"/>
          <w:color w:val="1A1A1A"/>
          <w:sz w:val="18"/>
        </w:rPr>
        <w:t xml:space="preserve">IATA Volumetric Weight Standard. </w:t>
      </w:r>
      <w:r>
        <w:rPr>
          <w:rFonts w:ascii="Calibri" w:hAnsi="Calibri" w:eastAsia="Calibri"/>
          <w:b w:val="0"/>
          <w:i/>
          <w:color w:val="1A1A1A"/>
          <w:sz w:val="18"/>
        </w:rPr>
        <w:t xml:space="preserve">Air freight chargeable weight = max(gross, L x W x H / 6000) — referenced in Gap 3, Section 5.3. </w:t>
      </w:r>
      <w:r>
        <w:rPr>
          <w:rFonts w:ascii="Calibri" w:hAnsi="Calibri" w:eastAsia="Calibri"/>
          <w:b w:val="0"/>
          <w:i w:val="0"/>
          <w:color w:val="2E86C1"/>
          <w:sz w:val="18"/>
          <w:rStyle w:val="Hyperlink"/>
        </w:rPr>
        <w:t>https://www.iata.org/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