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left"/>
      </w:pPr>
      <w:r>
        <w:rPr>
          <w:rFonts w:ascii="Calibri" w:hAnsi="Calibri"/>
          <w:b/>
          <w:color w:val="0F3D66"/>
          <w:sz w:val="44"/>
        </w:rPr>
        <w:t>CCTV Inventory SaaS — Technical Implementation Plan</w:t>
      </w:r>
    </w:p>
    <w:p>
      <w:pPr>
        <w:spacing w:after="160"/>
      </w:pPr>
      <w:r>
        <w:rPr>
          <w:rFonts w:ascii="Calibri" w:hAnsi="Calibri"/>
          <w:b w:val="0"/>
          <w:color w:val="5F6B7A"/>
          <w:sz w:val="22"/>
        </w:rPr>
        <w:t>Multi-tenant inventory, sales, accounting &amp; reminder platform for CCTV businesses in Bangladesh</w:t>
      </w:r>
    </w:p>
    <w:p>
      <w:pPr>
        <w:spacing w:after="200"/>
      </w:pPr>
      <w:r>
        <w:rPr>
          <w:rFonts w:ascii="Calibri" w:hAnsi="Calibri"/>
          <w:b/>
          <w:color w:val="5F6B7A"/>
          <w:sz w:val="19"/>
        </w:rPr>
        <w:t xml:space="preserve">Version: </w:t>
      </w:r>
      <w:r>
        <w:rPr>
          <w:rFonts w:ascii="Calibri" w:hAnsi="Calibri"/>
          <w:b w:val="0"/>
          <w:color w:val="5F6B7A"/>
          <w:sz w:val="19"/>
        </w:rPr>
        <w:t xml:space="preserve">1.2   </w:t>
      </w:r>
      <w:r>
        <w:rPr>
          <w:rFonts w:ascii="Calibri" w:hAnsi="Calibri"/>
          <w:b/>
          <w:color w:val="5F6B7A"/>
          <w:sz w:val="19"/>
        </w:rPr>
        <w:t xml:space="preserve">Revision: </w:t>
      </w:r>
      <w:r>
        <w:rPr>
          <w:rFonts w:ascii="Calibri" w:hAnsi="Calibri"/>
          <w:b w:val="0"/>
          <w:color w:val="5F6B7A"/>
          <w:sz w:val="19"/>
        </w:rPr>
        <w:t xml:space="preserve">+ Single flat plan, manual payment verification, lifecycle lock logic   </w:t>
      </w:r>
      <w:r>
        <w:rPr>
          <w:rFonts w:ascii="Calibri" w:hAnsi="Calibri"/>
          <w:b/>
          <w:color w:val="5F6B7A"/>
          <w:sz w:val="19"/>
        </w:rPr>
        <w:t xml:space="preserve">Date: </w:t>
      </w:r>
      <w:r>
        <w:rPr>
          <w:rFonts w:ascii="Calibri" w:hAnsi="Calibri"/>
          <w:b w:val="0"/>
          <w:color w:val="5F6B7A"/>
          <w:sz w:val="19"/>
        </w:rPr>
        <w:t xml:space="preserve">2026-09-12   </w:t>
      </w:r>
      <w:r>
        <w:rPr>
          <w:rFonts w:ascii="Calibri" w:hAnsi="Calibri"/>
          <w:b/>
          <w:color w:val="5F6B7A"/>
          <w:sz w:val="19"/>
        </w:rPr>
        <w:t xml:space="preserve">Document Type: </w:t>
      </w:r>
      <w:r>
        <w:rPr>
          <w:rFonts w:ascii="Calibri" w:hAnsi="Calibri"/>
          <w:b w:val="0"/>
          <w:color w:val="5F6B7A"/>
          <w:sz w:val="19"/>
        </w:rPr>
        <w:t xml:space="preserve">Technical Implementation Plan   </w:t>
      </w:r>
      <w:r>
        <w:rPr>
          <w:rFonts w:ascii="Calibri" w:hAnsi="Calibri"/>
          <w:b/>
          <w:color w:val="5F6B7A"/>
          <w:sz w:val="19"/>
        </w:rPr>
        <w:t xml:space="preserve">Status: </w:t>
      </w:r>
      <w:r>
        <w:rPr>
          <w:rFonts w:ascii="Calibri" w:hAnsi="Calibri"/>
          <w:b w:val="0"/>
          <w:color w:val="5F6B7A"/>
          <w:sz w:val="19"/>
        </w:rPr>
        <w:t>Draft for Build</w:t>
      </w:r>
    </w:p>
    <w:p>
      <w:pPr>
        <w:spacing w:before="0" w:after="200"/>
        <w:pBdr>
          <w:bottom w:val="single" w:sz="8" w:space="1" w:color="0F3D66"/>
        </w:pBdr>
      </w:pPr>
    </w:p>
    <w:p>
      <w:pPr>
        <w:pStyle w:val="Heading1"/>
        <w:keepNext/>
        <w:spacing w:before="280" w:after="120" w:line="288" w:lineRule="auto"/>
        <w:jc w:val="left"/>
      </w:pPr>
      <w:r>
        <w:rPr>
          <w:rFonts w:ascii="Calibri" w:hAnsi="Calibri"/>
          <w:b/>
          <w:color w:val="0F3D66"/>
          <w:sz w:val="36"/>
        </w:rPr>
        <w:t>1. Overview</w:t>
      </w:r>
    </w:p>
    <w:p>
      <w:pPr>
        <w:spacing w:before="40" w:after="80" w:line="300" w:lineRule="auto"/>
        <w:jc w:val="left"/>
      </w:pPr>
      <w:r>
        <w:rPr>
          <w:rFonts w:ascii="Calibri" w:hAnsi="Calibri"/>
          <w:b w:val="0"/>
          <w:color w:val="1F2937"/>
          <w:sz w:val="22"/>
        </w:rPr>
        <w:t>This document defines the implementation plan for a multi-tenant SaaS platform that digitises the day-to-day operations of CCTV retail and service businesses in Bangladesh. The product covers product setup, purchase, sales (including partial cart-based transactions), basic accounting, customer/supplier payments, employee &amp; payroll, warranty tracking, reports, customer review/follow-up, and bill-renewal reminders. The design goal is a premium, mobile-first, no-friction interface that mirrors exactly what an owner already does on paper — purchase stock, sell it, collect cash, pay suppliers, and follow up with clients. New in v1.1: a Quotation &amp; Project Estimation module for pre-sale CCTV project quotes, and a Vendor RMA pipeline that tracks faulty units across the full repair lifecycle from customer return to vendor delivery. New in v1.2: the subscription model is collapsed to a single flat-rate plan (BDT 500/month) with manual transaction-ID-based payment verification by admin, plus a 25-day reminder + 10-day grace + lock-out lifecycle, and 1-email-per-account enforcement.</w:t>
      </w:r>
    </w:p>
    <w:p>
      <w:pPr>
        <w:spacing w:before="120" w:after="40" w:line="300" w:lineRule="auto"/>
        <w:jc w:val="left"/>
      </w:pPr>
      <w:r>
        <w:rPr>
          <w:rFonts w:ascii="Calibri" w:hAnsi="Calibri"/>
          <w:b/>
          <w:color w:val="1A73E8"/>
          <w:sz w:val="21"/>
        </w:rPr>
        <w:t>Target Audience:</w:t>
      </w:r>
    </w:p>
    <w:p>
      <w:pPr>
        <w:pStyle w:val="ListBullet"/>
        <w:spacing w:before="20" w:after="40" w:line="288" w:lineRule="auto"/>
      </w:pPr>
      <w:r>
        <w:rPr>
          <w:rFonts w:ascii="Calibri" w:hAnsi="Calibri"/>
          <w:b w:val="0"/>
          <w:color w:val="1F2937"/>
          <w:sz w:val="21"/>
        </w:rPr>
        <w:t>Business owners / shop managers of CCTV retail &amp; installation businesses.</w:t>
      </w:r>
    </w:p>
    <w:p>
      <w:pPr>
        <w:pStyle w:val="ListBullet"/>
        <w:spacing w:before="20" w:after="40" w:line="288" w:lineRule="auto"/>
      </w:pPr>
      <w:r>
        <w:rPr>
          <w:rFonts w:ascii="Calibri" w:hAnsi="Calibri"/>
          <w:b w:val="0"/>
          <w:color w:val="1F2937"/>
          <w:sz w:val="21"/>
        </w:rPr>
        <w:t>Salesmen who need fast in-counter billing on mobile or tablet.</w:t>
      </w:r>
    </w:p>
    <w:p>
      <w:pPr>
        <w:pStyle w:val="ListBullet"/>
        <w:spacing w:before="20" w:after="40" w:line="288" w:lineRule="auto"/>
      </w:pPr>
      <w:r>
        <w:rPr>
          <w:rFonts w:ascii="Calibri" w:hAnsi="Calibri"/>
          <w:b w:val="0"/>
          <w:color w:val="1F2937"/>
          <w:sz w:val="21"/>
        </w:rPr>
        <w:t>Accountants who record income, expense, customer receipts and supplier payments.</w:t>
      </w:r>
    </w:p>
    <w:p>
      <w:pPr>
        <w:pStyle w:val="ListBullet"/>
        <w:spacing w:before="20" w:after="40" w:line="288" w:lineRule="auto"/>
      </w:pPr>
      <w:r>
        <w:rPr>
          <w:rFonts w:ascii="Calibri" w:hAnsi="Calibri"/>
          <w:b w:val="0"/>
          <w:color w:val="1F2937"/>
          <w:sz w:val="21"/>
        </w:rPr>
        <w:t>Developers implementing the platform (full-stack team of 2-4).</w:t>
      </w:r>
    </w:p>
    <w:p>
      <w:pPr>
        <w:spacing w:before="120" w:after="40" w:line="300" w:lineRule="auto"/>
        <w:jc w:val="left"/>
      </w:pPr>
      <w:r>
        <w:rPr>
          <w:rFonts w:ascii="Calibri" w:hAnsi="Calibri"/>
          <w:b/>
          <w:color w:val="1A73E8"/>
          <w:sz w:val="21"/>
        </w:rPr>
        <w:t>Prerequisites:</w:t>
      </w:r>
    </w:p>
    <w:p>
      <w:pPr>
        <w:pStyle w:val="ListBullet"/>
        <w:spacing w:before="20" w:after="40" w:line="288" w:lineRule="auto"/>
      </w:pPr>
      <w:r>
        <w:rPr>
          <w:rFonts w:ascii="Calibri" w:hAnsi="Calibri"/>
          <w:b w:val="0"/>
          <w:color w:val="1F2937"/>
          <w:sz w:val="21"/>
        </w:rPr>
        <w:t>Node.js 20+, PostgreSQL 16, Redis 7, and a POSIX build environment.</w:t>
      </w:r>
    </w:p>
    <w:p>
      <w:pPr>
        <w:pStyle w:val="ListBullet"/>
        <w:spacing w:before="20" w:after="40" w:line="288" w:lineRule="auto"/>
      </w:pPr>
      <w:r>
        <w:rPr>
          <w:rFonts w:ascii="Calibri" w:hAnsi="Calibri"/>
          <w:b w:val="0"/>
          <w:color w:val="1F2937"/>
          <w:sz w:val="21"/>
        </w:rPr>
        <w:t>Domain + SSL certificate (SaaS control plane and tenant app subdomains).</w:t>
      </w:r>
    </w:p>
    <w:p>
      <w:pPr>
        <w:pStyle w:val="ListBullet"/>
        <w:spacing w:before="20" w:after="40" w:line="288" w:lineRule="auto"/>
      </w:pPr>
      <w:r>
        <w:rPr>
          <w:rFonts w:ascii="Calibri" w:hAnsi="Calibri"/>
          <w:b w:val="0"/>
          <w:color w:val="1F2937"/>
          <w:sz w:val="21"/>
        </w:rPr>
        <w:t>Mobile testing devices (Android + iOS Safari) for responsive QA.</w:t>
      </w:r>
    </w:p>
    <w:p>
      <w:pPr>
        <w:pStyle w:val="Heading1"/>
        <w:keepNext/>
        <w:spacing w:before="280" w:after="120" w:line="288" w:lineRule="auto"/>
        <w:jc w:val="left"/>
      </w:pPr>
      <w:r>
        <w:rPr>
          <w:rFonts w:ascii="Calibri" w:hAnsi="Calibri"/>
          <w:b/>
          <w:color w:val="0F3D66"/>
          <w:sz w:val="36"/>
        </w:rPr>
        <w:t>2. Technology Stack</w:t>
      </w:r>
    </w:p>
    <w:p>
      <w:pPr>
        <w:spacing w:before="40" w:after="80" w:line="300" w:lineRule="auto"/>
        <w:jc w:val="left"/>
      </w:pPr>
      <w:r>
        <w:rPr>
          <w:rFonts w:ascii="Calibri" w:hAnsi="Calibri"/>
          <w:b w:val="0"/>
          <w:color w:val="1F2937"/>
          <w:sz w:val="22"/>
        </w:rPr>
        <w:t>The stack is chosen for fast iteration, strong typing, multi-tenant isolation, and a premium mobile UI without a separate native app.</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3118"/>
        <w:gridCol w:w="3118"/>
        <w:gridCol w:w="3118"/>
      </w:tblGrid>
      <w:tr>
        <w:tc>
          <w:tcPr>
            <w:tcW w:type="dxa" w:w="1701"/>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Layer</w:t>
            </w:r>
          </w:p>
        </w:tc>
        <w:tc>
          <w:tcPr>
            <w:tcW w:type="dxa" w:w="3685"/>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Technology</w:t>
            </w:r>
          </w:p>
        </w:tc>
        <w:tc>
          <w:tcPr>
            <w:tcW w:type="dxa" w:w="3969"/>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Purpose</w:t>
            </w:r>
          </w:p>
        </w:tc>
      </w:tr>
      <w:tr>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Frontend</w:t>
            </w:r>
          </w:p>
        </w:tc>
        <w:tc>
          <w:tcPr>
            <w:tcW w:type="dxa" w:w="368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Next.js 15 (App Router) + React 19 + TypeScript</w:t>
            </w:r>
          </w:p>
        </w:tc>
        <w:tc>
          <w:tcPr>
            <w:tcW w:type="dxa" w:w="3969"/>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SSR/ISR pages, mobile-first PWA</w:t>
            </w:r>
          </w:p>
        </w:tc>
      </w:tr>
      <w:tr>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UI Kit</w:t>
            </w:r>
          </w:p>
        </w:tc>
        <w:tc>
          <w:tcPr>
            <w:tcW w:type="dxa" w:w="368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Tailwind CSS 4 + shadcn/ui + Radix Primitives</w:t>
            </w:r>
          </w:p>
        </w:tc>
        <w:tc>
          <w:tcPr>
            <w:tcW w:type="dxa" w:w="3969"/>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Premium, accessible, responsive components</w:t>
            </w:r>
          </w:p>
        </w:tc>
      </w:tr>
      <w:tr>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Forms / Tables</w:t>
            </w:r>
          </w:p>
        </w:tc>
        <w:tc>
          <w:tcPr>
            <w:tcW w:type="dxa" w:w="368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React Hook Form + TanStack Table v8</w:t>
            </w:r>
          </w:p>
        </w:tc>
        <w:tc>
          <w:tcPr>
            <w:tcW w:type="dxa" w:w="3969"/>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Fast data entry, sortable inventory grids</w:t>
            </w:r>
          </w:p>
        </w:tc>
      </w:tr>
      <w:tr>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State / Data</w:t>
            </w:r>
          </w:p>
        </w:tc>
        <w:tc>
          <w:tcPr>
            <w:tcW w:type="dxa" w:w="368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TanStack Query + Zustand</w:t>
            </w:r>
          </w:p>
        </w:tc>
        <w:tc>
          <w:tcPr>
            <w:tcW w:type="dxa" w:w="3969"/>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Server cache + lightweight client state</w:t>
            </w:r>
          </w:p>
        </w:tc>
      </w:tr>
      <w:tr>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Backend</w:t>
            </w:r>
          </w:p>
        </w:tc>
        <w:tc>
          <w:tcPr>
            <w:tcW w:type="dxa" w:w="368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Next.js Route Handlers (or NestJS) + tRPC optional</w:t>
            </w:r>
          </w:p>
        </w:tc>
        <w:tc>
          <w:tcPr>
            <w:tcW w:type="dxa" w:w="3969"/>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REST/typed API on same deploy</w:t>
            </w:r>
          </w:p>
        </w:tc>
      </w:tr>
      <w:tr>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ORM</w:t>
            </w:r>
          </w:p>
        </w:tc>
        <w:tc>
          <w:tcPr>
            <w:tcW w:type="dxa" w:w="368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Prisma 5 (PostgreSQL dialect)</w:t>
            </w:r>
          </w:p>
        </w:tc>
        <w:tc>
          <w:tcPr>
            <w:tcW w:type="dxa" w:w="3969"/>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Typed DB access, migrations, multi-tenant filters</w:t>
            </w:r>
          </w:p>
        </w:tc>
      </w:tr>
      <w:tr>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Database</w:t>
            </w:r>
          </w:p>
        </w:tc>
        <w:tc>
          <w:tcPr>
            <w:tcW w:type="dxa" w:w="368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PostgreSQL 16 (shared DB, tenant_id per row)</w:t>
            </w:r>
          </w:p>
        </w:tc>
        <w:tc>
          <w:tcPr>
            <w:tcW w:type="dxa" w:w="3969"/>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Multi-tenant, row-level isolation</w:t>
            </w:r>
          </w:p>
        </w:tc>
      </w:tr>
      <w:tr>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Cache / Queue</w:t>
            </w:r>
          </w:p>
        </w:tc>
        <w:tc>
          <w:tcPr>
            <w:tcW w:type="dxa" w:w="368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Redis 7 + BullMQ</w:t>
            </w:r>
          </w:p>
        </w:tc>
        <w:tc>
          <w:tcPr>
            <w:tcW w:type="dxa" w:w="3969"/>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Sessions, reminders queue, background jobs</w:t>
            </w:r>
          </w:p>
        </w:tc>
      </w:tr>
      <w:tr>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Auth</w:t>
            </w:r>
          </w:p>
        </w:tc>
        <w:tc>
          <w:tcPr>
            <w:tcW w:type="dxa" w:w="368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Better-Auth or Clerk (multi-tenant RBAC)</w:t>
            </w:r>
          </w:p>
        </w:tc>
        <w:tc>
          <w:tcPr>
            <w:tcW w:type="dxa" w:w="3969"/>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Tenant isolation, roles: Owner/Manager/Salesman/Accountant</w:t>
            </w:r>
          </w:p>
        </w:tc>
      </w:tr>
      <w:tr>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Storage</w:t>
            </w:r>
          </w:p>
        </w:tc>
        <w:tc>
          <w:tcPr>
            <w:tcW w:type="dxa" w:w="368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S3-compatible (Cloudflare R2 / MinIO)</w:t>
            </w:r>
          </w:p>
        </w:tc>
        <w:tc>
          <w:tcPr>
            <w:tcW w:type="dxa" w:w="3969"/>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Invoice PDFs, product images, warranty docs</w:t>
            </w:r>
          </w:p>
        </w:tc>
      </w:tr>
      <w:tr>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Notifications</w:t>
            </w:r>
          </w:p>
        </w:tc>
        <w:tc>
          <w:tcPr>
            <w:tcW w:type="dxa" w:w="368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Resend (email) + Twilio/SSL Wireless SMS</w:t>
            </w:r>
          </w:p>
        </w:tc>
        <w:tc>
          <w:tcPr>
            <w:tcW w:type="dxa" w:w="3969"/>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Reminders, low-stock, warranty expiry</w:t>
            </w:r>
          </w:p>
        </w:tc>
      </w:tr>
      <w:tr>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Reporting</w:t>
            </w:r>
          </w:p>
        </w:tc>
        <w:tc>
          <w:tcPr>
            <w:tcW w:type="dxa" w:w="368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React-pdf / server PDF + Recharts</w:t>
            </w:r>
          </w:p>
        </w:tc>
        <w:tc>
          <w:tcPr>
            <w:tcW w:type="dxa" w:w="3969"/>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In-app printable invoices &amp; reports</w:t>
            </w:r>
          </w:p>
        </w:tc>
      </w:tr>
      <w:tr>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DevOps</w:t>
            </w:r>
          </w:p>
        </w:tc>
        <w:tc>
          <w:tcPr>
            <w:tcW w:type="dxa" w:w="368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Docker + Vercel/Render + GitHub Actions</w:t>
            </w:r>
          </w:p>
        </w:tc>
        <w:tc>
          <w:tcPr>
            <w:tcW w:type="dxa" w:w="3969"/>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CI/CD, preview deploys, auto-migrate</w:t>
            </w:r>
          </w:p>
        </w:tc>
      </w:tr>
      <w:tr>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Monitoring</w:t>
            </w:r>
          </w:p>
        </w:tc>
        <w:tc>
          <w:tcPr>
            <w:tcW w:type="dxa" w:w="368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Sentry + PostHog + UptimeRobot</w:t>
            </w:r>
          </w:p>
        </w:tc>
        <w:tc>
          <w:tcPr>
            <w:tcW w:type="dxa" w:w="3969"/>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Error tracking, product analytics, uptime</w:t>
            </w:r>
          </w:p>
        </w:tc>
      </w:tr>
    </w:tbl>
    <w:p>
      <w:pPr>
        <w:spacing w:before="80" w:after="80" w:line="300" w:lineRule="auto"/>
        <w:jc w:val="left"/>
      </w:pPr>
      <w:r>
        <w:rPr>
          <w:rFonts w:ascii="Calibri" w:hAnsi="Calibri"/>
          <w:b w:val="0"/>
          <w:color w:val="5F6B7A"/>
          <w:sz w:val="21"/>
        </w:rPr>
        <w:t>Bangladesh-specific: integrate bKash / Nagad merchant checkout for customer payments, and SSL Wireless (local SMS gateway) for低成本 reminder SMS to clients.</w:t>
      </w:r>
    </w:p>
    <w:p>
      <w:pPr>
        <w:pStyle w:val="Heading1"/>
        <w:keepNext/>
        <w:spacing w:before="280" w:after="120" w:line="288" w:lineRule="auto"/>
        <w:jc w:val="left"/>
      </w:pPr>
      <w:r>
        <w:rPr>
          <w:rFonts w:ascii="Calibri" w:hAnsi="Calibri"/>
          <w:b/>
          <w:color w:val="0F3D66"/>
          <w:sz w:val="36"/>
        </w:rPr>
        <w:t>3. Multi-Tenant Architecture</w:t>
      </w:r>
    </w:p>
    <w:p>
      <w:pPr>
        <w:spacing w:before="40" w:after="80" w:line="300" w:lineRule="auto"/>
        <w:jc w:val="left"/>
      </w:pPr>
      <w:r>
        <w:rPr>
          <w:rFonts w:ascii="Calibri" w:hAnsi="Calibri"/>
          <w:b w:val="0"/>
          <w:color w:val="1F2937"/>
          <w:sz w:val="22"/>
        </w:rPr>
        <w:t>Use a shared-database, shared-schema model with a mandatory tenant_id on every business table. A global tenants table holds subscription plan, owner user, business profile, and customisation flags. Row-Level Security (RLS) policies in PostgreSQL guarantee a tenant can never read another tenant's rows, even on a missed application filter.</w:t>
      </w:r>
    </w:p>
    <w:p>
      <w:pPr>
        <w:pStyle w:val="Heading2"/>
        <w:keepNext/>
        <w:spacing w:before="200" w:after="120" w:line="288" w:lineRule="auto"/>
        <w:jc w:val="left"/>
      </w:pPr>
      <w:r>
        <w:rPr>
          <w:rFonts w:ascii="Calibri" w:hAnsi="Calibri"/>
          <w:b/>
          <w:color w:val="0F3D66"/>
          <w:sz w:val="28"/>
        </w:rPr>
        <w:t>3.1 Tenant Isolation Pattern</w:t>
      </w:r>
    </w:p>
    <w:p>
      <w:pPr>
        <w:spacing w:before="80" w:after="120" w:line="276" w:lineRule="auto"/>
        <w:ind w:left="227"/>
        <w:shd w:val="clear" w:color="auto" w:fill="F3F5F8"/>
        <w:pBdr>
          <w:top w:val="single" w:sz="4" w:space="4" w:color="D5DDE5"/>
          <w:left w:val="single" w:sz="4" w:space="4" w:color="D5DDE5"/>
          <w:bottom w:val="single" w:sz="4" w:space="4" w:color="D5DDE5"/>
          <w:right w:val="single" w:sz="4" w:space="4" w:color="D5DDE5"/>
        </w:pBdr>
      </w:pPr>
      <w:r>
        <w:rPr>
          <w:rFonts w:ascii="Consolas" w:hAnsi="Consolas"/>
          <w:b w:val="0"/>
          <w:color w:val="24292E"/>
          <w:sz w:val="19"/>
        </w:rPr>
        <w:t>-- PostgreSQL Row-Level Security template</w:t>
        <w:br/>
        <w:t>ALTER TABLE products ENABLE ROW LEVEL SECURITY;</w:t>
        <w:br/>
        <w:t>CREATE POLICY tenant_isolation ON products</w:t>
        <w:br/>
        <w:t xml:space="preserve">  USING (tenant_id = current_setting('app.tenant_id')::uuid);</w:t>
        <w:br/>
        <w:t>-- App sets: SET app.tenant_id = '&lt;uuid&gt;' per request (Prisma extension).</w:t>
      </w:r>
    </w:p>
    <w:p>
      <w:pPr>
        <w:pStyle w:val="Heading2"/>
        <w:keepNext/>
        <w:spacing w:before="200" w:after="120" w:line="288" w:lineRule="auto"/>
        <w:jc w:val="left"/>
      </w:pPr>
      <w:r>
        <w:rPr>
          <w:rFonts w:ascii="Calibri" w:hAnsi="Calibri"/>
          <w:b/>
          <w:color w:val="0F3D66"/>
          <w:sz w:val="28"/>
        </w:rPr>
        <w:t>3.2 Subscription Plan (Single Flat Plan)</w:t>
      </w:r>
    </w:p>
    <w:p>
      <w:pPr>
        <w:spacing w:before="40" w:after="80" w:line="300" w:lineRule="auto"/>
        <w:jc w:val="left"/>
      </w:pPr>
      <w:r>
        <w:rPr>
          <w:rFonts w:ascii="Calibri" w:hAnsi="Calibri"/>
          <w:b w:val="0"/>
          <w:color w:val="1F2937"/>
          <w:sz w:val="22"/>
        </w:rPr>
        <w:t>The product offers exactly one plan: Unlimited Access at BDT 500 per month. There are no tiers, no feature gates, and no per-seat or per-product pricing. Every tenant gets the full feature set for a flat monthly fee. This keeps pricing obvious for shop owners and removes upgrade-style friction from the sales funnel.</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4677"/>
        <w:gridCol w:w="4677"/>
      </w:tblGrid>
      <w:tr>
        <w:tc>
          <w:tcPr>
            <w:tcW w:type="dxa" w:w="2835"/>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Attribute</w:t>
            </w:r>
          </w:p>
        </w:tc>
        <w:tc>
          <w:tcPr>
            <w:tcW w:type="dxa" w:w="6520"/>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Value</w:t>
            </w:r>
          </w:p>
        </w:tc>
      </w:tr>
      <w:tr>
        <w:tc>
          <w:tcPr>
            <w:tcW w:type="dxa" w:w="283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Plan Name</w:t>
            </w:r>
          </w:p>
        </w:tc>
        <w:tc>
          <w:tcPr>
            <w:tcW w:type="dxa" w:w="6520"/>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Unlimited Access</w:t>
            </w:r>
          </w:p>
        </w:tc>
      </w:tr>
      <w:tr>
        <w:tc>
          <w:tcPr>
            <w:tcW w:type="dxa" w:w="283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Price</w:t>
            </w:r>
          </w:p>
        </w:tc>
        <w:tc>
          <w:tcPr>
            <w:tcW w:type="dxa" w:w="6520"/>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BDT 500 / month (flat)</w:t>
            </w:r>
          </w:p>
        </w:tc>
      </w:tr>
      <w:tr>
        <w:tc>
          <w:tcPr>
            <w:tcW w:type="dxa" w:w="283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Billing Cycle</w:t>
            </w:r>
          </w:p>
        </w:tc>
        <w:tc>
          <w:tcPr>
            <w:tcW w:type="dxa" w:w="6520"/>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30 days from activation</w:t>
            </w:r>
          </w:p>
        </w:tc>
      </w:tr>
      <w:tr>
        <w:tc>
          <w:tcPr>
            <w:tcW w:type="dxa" w:w="283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Users</w:t>
            </w:r>
          </w:p>
        </w:tc>
        <w:tc>
          <w:tcPr>
            <w:tcW w:type="dxa" w:w="6520"/>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Unlimited</w:t>
            </w:r>
          </w:p>
        </w:tc>
      </w:tr>
      <w:tr>
        <w:tc>
          <w:tcPr>
            <w:tcW w:type="dxa" w:w="283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Products / Inventory</w:t>
            </w:r>
          </w:p>
        </w:tc>
        <w:tc>
          <w:tcPr>
            <w:tcW w:type="dxa" w:w="6520"/>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Unlimited</w:t>
            </w:r>
          </w:p>
        </w:tc>
      </w:tr>
      <w:tr>
        <w:tc>
          <w:tcPr>
            <w:tcW w:type="dxa" w:w="283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Storage</w:t>
            </w:r>
          </w:p>
        </w:tc>
        <w:tc>
          <w:tcPr>
            <w:tcW w:type="dxa" w:w="6520"/>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Fair-use (default 10 GB, extensible on request)</w:t>
            </w:r>
          </w:p>
        </w:tc>
      </w:tr>
      <w:tr>
        <w:tc>
          <w:tcPr>
            <w:tcW w:type="dxa" w:w="283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SMS Bundle</w:t>
            </w:r>
          </w:p>
        </w:tc>
        <w:tc>
          <w:tcPr>
            <w:tcW w:type="dxa" w:w="6520"/>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200 SMS / month included; top-up packs available</w:t>
            </w:r>
          </w:p>
        </w:tc>
      </w:tr>
      <w:tr>
        <w:tc>
          <w:tcPr>
            <w:tcW w:type="dxa" w:w="283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Features</w:t>
            </w:r>
          </w:p>
        </w:tc>
        <w:tc>
          <w:tcPr>
            <w:tcW w:type="dxa" w:w="6520"/>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All modules unlocked (Products, Purchase, Sale, Quotation, RMA, Accounting, Reports, Reminders, CRM)</w:t>
            </w:r>
          </w:p>
        </w:tc>
      </w:tr>
      <w:tr>
        <w:tc>
          <w:tcPr>
            <w:tcW w:type="dxa" w:w="283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Payment Method</w:t>
            </w:r>
          </w:p>
        </w:tc>
        <w:tc>
          <w:tcPr>
            <w:tcW w:type="dxa" w:w="6520"/>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Manual: bKash / Nagad / Bank transfer to admin's merchant number</w:t>
            </w:r>
          </w:p>
        </w:tc>
      </w:tr>
      <w:tr>
        <w:tc>
          <w:tcPr>
            <w:tcW w:type="dxa" w:w="283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Verification</w:t>
            </w:r>
          </w:p>
        </w:tc>
        <w:tc>
          <w:tcPr>
            <w:tcW w:type="dxa" w:w="6520"/>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Admin verifies transaction ID against actual wallet/bank statement</w:t>
            </w:r>
          </w:p>
        </w:tc>
      </w:tr>
    </w:tbl>
    <w:p>
      <w:pPr>
        <w:pStyle w:val="Heading2"/>
        <w:keepNext/>
        <w:spacing w:before="200" w:after="120" w:line="288" w:lineRule="auto"/>
        <w:jc w:val="left"/>
      </w:pPr>
      <w:r>
        <w:rPr>
          <w:rFonts w:ascii="Calibri" w:hAnsi="Calibri"/>
          <w:b/>
          <w:color w:val="0F3D66"/>
          <w:sz w:val="28"/>
        </w:rPr>
        <w:t>3.3 Subscription Lifecycle &amp; Payment Verification</w:t>
      </w:r>
    </w:p>
    <w:p>
      <w:pPr>
        <w:spacing w:before="40" w:after="80" w:line="300" w:lineRule="auto"/>
        <w:jc w:val="left"/>
      </w:pPr>
      <w:r>
        <w:rPr>
          <w:rFonts w:ascii="Calibri" w:hAnsi="Calibri"/>
          <w:b w:val="0"/>
          <w:color w:val="1F2937"/>
          <w:sz w:val="22"/>
        </w:rPr>
        <w:t>Because payment is manual (no auto-charge), the system enforces a deterministic lifecycle so a tenant cannot silently fall overdue. A 30-day cycle is anchored to the subscription start date. A bill reminder fires on day 25, the account enters a 10-day grace window on day 30 if unpaid, and on day 40 (10 days past due) the account is locked — the user can log in but sees only the Payment screen until admin verifies their transaction ID.</w:t>
      </w:r>
    </w:p>
    <w:p>
      <w:pPr>
        <w:spacing w:before="120" w:after="40" w:line="300" w:lineRule="auto"/>
        <w:jc w:val="left"/>
      </w:pPr>
      <w:r>
        <w:rPr>
          <w:rFonts w:ascii="Calibri" w:hAnsi="Calibri"/>
          <w:b/>
          <w:color w:val="1A73E8"/>
          <w:sz w:val="21"/>
        </w:rPr>
        <w:t>Lifecycle Stages:</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3118"/>
        <w:gridCol w:w="3118"/>
        <w:gridCol w:w="3118"/>
      </w:tblGrid>
      <w:tr>
        <w:tc>
          <w:tcPr>
            <w:tcW w:type="dxa" w:w="1417"/>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Day</w:t>
            </w:r>
          </w:p>
        </w:tc>
        <w:tc>
          <w:tcPr>
            <w:tcW w:type="dxa" w:w="1701"/>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Stage</w:t>
            </w:r>
          </w:p>
        </w:tc>
        <w:tc>
          <w:tcPr>
            <w:tcW w:type="dxa" w:w="6236"/>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Behaviour</w:t>
            </w:r>
          </w:p>
        </w:tc>
      </w:tr>
      <w:tr>
        <w:tc>
          <w:tcPr>
            <w:tcW w:type="dxa" w:w="1417"/>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Day 1</w:t>
            </w:r>
          </w:p>
        </w:tc>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ACTIVE</w:t>
            </w:r>
          </w:p>
        </w:tc>
        <w:tc>
          <w:tcPr>
            <w:tcW w:type="dxa" w:w="6236"/>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Cycle starts after admin verifies first payment. Full access.</w:t>
            </w:r>
          </w:p>
        </w:tc>
      </w:tr>
      <w:tr>
        <w:tc>
          <w:tcPr>
            <w:tcW w:type="dxa" w:w="1417"/>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Day 25</w:t>
            </w:r>
          </w:p>
        </w:tc>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REMINDER</w:t>
            </w:r>
          </w:p>
        </w:tc>
        <w:tc>
          <w:tcPr>
            <w:tcW w:type="dxa" w:w="6236"/>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Bill-due reminder SMS + in-app banner starts. User prompted to pay + submit txn ID.</w:t>
            </w:r>
          </w:p>
        </w:tc>
      </w:tr>
      <w:tr>
        <w:tc>
          <w:tcPr>
            <w:tcW w:type="dxa" w:w="1417"/>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Day 30</w:t>
            </w:r>
          </w:p>
        </w:tc>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DUE</w:t>
            </w:r>
          </w:p>
        </w:tc>
        <w:tc>
          <w:tcPr>
            <w:tcW w:type="dxa" w:w="6236"/>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End of paid cycle. If unpaid → enters GRACE. If paid + verified → next cycle begins.</w:t>
            </w:r>
          </w:p>
        </w:tc>
      </w:tr>
      <w:tr>
        <w:tc>
          <w:tcPr>
            <w:tcW w:type="dxa" w:w="1417"/>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Day 31-40</w:t>
            </w:r>
          </w:p>
        </w:tc>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GRACE (10 days)</w:t>
            </w:r>
          </w:p>
        </w:tc>
        <w:tc>
          <w:tcPr>
            <w:tcW w:type="dxa" w:w="6236"/>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Full access continues; daily reminder; warning banner 'X days to lockout'.</w:t>
            </w:r>
          </w:p>
        </w:tc>
      </w:tr>
      <w:tr>
        <w:tc>
          <w:tcPr>
            <w:tcW w:type="dxa" w:w="1417"/>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Day 41</w:t>
            </w:r>
          </w:p>
        </w:tc>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LOCKED</w:t>
            </w:r>
          </w:p>
        </w:tc>
        <w:tc>
          <w:tcPr>
            <w:tcW w:type="dxa" w:w="6236"/>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All modules hidden. Login lands on Payment screen only. Data preserved, not deleted.</w:t>
            </w:r>
          </w:p>
        </w:tc>
      </w:tr>
      <w:tr>
        <w:tc>
          <w:tcPr>
            <w:tcW w:type="dxa" w:w="1417"/>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On Verify</w:t>
            </w:r>
          </w:p>
        </w:tc>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ACTIVE</w:t>
            </w:r>
          </w:p>
        </w:tc>
        <w:tc>
          <w:tcPr>
            <w:tcW w:type="dxa" w:w="6236"/>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Admin marks payment verified → cycle_end += 30 days, access restored instantly.</w:t>
            </w:r>
          </w:p>
        </w:tc>
      </w:tr>
    </w:tbl>
    <w:p>
      <w:pPr>
        <w:spacing w:before="160" w:after="40" w:line="300" w:lineRule="auto"/>
        <w:jc w:val="left"/>
      </w:pPr>
      <w:r>
        <w:rPr>
          <w:rFonts w:ascii="Calibri" w:hAnsi="Calibri"/>
          <w:b/>
          <w:color w:val="1A73E8"/>
          <w:sz w:val="21"/>
        </w:rPr>
        <w:t>Manual Payment Submission Flow:</w:t>
      </w:r>
    </w:p>
    <w:p>
      <w:pPr>
        <w:pStyle w:val="ListBullet"/>
        <w:spacing w:before="20" w:after="40" w:line="288" w:lineRule="auto"/>
      </w:pPr>
      <w:r>
        <w:rPr>
          <w:rFonts w:ascii="Calibri" w:hAnsi="Calibri"/>
          <w:b w:val="0"/>
          <w:color w:val="1F2937"/>
          <w:sz w:val="21"/>
        </w:rPr>
        <w:t>1. User pays BDT 500 to admin's published bKash / Nagad / Bank merchant number.</w:t>
      </w:r>
    </w:p>
    <w:p>
      <w:pPr>
        <w:pStyle w:val="ListBullet"/>
        <w:spacing w:before="20" w:after="40" w:line="288" w:lineRule="auto"/>
      </w:pPr>
      <w:r>
        <w:rPr>
          <w:rFonts w:ascii="Calibri" w:hAnsi="Calibri"/>
          <w:b w:val="0"/>
          <w:color w:val="1F2937"/>
          <w:sz w:val="21"/>
        </w:rPr>
        <w:t>2. User logs in → opens 'Renew Subscription' / 'Submit Payment' screen.</w:t>
      </w:r>
    </w:p>
    <w:p>
      <w:pPr>
        <w:pStyle w:val="ListBullet"/>
        <w:spacing w:before="20" w:after="40" w:line="288" w:lineRule="auto"/>
      </w:pPr>
      <w:r>
        <w:rPr>
          <w:rFonts w:ascii="Calibri" w:hAnsi="Calibri"/>
          <w:b w:val="0"/>
          <w:color w:val="1F2937"/>
          <w:sz w:val="21"/>
        </w:rPr>
        <w:t>3. User fills form: Payment Method, Transaction ID, Amount, Payment Date, Sender Number.</w:t>
      </w:r>
    </w:p>
    <w:p>
      <w:pPr>
        <w:pStyle w:val="ListBullet"/>
        <w:spacing w:before="20" w:after="40" w:line="288" w:lineRule="auto"/>
      </w:pPr>
      <w:r>
        <w:rPr>
          <w:rFonts w:ascii="Calibri" w:hAnsi="Calibri"/>
          <w:b w:val="0"/>
          <w:color w:val="1F2937"/>
          <w:sz w:val="21"/>
        </w:rPr>
        <w:t>4. System writes a payment_verifications row with status = PENDING and shows it in the user's history.</w:t>
      </w:r>
    </w:p>
    <w:p>
      <w:pPr>
        <w:pStyle w:val="ListBullet"/>
        <w:spacing w:before="20" w:after="40" w:line="288" w:lineRule="auto"/>
      </w:pPr>
      <w:r>
        <w:rPr>
          <w:rFonts w:ascii="Calibri" w:hAnsi="Calibri"/>
          <w:b w:val="0"/>
          <w:color w:val="1F2937"/>
          <w:sz w:val="21"/>
        </w:rPr>
        <w:t>5. Admin (super-admin panel) cross-checks the txn ID against the actual wallet/bank statement.</w:t>
      </w:r>
    </w:p>
    <w:p>
      <w:pPr>
        <w:pStyle w:val="ListBullet"/>
        <w:spacing w:before="20" w:after="40" w:line="288" w:lineRule="auto"/>
      </w:pPr>
      <w:r>
        <w:rPr>
          <w:rFonts w:ascii="Calibri" w:hAnsi="Calibri"/>
          <w:b w:val="0"/>
          <w:color w:val="1F2937"/>
          <w:sz w:val="21"/>
        </w:rPr>
        <w:t>6a. If confirmed: admin sets status = VERIFIED → subscriptions.cycle_end += 30 days, status = ACTIVE, lock lifted.</w:t>
      </w:r>
    </w:p>
    <w:p>
      <w:pPr>
        <w:pStyle w:val="ListBullet"/>
        <w:spacing w:before="20" w:after="40" w:line="288" w:lineRule="auto"/>
      </w:pPr>
      <w:r>
        <w:rPr>
          <w:rFonts w:ascii="Calibri" w:hAnsi="Calibri"/>
          <w:b w:val="0"/>
          <w:color w:val="1F2937"/>
          <w:sz w:val="21"/>
        </w:rPr>
        <w:t>6b. If not found / mismatched: admin sets status = REJECTED with reason → user notified by SMS to retry.</w:t>
      </w:r>
    </w:p>
    <w:p>
      <w:pPr>
        <w:pStyle w:val="ListBullet"/>
        <w:spacing w:before="20" w:after="40" w:line="288" w:lineRule="auto"/>
      </w:pPr>
      <w:r>
        <w:rPr>
          <w:rFonts w:ascii="Calibri" w:hAnsi="Calibri"/>
          <w:b w:val="0"/>
          <w:color w:val="1F2937"/>
          <w:sz w:val="21"/>
        </w:rPr>
        <w:t>7. User receives SMS: 'Subscription renewed until DD-MM-YYYY. Thank you.' (or rejection notice).</w:t>
      </w:r>
    </w:p>
    <w:p>
      <w:pPr>
        <w:spacing w:before="160" w:after="40" w:line="300" w:lineRule="auto"/>
        <w:jc w:val="left"/>
      </w:pPr>
      <w:r>
        <w:rPr>
          <w:rFonts w:ascii="Calibri" w:hAnsi="Calibri"/>
          <w:b/>
          <w:color w:val="1A73E8"/>
          <w:sz w:val="21"/>
        </w:rPr>
        <w:t>Account &amp; Email Rules:</w:t>
      </w:r>
    </w:p>
    <w:p>
      <w:pPr>
        <w:pStyle w:val="ListBullet"/>
        <w:spacing w:before="20" w:after="40" w:line="288" w:lineRule="auto"/>
      </w:pPr>
      <w:r>
        <w:rPr>
          <w:rFonts w:ascii="Calibri" w:hAnsi="Calibri"/>
          <w:b w:val="0"/>
          <w:color w:val="1F2937"/>
          <w:sz w:val="21"/>
        </w:rPr>
        <w:t>One email address = exactly one tenant account. The email column in tenants and users is UNIQUE at DB level.</w:t>
      </w:r>
    </w:p>
    <w:p>
      <w:pPr>
        <w:pStyle w:val="ListBullet"/>
        <w:spacing w:before="20" w:after="40" w:line="288" w:lineRule="auto"/>
      </w:pPr>
      <w:r>
        <w:rPr>
          <w:rFonts w:ascii="Calibri" w:hAnsi="Calibri"/>
          <w:b w:val="0"/>
          <w:color w:val="1F2937"/>
          <w:sz w:val="21"/>
        </w:rPr>
        <w:t>Signup with an already-registered email is rejected at form level with a clear message + 'login instead' link.</w:t>
      </w:r>
    </w:p>
    <w:p>
      <w:pPr>
        <w:pStyle w:val="ListBullet"/>
        <w:spacing w:before="20" w:after="40" w:line="288" w:lineRule="auto"/>
      </w:pPr>
      <w:r>
        <w:rPr>
          <w:rFonts w:ascii="Calibri" w:hAnsi="Calibri"/>
          <w:b w:val="0"/>
          <w:color w:val="1F2937"/>
          <w:sz w:val="21"/>
        </w:rPr>
        <w:t>No free trial tier. First activation requires admin-verified payment before any module access.</w:t>
      </w:r>
    </w:p>
    <w:p>
      <w:pPr>
        <w:pStyle w:val="ListBullet"/>
        <w:spacing w:before="20" w:after="40" w:line="288" w:lineRule="auto"/>
      </w:pPr>
      <w:r>
        <w:rPr>
          <w:rFonts w:ascii="Calibri" w:hAnsi="Calibri"/>
          <w:b w:val="0"/>
          <w:color w:val="1F2937"/>
          <w:sz w:val="21"/>
        </w:rPr>
        <w:t>Email change is allowed but requires OTP verification to the new address and a 7-day cooldown before re-use of the old email.</w:t>
      </w:r>
    </w:p>
    <w:p>
      <w:pPr>
        <w:pStyle w:val="ListBullet"/>
        <w:spacing w:before="20" w:after="40" w:line="288" w:lineRule="auto"/>
      </w:pPr>
      <w:r>
        <w:rPr>
          <w:rFonts w:ascii="Calibri" w:hAnsi="Calibri"/>
          <w:b w:val="0"/>
          <w:color w:val="1F2937"/>
          <w:sz w:val="21"/>
        </w:rPr>
        <w:t>Locked accounts retain data indefinitely; admin can manually unlock for a grace extension if needed.</w:t>
      </w:r>
    </w:p>
    <w:p>
      <w:pPr>
        <w:pStyle w:val="Heading3"/>
        <w:keepNext/>
        <w:spacing w:before="200" w:after="120" w:line="288" w:lineRule="auto"/>
        <w:jc w:val="left"/>
      </w:pPr>
      <w:r>
        <w:rPr>
          <w:rFonts w:ascii="Calibri" w:hAnsi="Calibri"/>
          <w:b/>
          <w:color w:val="1A73E8"/>
          <w:sz w:val="24"/>
        </w:rPr>
        <w:t>3.3.1 Admin Verification Panel</w:t>
      </w:r>
    </w:p>
    <w:p>
      <w:pPr>
        <w:spacing w:before="40" w:after="80" w:line="300" w:lineRule="auto"/>
        <w:jc w:val="left"/>
      </w:pPr>
      <w:r>
        <w:rPr>
          <w:rFonts w:ascii="Calibri" w:hAnsi="Calibri"/>
          <w:b w:val="0"/>
          <w:color w:val="1F2937"/>
          <w:sz w:val="22"/>
        </w:rPr>
        <w:t>Super-admin sees a queue of PENDING payment_verifications with: tenant name, submitted txn ID, amount, paid date, sender number, time-since-submission. Admin clicks 'Verify' (one action extends the cycle) or 'Reject' (requires a reason). Filter by status / date / tenant. A daily digest SMS reminds admin of any submission waiting &gt; 24 hours.</w:t>
      </w:r>
    </w:p>
    <w:p>
      <w:pPr>
        <w:pStyle w:val="Heading1"/>
        <w:keepNext/>
        <w:spacing w:before="280" w:after="120" w:line="288" w:lineRule="auto"/>
        <w:jc w:val="left"/>
      </w:pPr>
      <w:r>
        <w:rPr>
          <w:rFonts w:ascii="Calibri" w:hAnsi="Calibri"/>
          <w:b/>
          <w:color w:val="0F3D66"/>
          <w:sz w:val="36"/>
        </w:rPr>
        <w:t>4. Core Modules</w:t>
      </w:r>
    </w:p>
    <w:p>
      <w:pPr>
        <w:spacing w:before="40" w:after="80" w:line="300" w:lineRule="auto"/>
        <w:jc w:val="left"/>
      </w:pPr>
      <w:r>
        <w:rPr>
          <w:rFonts w:ascii="Calibri" w:hAnsi="Calibri"/>
          <w:b w:val="0"/>
          <w:color w:val="1F2937"/>
          <w:sz w:val="22"/>
        </w:rPr>
        <w:t>Each module is a self-contained feature domain with its own schema, API routes, and UI screens. All screens are designed mobile-first: a single-column layout on phones that expands to a multi-column dashboard on tablet/desktop.</w:t>
      </w:r>
    </w:p>
    <w:p>
      <w:pPr>
        <w:pStyle w:val="Heading2"/>
        <w:keepNext/>
        <w:spacing w:before="200" w:after="120" w:line="288" w:lineRule="auto"/>
        <w:jc w:val="left"/>
      </w:pPr>
      <w:r>
        <w:rPr>
          <w:rFonts w:ascii="Calibri" w:hAnsi="Calibri"/>
          <w:b/>
          <w:color w:val="0F3D66"/>
          <w:sz w:val="28"/>
        </w:rPr>
        <w:t>4.1 Product Setup</w:t>
      </w:r>
    </w:p>
    <w:p>
      <w:pPr>
        <w:spacing w:before="40" w:after="80" w:line="300" w:lineRule="auto"/>
        <w:jc w:val="left"/>
      </w:pPr>
      <w:r>
        <w:rPr>
          <w:rFonts w:ascii="Calibri" w:hAnsi="Calibri"/>
          <w:b w:val="0"/>
          <w:color w:val="1F2937"/>
          <w:sz w:val="22"/>
        </w:rPr>
        <w:t>Define the catalogue of CCTV items the business trades. A Product is the master record; individual units (with serial numbers) are created at purchase time and consumed at sale time.</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3118"/>
        <w:gridCol w:w="3118"/>
        <w:gridCol w:w="3118"/>
      </w:tblGrid>
      <w:tr>
        <w:tc>
          <w:tcPr>
            <w:tcW w:type="dxa" w:w="2268"/>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Field</w:t>
            </w:r>
          </w:p>
        </w:tc>
        <w:tc>
          <w:tcPr>
            <w:tcW w:type="dxa" w:w="1984"/>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Type</w:t>
            </w:r>
          </w:p>
        </w:tc>
        <w:tc>
          <w:tcPr>
            <w:tcW w:type="dxa" w:w="5102"/>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Notes</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Product Name</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String</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e.g. Dahua 4MP Dome Camera</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Category</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Enum / Ref</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Camera, DVR/NVR, Cable, PSU, Accessories, Service</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Model</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String</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e.g. DH-IPC-HFW2431T</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Safety Stock</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Integer</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Low-stock alert trigger threshold</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Unit</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Enum</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Pcs / Box / Roll / Set</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Barcode/SKU</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String</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Auto-generated, printable label</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Image</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URL</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Product thumbnail (S3/R2)</w:t>
            </w:r>
          </w:p>
        </w:tc>
      </w:tr>
    </w:tbl>
    <w:p>
      <w:pPr>
        <w:pStyle w:val="ListBullet"/>
        <w:spacing w:before="20" w:after="40" w:line="288" w:lineRule="auto"/>
      </w:pPr>
      <w:r>
        <w:rPr>
          <w:rFonts w:ascii="Calibri" w:hAnsi="Calibri"/>
          <w:b w:val="0"/>
          <w:color w:val="1F2937"/>
          <w:sz w:val="21"/>
        </w:rPr>
        <w:t>Low-stock alert fires when on-hand qty ≤ Safety Stock (push + SMS to owner).</w:t>
      </w:r>
    </w:p>
    <w:p>
      <w:pPr>
        <w:pStyle w:val="ListBullet"/>
        <w:spacing w:before="20" w:after="40" w:line="288" w:lineRule="auto"/>
      </w:pPr>
      <w:r>
        <w:rPr>
          <w:rFonts w:ascii="Calibri" w:hAnsi="Calibri"/>
          <w:b w:val="0"/>
          <w:color w:val="1F2937"/>
          <w:sz w:val="21"/>
        </w:rPr>
        <w:t>Category and Unit are tenant-scoped reference tables (owner can add custom values).</w:t>
      </w:r>
    </w:p>
    <w:p>
      <w:pPr>
        <w:pStyle w:val="Heading2"/>
        <w:keepNext/>
        <w:spacing w:before="200" w:after="120" w:line="288" w:lineRule="auto"/>
        <w:jc w:val="left"/>
      </w:pPr>
      <w:r>
        <w:rPr>
          <w:rFonts w:ascii="Calibri" w:hAnsi="Calibri"/>
          <w:b/>
          <w:color w:val="0F3D66"/>
          <w:sz w:val="28"/>
        </w:rPr>
        <w:t>4.2 Purchase Management</w:t>
      </w:r>
    </w:p>
    <w:p>
      <w:pPr>
        <w:spacing w:before="40" w:after="80" w:line="300" w:lineRule="auto"/>
        <w:jc w:val="left"/>
      </w:pPr>
      <w:r>
        <w:rPr>
          <w:rFonts w:ascii="Calibri" w:hAnsi="Calibri"/>
          <w:b w:val="0"/>
          <w:color w:val="1F2937"/>
          <w:sz w:val="22"/>
        </w:rPr>
        <w:t>Record stock-in. Because CCTV businesses often buy multiple products in one invoice (camera + cable + PSU), the Purchase screen uses a multi-row cart: add products, set qty, price, warranty, and serial numbers. Serial capture supports bulk paste (one per line) and barcode scan via the device camera.</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3118"/>
        <w:gridCol w:w="3118"/>
        <w:gridCol w:w="3118"/>
      </w:tblGrid>
      <w:tr>
        <w:tc>
          <w:tcPr>
            <w:tcW w:type="dxa" w:w="2268"/>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Field</w:t>
            </w:r>
          </w:p>
        </w:tc>
        <w:tc>
          <w:tcPr>
            <w:tcW w:type="dxa" w:w="1984"/>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Type</w:t>
            </w:r>
          </w:p>
        </w:tc>
        <w:tc>
          <w:tcPr>
            <w:tcW w:type="dxa" w:w="5102"/>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Notes</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Invoice No</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String</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Auto or manual</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Supplier</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Ref (suppliers)</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Select from supplier list</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Defaults to today</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Product List</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Cart rows</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Multi-product, qty, unit, free-text</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Quantity</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Decimal</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Supports fractional (e.g. 1.5 rolls of cable)</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Purchase Price</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Per unit, BDT</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Sales Price</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Suggested retail (auto-fills Sales)</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Warranty (months)</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Integer</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Per product line</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Serial No</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String[]</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Bulk paste / scan; auto-creates inventory units</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Total</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Computed = sum(qty × purchase price)</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Payment Mode</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Enum</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Cash / Bank / bKash / Due</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Paid Amount + Due</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Drives supplier payable ledger</w:t>
            </w:r>
          </w:p>
        </w:tc>
      </w:tr>
    </w:tbl>
    <w:p>
      <w:pPr>
        <w:spacing w:before="40" w:after="80" w:line="300" w:lineRule="auto"/>
        <w:jc w:val="left"/>
      </w:pPr>
      <w:r>
        <w:rPr>
          <w:rFonts w:ascii="Calibri" w:hAnsi="Calibri"/>
          <w:b w:val="0"/>
          <w:color w:val="5F6B7A"/>
          <w:sz w:val="21"/>
        </w:rPr>
        <w:t>Workflow: New Purchase → add supplier → add product rows (search by name/model/scan) → capture serials → enter prices → choose payment → Save. On Save: stock increases, supplier ledger updates, warranty timer starts for each serial, and inventory units become saleable.</w:t>
      </w:r>
    </w:p>
    <w:p>
      <w:pPr>
        <w:pStyle w:val="Heading2"/>
        <w:keepNext/>
        <w:spacing w:before="200" w:after="120" w:line="288" w:lineRule="auto"/>
        <w:jc w:val="left"/>
      </w:pPr>
      <w:r>
        <w:rPr>
          <w:rFonts w:ascii="Calibri" w:hAnsi="Calibri"/>
          <w:b/>
          <w:color w:val="0F3D66"/>
          <w:sz w:val="28"/>
        </w:rPr>
        <w:t>4.3 Sales Management</w:t>
      </w:r>
    </w:p>
    <w:p>
      <w:pPr>
        <w:spacing w:before="40" w:after="80" w:line="300" w:lineRule="auto"/>
        <w:jc w:val="left"/>
      </w:pPr>
      <w:r>
        <w:rPr>
          <w:rFonts w:ascii="Calibri" w:hAnsi="Calibri"/>
          <w:b w:val="0"/>
          <w:color w:val="1F2937"/>
          <w:sz w:val="22"/>
        </w:rPr>
        <w:t>Sell stock to a customer (walk-in or named). Same cart pattern as Purchase for speed. The salesman selects a customer, then types/scans a Serial No / Model / Product Name — the system shows live Stock, Purchase Rate (for margin visibility), Warranty months, and asks for Quantity and Sales Rate. Multiple lines can be added; Total auto-calculates.</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3118"/>
        <w:gridCol w:w="3118"/>
        <w:gridCol w:w="3118"/>
      </w:tblGrid>
      <w:tr>
        <w:tc>
          <w:tcPr>
            <w:tcW w:type="dxa" w:w="2268"/>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Field</w:t>
            </w:r>
          </w:p>
        </w:tc>
        <w:tc>
          <w:tcPr>
            <w:tcW w:type="dxa" w:w="1984"/>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Type</w:t>
            </w:r>
          </w:p>
        </w:tc>
        <w:tc>
          <w:tcPr>
            <w:tcW w:type="dxa" w:w="5102"/>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Notes</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Invoice No</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String</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Auto: INV-YYMMDD-001</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Customer</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Ref</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Walk-in (anonymous) or named customer</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Defaults to today</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Line item</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Cart</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Serial/Model/Name + qty + sales rate</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Stock (shown)</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Integer</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Live availability, blocks oversell</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Purchase Rate (shown)</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Owner/Manager only — margin view</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Warranty</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Months</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Auto from product, editable per sale</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Quantity</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Decimal</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Fractional allowed for cable/service</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Sales Rate</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Per unit, editable</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Total</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Auto = Σ(qty × rate)</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Discount</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Optional, line or invoice level</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Payment Mode + Paid + Due</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Drives customer receivable ledger</w:t>
            </w:r>
          </w:p>
        </w:tc>
      </w:tr>
    </w:tbl>
    <w:p>
      <w:pPr>
        <w:spacing w:before="40" w:after="80" w:line="300" w:lineRule="auto"/>
        <w:jc w:val="left"/>
      </w:pPr>
      <w:r>
        <w:rPr>
          <w:rFonts w:ascii="Calibri" w:hAnsi="Calibri"/>
          <w:b w:val="0"/>
          <w:color w:val="5F6B7A"/>
          <w:sz w:val="21"/>
        </w:rPr>
        <w:t>On Save: stock decreases per serial/qty, customer receivable updates, warranty card auto-generated (printable PDF + SMS to customer with warranty code), invoice PDF generated and stored.</w:t>
      </w:r>
    </w:p>
    <w:p>
      <w:pPr>
        <w:pStyle w:val="Heading2"/>
        <w:keepNext/>
        <w:spacing w:before="200" w:after="120" w:line="288" w:lineRule="auto"/>
        <w:jc w:val="left"/>
      </w:pPr>
      <w:r>
        <w:rPr>
          <w:rFonts w:ascii="Calibri" w:hAnsi="Calibri"/>
          <w:b/>
          <w:color w:val="0F3D66"/>
          <w:sz w:val="28"/>
        </w:rPr>
        <w:t>4.4 Basic Accounting System</w:t>
      </w:r>
    </w:p>
    <w:p>
      <w:pPr>
        <w:spacing w:before="40" w:after="80" w:line="300" w:lineRule="auto"/>
        <w:jc w:val="left"/>
      </w:pPr>
      <w:r>
        <w:rPr>
          <w:rFonts w:ascii="Calibri" w:hAnsi="Calibri"/>
          <w:b w:val="0"/>
          <w:color w:val="1F2937"/>
          <w:sz w:val="22"/>
        </w:rPr>
        <w:t>A lightweight ledger to record non-product income and expenses (rent, electricity, transport, salary top-ups, service income). Not a full double-entry system — single-entry, cash-book style, which matches how shop owners actually keep books.</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3118"/>
        <w:gridCol w:w="3118"/>
        <w:gridCol w:w="3118"/>
      </w:tblGrid>
      <w:tr>
        <w:tc>
          <w:tcPr>
            <w:tcW w:type="dxa" w:w="2268"/>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Field</w:t>
            </w:r>
          </w:p>
        </w:tc>
        <w:tc>
          <w:tcPr>
            <w:tcW w:type="dxa" w:w="1984"/>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Type</w:t>
            </w:r>
          </w:p>
        </w:tc>
        <w:tc>
          <w:tcPr>
            <w:tcW w:type="dxa" w:w="5102"/>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Notes</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Transaction date</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Ledger Head</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Enum</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Income / Expense</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Account Head</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Ref</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e.g. Rent, Electricity, Transport, Service Income</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Transaction By</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String/Ref</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Employee or party name</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Amount</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BDT, 2 decimals</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Narration</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Text</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Short note / bill ref</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Attachment</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URL</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Bill photo (optional)</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Payment Mode</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Enum</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Cash / Bank / bKash</w:t>
            </w:r>
          </w:p>
        </w:tc>
      </w:tr>
    </w:tbl>
    <w:p>
      <w:pPr>
        <w:pStyle w:val="ListBullet"/>
        <w:spacing w:before="20" w:after="40" w:line="288" w:lineRule="auto"/>
      </w:pPr>
      <w:r>
        <w:rPr>
          <w:rFonts w:ascii="Calibri" w:hAnsi="Calibri"/>
          <w:b w:val="0"/>
          <w:color w:val="1F2937"/>
          <w:sz w:val="21"/>
        </w:rPr>
        <w:t>Account Heads are tenant-customisable (owner can add 'Internet Bill', 'Generator Fuel', etc.).</w:t>
      </w:r>
    </w:p>
    <w:p>
      <w:pPr>
        <w:pStyle w:val="ListBullet"/>
        <w:spacing w:before="20" w:after="40" w:line="288" w:lineRule="auto"/>
      </w:pPr>
      <w:r>
        <w:rPr>
          <w:rFonts w:ascii="Calibri" w:hAnsi="Calibri"/>
          <w:b w:val="0"/>
          <w:color w:val="1F2937"/>
          <w:sz w:val="21"/>
        </w:rPr>
        <w:t>Daily cash summary = opening cash + receipts (sales cash + other income) − payments (expense + supplier).</w:t>
      </w:r>
    </w:p>
    <w:p>
      <w:pPr>
        <w:pStyle w:val="Heading2"/>
        <w:keepNext/>
        <w:spacing w:before="200" w:after="120" w:line="288" w:lineRule="auto"/>
        <w:jc w:val="left"/>
      </w:pPr>
      <w:r>
        <w:rPr>
          <w:rFonts w:ascii="Calibri" w:hAnsi="Calibri"/>
          <w:b/>
          <w:color w:val="0F3D66"/>
          <w:sz w:val="28"/>
        </w:rPr>
        <w:t>4.5 Customer Receipts &amp; Supplier Payments</w:t>
      </w:r>
    </w:p>
    <w:p>
      <w:pPr>
        <w:spacing w:before="40" w:after="80" w:line="300" w:lineRule="auto"/>
        <w:jc w:val="left"/>
      </w:pPr>
      <w:r>
        <w:rPr>
          <w:rFonts w:ascii="Calibri" w:hAnsi="Calibri"/>
          <w:b w:val="0"/>
          <w:color w:val="1F2937"/>
          <w:sz w:val="22"/>
        </w:rPr>
        <w:t>Customer-wise Receive (money-in) and Supplier-wise Payment (money-out) modules settle the dues created by Sales and Purchase. Each receipt/payment links to a customer/supplier and optionally to specific invoices (multiple-invoice settle supported).</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3118"/>
        <w:gridCol w:w="3118"/>
        <w:gridCol w:w="3118"/>
      </w:tblGrid>
      <w:tr>
        <w:tc>
          <w:tcPr>
            <w:tcW w:type="dxa" w:w="2268"/>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Field</w:t>
            </w:r>
          </w:p>
        </w:tc>
        <w:tc>
          <w:tcPr>
            <w:tcW w:type="dxa" w:w="1984"/>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Type</w:t>
            </w:r>
          </w:p>
        </w:tc>
        <w:tc>
          <w:tcPr>
            <w:tcW w:type="dxa" w:w="5102"/>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Notes</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Party</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Ref</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Customer or Supplier</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Amount</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Received or Paid</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Mode</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Enum</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Cash / Bank / bKash / Nagad / Cheque</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Against Invoices</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Ref[]</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Auto-allocate FIFO or manual</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Adjustment</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Discount / round-off</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Narration</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Text</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Cheque no., reference, note</w:t>
            </w:r>
          </w:p>
        </w:tc>
      </w:tr>
    </w:tbl>
    <w:p>
      <w:pPr>
        <w:pStyle w:val="Heading2"/>
        <w:keepNext/>
        <w:spacing w:before="200" w:after="120" w:line="288" w:lineRule="auto"/>
        <w:jc w:val="left"/>
      </w:pPr>
      <w:r>
        <w:rPr>
          <w:rFonts w:ascii="Calibri" w:hAnsi="Calibri"/>
          <w:b/>
          <w:color w:val="0F3D66"/>
          <w:sz w:val="28"/>
        </w:rPr>
        <w:t>4.6 Employee, Customer &amp; Supplier Setup</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3118"/>
        <w:gridCol w:w="3118"/>
        <w:gridCol w:w="3118"/>
      </w:tblGrid>
      <w:tr>
        <w:tc>
          <w:tcPr>
            <w:tcW w:type="dxa" w:w="1984"/>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Entity</w:t>
            </w:r>
          </w:p>
        </w:tc>
        <w:tc>
          <w:tcPr>
            <w:tcW w:type="dxa" w:w="4252"/>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Key Fields</w:t>
            </w:r>
          </w:p>
        </w:tc>
        <w:tc>
          <w:tcPr>
            <w:tcW w:type="dxa" w:w="3118"/>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Linked Features</w:t>
            </w:r>
          </w:p>
        </w:tc>
      </w:tr>
      <w:tr>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Employee</w:t>
            </w:r>
          </w:p>
        </w:tc>
        <w:tc>
          <w:tcPr>
            <w:tcW w:type="dxa" w:w="425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Name, Phone, Role, Join Date, Salary, Status</w:t>
            </w:r>
          </w:p>
        </w:tc>
        <w:tc>
          <w:tcPr>
            <w:tcW w:type="dxa" w:w="311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Salary disbursal, transaction-by, sales attribution</w:t>
            </w:r>
          </w:p>
        </w:tc>
      </w:tr>
      <w:tr>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Customer</w:t>
            </w:r>
          </w:p>
        </w:tc>
        <w:tc>
          <w:tcPr>
            <w:tcW w:type="dxa" w:w="425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Name, Phone, Address, Type (Retail/Installer)</w:t>
            </w:r>
          </w:p>
        </w:tc>
        <w:tc>
          <w:tcPr>
            <w:tcW w:type="dxa" w:w="311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Sales, receipts, review follow-up, warranty</w:t>
            </w:r>
          </w:p>
        </w:tc>
      </w:tr>
      <w:tr>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Supplier</w:t>
            </w:r>
          </w:p>
        </w:tc>
        <w:tc>
          <w:tcPr>
            <w:tcW w:type="dxa" w:w="425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Name, Phone, Company, Balance</w:t>
            </w:r>
          </w:p>
        </w:tc>
        <w:tc>
          <w:tcPr>
            <w:tcW w:type="dxa" w:w="311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Purchase, payments, stock source</w:t>
            </w:r>
          </w:p>
        </w:tc>
      </w:tr>
    </w:tbl>
    <w:p>
      <w:pPr>
        <w:spacing w:before="40" w:after="80" w:line="300" w:lineRule="auto"/>
        <w:jc w:val="left"/>
      </w:pPr>
      <w:r>
        <w:rPr>
          <w:rFonts w:ascii="Calibri" w:hAnsi="Calibri"/>
          <w:b w:val="0"/>
          <w:color w:val="5F6B7A"/>
          <w:sz w:val="21"/>
        </w:rPr>
        <w:t>Employee Salary module: monthly salary record (basic + allowance + advance-deduction), disburse as an Expense transaction automatically; tracks advance salary and outstanding.</w:t>
      </w:r>
    </w:p>
    <w:p>
      <w:pPr>
        <w:pStyle w:val="Heading1"/>
        <w:keepNext/>
        <w:spacing w:before="280" w:after="120" w:line="288" w:lineRule="auto"/>
        <w:jc w:val="left"/>
      </w:pPr>
      <w:r>
        <w:rPr>
          <w:rFonts w:ascii="Calibri" w:hAnsi="Calibri"/>
          <w:b/>
          <w:color w:val="0F3D66"/>
          <w:sz w:val="36"/>
        </w:rPr>
        <w:t>5. Specialised Features</w:t>
      </w:r>
    </w:p>
    <w:p>
      <w:pPr>
        <w:pStyle w:val="Heading2"/>
        <w:keepNext/>
        <w:spacing w:before="200" w:after="120" w:line="288" w:lineRule="auto"/>
        <w:jc w:val="left"/>
      </w:pPr>
      <w:r>
        <w:rPr>
          <w:rFonts w:ascii="Calibri" w:hAnsi="Calibri"/>
          <w:b/>
          <w:color w:val="0F3D66"/>
          <w:sz w:val="28"/>
        </w:rPr>
        <w:t>5.1 Warranty Tracking</w:t>
      </w:r>
    </w:p>
    <w:p>
      <w:pPr>
        <w:spacing w:before="40" w:after="80" w:line="300" w:lineRule="auto"/>
        <w:jc w:val="left"/>
      </w:pPr>
      <w:r>
        <w:rPr>
          <w:rFonts w:ascii="Calibri" w:hAnsi="Calibri"/>
          <w:b w:val="0"/>
          <w:color w:val="1F2937"/>
          <w:sz w:val="22"/>
        </w:rPr>
        <w:t>Each sold serial carries a warranty window (months, set per product line at purchase). The system computes warranty start = sale date, warranty end = start + months. Two ways to handle warranty:</w:t>
      </w:r>
    </w:p>
    <w:p>
      <w:pPr>
        <w:pStyle w:val="ListBullet"/>
        <w:spacing w:before="20" w:after="40" w:line="288" w:lineRule="auto"/>
      </w:pPr>
      <w:r>
        <w:rPr>
          <w:rFonts w:ascii="Calibri" w:hAnsi="Calibri"/>
          <w:b w:val="0"/>
          <w:color w:val="1F2937"/>
          <w:sz w:val="21"/>
        </w:rPr>
        <w:t>Stock-attached warranty: warranty travels with the physical serial unit sold.</w:t>
      </w:r>
    </w:p>
    <w:p>
      <w:pPr>
        <w:pStyle w:val="ListBullet"/>
        <w:spacing w:before="20" w:after="40" w:line="288" w:lineRule="auto"/>
      </w:pPr>
      <w:r>
        <w:rPr>
          <w:rFonts w:ascii="Calibri" w:hAnsi="Calibri"/>
          <w:b w:val="0"/>
          <w:color w:val="1F2937"/>
          <w:sz w:val="21"/>
        </w:rPr>
        <w:t>Service-ticket warranty: when a customer brings a faulty unit, look up by serial/phone → see if within warranty → create a Service Ticket (free/paid) → track repair status.</w:t>
      </w:r>
    </w:p>
    <w:p>
      <w:pPr>
        <w:spacing w:before="40" w:after="80" w:line="300" w:lineRule="auto"/>
        <w:jc w:val="left"/>
      </w:pPr>
      <w:r>
        <w:rPr>
          <w:rFonts w:ascii="Calibri" w:hAnsi="Calibri"/>
          <w:b w:val="0"/>
          <w:color w:val="5F6B7A"/>
          <w:sz w:val="21"/>
        </w:rPr>
        <w:t>Alerts: 15/30 days before warranty expiry, SMS the customer a renewal/service offer (lead generation for the shop). Dashboard widget shows upcoming expiries.</w:t>
      </w:r>
    </w:p>
    <w:p>
      <w:pPr>
        <w:pStyle w:val="Heading2"/>
        <w:keepNext/>
        <w:spacing w:before="200" w:after="120" w:line="288" w:lineRule="auto"/>
        <w:jc w:val="left"/>
      </w:pPr>
      <w:r>
        <w:rPr>
          <w:rFonts w:ascii="Calibri" w:hAnsi="Calibri"/>
          <w:b/>
          <w:color w:val="0F3D66"/>
          <w:sz w:val="28"/>
        </w:rPr>
        <w:t>5.2 Fast Partial Purchase &amp; Sale (Cart Pattern)</w:t>
      </w:r>
    </w:p>
    <w:p>
      <w:pPr>
        <w:spacing w:before="40" w:after="80" w:line="300" w:lineRule="auto"/>
        <w:jc w:val="left"/>
      </w:pPr>
      <w:r>
        <w:rPr>
          <w:rFonts w:ascii="Calibri" w:hAnsi="Calibri"/>
          <w:b w:val="0"/>
          <w:color w:val="1F2937"/>
          <w:sz w:val="22"/>
        </w:rPr>
        <w:t>Real CCTV businesses rarely transact one product at a time. The cart-based UI is the core usability win: a single screen lets the user add many products with quantity, price, and warranty in one invoice. Keyboard-first and scan-first input keeps the operator's hands free.</w:t>
      </w:r>
    </w:p>
    <w:p>
      <w:pPr>
        <w:pStyle w:val="ListBullet"/>
        <w:spacing w:before="20" w:after="40" w:line="288" w:lineRule="auto"/>
      </w:pPr>
      <w:r>
        <w:rPr>
          <w:rFonts w:ascii="Calibri" w:hAnsi="Calibri"/>
          <w:b w:val="0"/>
          <w:color w:val="1F2937"/>
          <w:sz w:val="21"/>
        </w:rPr>
        <w:t>Smart product search: type a few letters of name or model, or scan barcode/serial — instant match.</w:t>
      </w:r>
    </w:p>
    <w:p>
      <w:pPr>
        <w:pStyle w:val="ListBullet"/>
        <w:spacing w:before="20" w:after="40" w:line="288" w:lineRule="auto"/>
      </w:pPr>
      <w:r>
        <w:rPr>
          <w:rFonts w:ascii="Calibri" w:hAnsi="Calibri"/>
          <w:b w:val="0"/>
          <w:color w:val="1F2937"/>
          <w:sz w:val="21"/>
        </w:rPr>
        <w:t>Quantity accepts fractions (0.5 roll of RG59 cable, 1.25 boxes of connectors).</w:t>
      </w:r>
    </w:p>
    <w:p>
      <w:pPr>
        <w:pStyle w:val="ListBullet"/>
        <w:spacing w:before="20" w:after="40" w:line="288" w:lineRule="auto"/>
      </w:pPr>
      <w:r>
        <w:rPr>
          <w:rFonts w:ascii="Calibri" w:hAnsi="Calibri"/>
          <w:b w:val="0"/>
          <w:color w:val="1F2937"/>
          <w:sz w:val="21"/>
        </w:rPr>
        <w:t>Default Sales Price auto-fills from Product master; editable inline per line.</w:t>
      </w:r>
    </w:p>
    <w:p>
      <w:pPr>
        <w:pStyle w:val="ListBullet"/>
        <w:spacing w:before="20" w:after="40" w:line="288" w:lineRule="auto"/>
      </w:pPr>
      <w:r>
        <w:rPr>
          <w:rFonts w:ascii="Calibri" w:hAnsi="Calibri"/>
          <w:b w:val="0"/>
          <w:color w:val="1F2937"/>
          <w:sz w:val="21"/>
        </w:rPr>
        <w:t>Hold invoice: park a half-built cart and resume later (walk-in interruption).</w:t>
      </w:r>
    </w:p>
    <w:p>
      <w:pPr>
        <w:pStyle w:val="ListBullet"/>
        <w:spacing w:before="20" w:after="40" w:line="288" w:lineRule="auto"/>
      </w:pPr>
      <w:r>
        <w:rPr>
          <w:rFonts w:ascii="Calibri" w:hAnsi="Calibri"/>
          <w:b w:val="0"/>
          <w:color w:val="1F2937"/>
          <w:sz w:val="21"/>
        </w:rPr>
        <w:t>Quick-add 'Service' line item (installation charge) without needing a product record.</w:t>
      </w:r>
    </w:p>
    <w:p>
      <w:pPr>
        <w:pStyle w:val="Heading2"/>
        <w:keepNext/>
        <w:spacing w:before="200" w:after="120" w:line="288" w:lineRule="auto"/>
        <w:jc w:val="left"/>
      </w:pPr>
      <w:r>
        <w:rPr>
          <w:rFonts w:ascii="Calibri" w:hAnsi="Calibri"/>
          <w:b/>
          <w:color w:val="0F3D66"/>
          <w:sz w:val="28"/>
        </w:rPr>
        <w:t>5.3 Report System</w:t>
      </w:r>
    </w:p>
    <w:p>
      <w:pPr>
        <w:spacing w:before="40" w:after="80" w:line="300" w:lineRule="auto"/>
        <w:jc w:val="left"/>
      </w:pPr>
      <w:r>
        <w:rPr>
          <w:rFonts w:ascii="Calibri" w:hAnsi="Calibri"/>
          <w:b w:val="0"/>
          <w:color w:val="1F2937"/>
          <w:sz w:val="22"/>
        </w:rPr>
        <w:t>Reports are printable (PDF), exportable (Excel/CSV), and date-ranged. The list below covers the minimum viable report set; all are filterable by date, party, and product.</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4677"/>
        <w:gridCol w:w="4677"/>
      </w:tblGrid>
      <w:tr>
        <w:tc>
          <w:tcPr>
            <w:tcW w:type="dxa" w:w="2835"/>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Report</w:t>
            </w:r>
          </w:p>
        </w:tc>
        <w:tc>
          <w:tcPr>
            <w:tcW w:type="dxa" w:w="6520"/>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Purpose</w:t>
            </w:r>
          </w:p>
        </w:tc>
      </w:tr>
      <w:tr>
        <w:tc>
          <w:tcPr>
            <w:tcW w:type="dxa" w:w="283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Stock Summary</w:t>
            </w:r>
          </w:p>
        </w:tc>
        <w:tc>
          <w:tcPr>
            <w:tcW w:type="dxa" w:w="6520"/>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Product-wise on-hand qty, value, low-stock flag</w:t>
            </w:r>
          </w:p>
        </w:tc>
      </w:tr>
      <w:tr>
        <w:tc>
          <w:tcPr>
            <w:tcW w:type="dxa" w:w="283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Sales Report</w:t>
            </w:r>
          </w:p>
        </w:tc>
        <w:tc>
          <w:tcPr>
            <w:tcW w:type="dxa" w:w="6520"/>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Invoice list, total sales, due, discount, by salesman</w:t>
            </w:r>
          </w:p>
        </w:tc>
      </w:tr>
      <w:tr>
        <w:tc>
          <w:tcPr>
            <w:tcW w:type="dxa" w:w="283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Purchase Report</w:t>
            </w:r>
          </w:p>
        </w:tc>
        <w:tc>
          <w:tcPr>
            <w:tcW w:type="dxa" w:w="6520"/>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Invoice list, total purchase, supplier-wise</w:t>
            </w:r>
          </w:p>
        </w:tc>
      </w:tr>
      <w:tr>
        <w:tc>
          <w:tcPr>
            <w:tcW w:type="dxa" w:w="283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Profit / Loss</w:t>
            </w:r>
          </w:p>
        </w:tc>
        <w:tc>
          <w:tcPr>
            <w:tcW w:type="dxa" w:w="6520"/>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Per invoice &amp; aggregate: (sales − purchase − discount)</w:t>
            </w:r>
          </w:p>
        </w:tc>
      </w:tr>
      <w:tr>
        <w:tc>
          <w:tcPr>
            <w:tcW w:type="dxa" w:w="283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Customer Ledger</w:t>
            </w:r>
          </w:p>
        </w:tc>
        <w:tc>
          <w:tcPr>
            <w:tcW w:type="dxa" w:w="6520"/>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Party-wise all transactions + running balance</w:t>
            </w:r>
          </w:p>
        </w:tc>
      </w:tr>
      <w:tr>
        <w:tc>
          <w:tcPr>
            <w:tcW w:type="dxa" w:w="283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Supplier Ledger</w:t>
            </w:r>
          </w:p>
        </w:tc>
        <w:tc>
          <w:tcPr>
            <w:tcW w:type="dxa" w:w="6520"/>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Party-wise all transactions + running balance</w:t>
            </w:r>
          </w:p>
        </w:tc>
      </w:tr>
      <w:tr>
        <w:tc>
          <w:tcPr>
            <w:tcW w:type="dxa" w:w="283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Cash Book</w:t>
            </w:r>
          </w:p>
        </w:tc>
        <w:tc>
          <w:tcPr>
            <w:tcW w:type="dxa" w:w="6520"/>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Day-wise cash in/out with closing balance</w:t>
            </w:r>
          </w:p>
        </w:tc>
      </w:tr>
      <w:tr>
        <w:tc>
          <w:tcPr>
            <w:tcW w:type="dxa" w:w="283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Income / Expense</w:t>
            </w:r>
          </w:p>
        </w:tc>
        <w:tc>
          <w:tcPr>
            <w:tcW w:type="dxa" w:w="6520"/>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Account-head-wise summary (monthly)</w:t>
            </w:r>
          </w:p>
        </w:tc>
      </w:tr>
      <w:tr>
        <w:tc>
          <w:tcPr>
            <w:tcW w:type="dxa" w:w="283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Warranty Expiry</w:t>
            </w:r>
          </w:p>
        </w:tc>
        <w:tc>
          <w:tcPr>
            <w:tcW w:type="dxa" w:w="6520"/>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Upcoming warranty ends by date window</w:t>
            </w:r>
          </w:p>
        </w:tc>
      </w:tr>
      <w:tr>
        <w:tc>
          <w:tcPr>
            <w:tcW w:type="dxa" w:w="283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Employee Salary Sheet</w:t>
            </w:r>
          </w:p>
        </w:tc>
        <w:tc>
          <w:tcPr>
            <w:tcW w:type="dxa" w:w="6520"/>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Monthly payroll summary</w:t>
            </w:r>
          </w:p>
        </w:tc>
      </w:tr>
      <w:tr>
        <w:tc>
          <w:tcPr>
            <w:tcW w:type="dxa" w:w="2835"/>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Quotation Register</w:t>
            </w:r>
          </w:p>
        </w:tc>
        <w:tc>
          <w:tcPr>
            <w:tcW w:type="dxa" w:w="6520"/>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All quotes by status/customer/date; win/loss &amp; conversion rate</w:t>
            </w:r>
          </w:p>
        </w:tc>
      </w:tr>
      <w:tr>
        <w:tc>
          <w:tcPr>
            <w:tcW w:type="dxa" w:w="2835"/>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RMA Status</w:t>
            </w:r>
          </w:p>
        </w:tc>
        <w:tc>
          <w:tcPr>
            <w:tcW w:type="dxa" w:w="6520"/>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Open RMAs by stage; vendor turnaround time; overdue list</w:t>
            </w:r>
          </w:p>
        </w:tc>
      </w:tr>
    </w:tbl>
    <w:p>
      <w:pPr>
        <w:pStyle w:val="Heading2"/>
        <w:keepNext/>
        <w:spacing w:before="200" w:after="120" w:line="288" w:lineRule="auto"/>
        <w:jc w:val="left"/>
      </w:pPr>
      <w:r>
        <w:rPr>
          <w:rFonts w:ascii="Calibri" w:hAnsi="Calibri"/>
          <w:b/>
          <w:color w:val="0F3D66"/>
          <w:sz w:val="28"/>
        </w:rPr>
        <w:t>5.4 Review &amp; Customer Follow-up Section</w:t>
      </w:r>
    </w:p>
    <w:p>
      <w:pPr>
        <w:spacing w:before="40" w:after="80" w:line="300" w:lineRule="auto"/>
        <w:jc w:val="left"/>
      </w:pPr>
      <w:r>
        <w:rPr>
          <w:rFonts w:ascii="Calibri" w:hAnsi="Calibri"/>
          <w:b w:val="0"/>
          <w:color w:val="1F2937"/>
          <w:sz w:val="22"/>
        </w:rPr>
        <w:t>A CRM-style panel where the owner sees all customers with their purchase history and call status. Designed to turn one-time buyers into repeat clients via follow-up calls and feedback notes.</w:t>
      </w:r>
    </w:p>
    <w:p>
      <w:pPr>
        <w:pStyle w:val="ListBullet"/>
        <w:spacing w:before="20" w:after="40" w:line="288" w:lineRule="auto"/>
      </w:pPr>
      <w:r>
        <w:rPr>
          <w:rFonts w:ascii="Calibri" w:hAnsi="Calibri"/>
          <w:b w:val="0"/>
          <w:color w:val="1F2937"/>
          <w:sz w:val="21"/>
        </w:rPr>
        <w:t>Customer card: name, phone (click-to-call via tel: link), last purchase date, total spent, warranty status.</w:t>
      </w:r>
    </w:p>
    <w:p>
      <w:pPr>
        <w:pStyle w:val="ListBullet"/>
        <w:spacing w:before="20" w:after="40" w:line="288" w:lineRule="auto"/>
      </w:pPr>
      <w:r>
        <w:rPr>
          <w:rFonts w:ascii="Calibri" w:hAnsi="Calibri"/>
          <w:b w:val="0"/>
          <w:color w:val="1F2937"/>
          <w:sz w:val="21"/>
        </w:rPr>
        <w:t>Purchase history timeline under each customer (serial, product, date, amount).</w:t>
      </w:r>
    </w:p>
    <w:p>
      <w:pPr>
        <w:pStyle w:val="ListBullet"/>
        <w:spacing w:before="20" w:after="40" w:line="288" w:lineRule="auto"/>
      </w:pPr>
      <w:r>
        <w:rPr>
          <w:rFonts w:ascii="Calibri" w:hAnsi="Calibri"/>
          <w:b w:val="0"/>
          <w:color w:val="1F2937"/>
          <w:sz w:val="21"/>
        </w:rPr>
        <w:t>Follow-up notes: free-text note + rating (Happy/Neutral/Unhappy) + next follow-up date.</w:t>
      </w:r>
    </w:p>
    <w:p>
      <w:pPr>
        <w:pStyle w:val="ListBullet"/>
        <w:spacing w:before="20" w:after="40" w:line="288" w:lineRule="auto"/>
      </w:pPr>
      <w:r>
        <w:rPr>
          <w:rFonts w:ascii="Calibri" w:hAnsi="Calibri"/>
          <w:b w:val="0"/>
          <w:color w:val="1F2937"/>
          <w:sz w:val="21"/>
        </w:rPr>
        <w:t>Feedback capture: when the user gets verbal feedback on a call, write a note tagged to that invoice/product.</w:t>
      </w:r>
    </w:p>
    <w:p>
      <w:pPr>
        <w:pStyle w:val="ListBullet"/>
        <w:spacing w:before="20" w:after="40" w:line="288" w:lineRule="auto"/>
      </w:pPr>
      <w:r>
        <w:rPr>
          <w:rFonts w:ascii="Calibri" w:hAnsi="Calibri"/>
          <w:b w:val="0"/>
          <w:color w:val="1F2937"/>
          <w:sz w:val="21"/>
        </w:rPr>
        <w:t>Filter: customers not contacted in last 30/60/90 days → call list.</w:t>
      </w:r>
    </w:p>
    <w:p>
      <w:pPr>
        <w:pStyle w:val="ListBullet"/>
        <w:spacing w:before="20" w:after="40" w:line="288" w:lineRule="auto"/>
      </w:pPr>
      <w:r>
        <w:rPr>
          <w:rFonts w:ascii="Calibri" w:hAnsi="Calibri"/>
          <w:b w:val="0"/>
          <w:color w:val="1F2937"/>
          <w:sz w:val="21"/>
        </w:rPr>
        <w:t>Auto-tasks: after each sale, schedule a 7-day follow-up call reminder.</w:t>
      </w:r>
    </w:p>
    <w:p>
      <w:pPr>
        <w:pStyle w:val="Heading2"/>
        <w:keepNext/>
        <w:spacing w:before="200" w:after="120" w:line="288" w:lineRule="auto"/>
        <w:jc w:val="left"/>
      </w:pPr>
      <w:r>
        <w:rPr>
          <w:rFonts w:ascii="Calibri" w:hAnsi="Calibri"/>
          <w:b/>
          <w:color w:val="0F3D66"/>
          <w:sz w:val="28"/>
        </w:rPr>
        <w:t>5.5 Reminder &amp; Alert System</w:t>
      </w:r>
    </w:p>
    <w:p>
      <w:pPr>
        <w:spacing w:before="40" w:after="80" w:line="300" w:lineRule="auto"/>
        <w:jc w:val="left"/>
      </w:pPr>
      <w:r>
        <w:rPr>
          <w:rFonts w:ascii="Calibri" w:hAnsi="Calibri"/>
          <w:b w:val="0"/>
          <w:color w:val="1F2937"/>
          <w:sz w:val="22"/>
        </w:rPr>
        <w:t>A unified Reminders module covering both business operations and recurring bill payments. Each reminder has a title, type, frequency, next-due date, amount (optional), and notification channel (in-app + SMS).</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3118"/>
        <w:gridCol w:w="3118"/>
        <w:gridCol w:w="3118"/>
      </w:tblGrid>
      <w:tr>
        <w:tc>
          <w:tcPr>
            <w:tcW w:type="dxa" w:w="2551"/>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Reminder Type</w:t>
            </w:r>
          </w:p>
        </w:tc>
        <w:tc>
          <w:tcPr>
            <w:tcW w:type="dxa" w:w="2551"/>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Trigger</w:t>
            </w:r>
          </w:p>
        </w:tc>
        <w:tc>
          <w:tcPr>
            <w:tcW w:type="dxa" w:w="4252"/>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Example</w:t>
            </w:r>
          </w:p>
        </w:tc>
      </w:tr>
      <w:tr>
        <w:tc>
          <w:tcPr>
            <w:tcW w:type="dxa" w:w="255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Tradelicense Renewal</w:t>
            </w:r>
          </w:p>
        </w:tc>
        <w:tc>
          <w:tcPr>
            <w:tcW w:type="dxa" w:w="255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Yearly, before expiry</w:t>
            </w:r>
          </w:p>
        </w:tc>
        <w:tc>
          <w:tcPr>
            <w:tcW w:type="dxa" w:w="425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Dhaka City tradelicense renew by 30 Jun</w:t>
            </w:r>
          </w:p>
        </w:tc>
      </w:tr>
      <w:tr>
        <w:tc>
          <w:tcPr>
            <w:tcW w:type="dxa" w:w="255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Rent Payment</w:t>
            </w:r>
          </w:p>
        </w:tc>
        <w:tc>
          <w:tcPr>
            <w:tcW w:type="dxa" w:w="255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Monthly fixed date</w:t>
            </w:r>
          </w:p>
        </w:tc>
        <w:tc>
          <w:tcPr>
            <w:tcW w:type="dxa" w:w="425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Shop rent due every 5th</w:t>
            </w:r>
          </w:p>
        </w:tc>
      </w:tr>
      <w:tr>
        <w:tc>
          <w:tcPr>
            <w:tcW w:type="dxa" w:w="255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Electricity Bill</w:t>
            </w:r>
          </w:p>
        </w:tc>
        <w:tc>
          <w:tcPr>
            <w:tcW w:type="dxa" w:w="255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Monthly, variable date</w:t>
            </w:r>
          </w:p>
        </w:tc>
        <w:tc>
          <w:tcPr>
            <w:tcW w:type="dxa" w:w="425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DESCO bill — check &amp; pay</w:t>
            </w:r>
          </w:p>
        </w:tc>
      </w:tr>
      <w:tr>
        <w:tc>
          <w:tcPr>
            <w:tcW w:type="dxa" w:w="255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Internet/Gas Bill</w:t>
            </w:r>
          </w:p>
        </w:tc>
        <w:tc>
          <w:tcPr>
            <w:tcW w:type="dxa" w:w="255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Monthly</w:t>
            </w:r>
          </w:p>
        </w:tc>
        <w:tc>
          <w:tcPr>
            <w:tcW w:type="dxa" w:w="425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ISPs and gas bill cycles</w:t>
            </w:r>
          </w:p>
        </w:tc>
      </w:tr>
      <w:tr>
        <w:tc>
          <w:tcPr>
            <w:tcW w:type="dxa" w:w="255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Employee Salary</w:t>
            </w:r>
          </w:p>
        </w:tc>
        <w:tc>
          <w:tcPr>
            <w:tcW w:type="dxa" w:w="255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Monthly</w:t>
            </w:r>
          </w:p>
        </w:tc>
        <w:tc>
          <w:tcPr>
            <w:tcW w:type="dxa" w:w="425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Salary disbursement reminder</w:t>
            </w:r>
          </w:p>
        </w:tc>
      </w:tr>
      <w:tr>
        <w:tc>
          <w:tcPr>
            <w:tcW w:type="dxa" w:w="255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Warranty Expiry</w:t>
            </w:r>
          </w:p>
        </w:tc>
        <w:tc>
          <w:tcPr>
            <w:tcW w:type="dxa" w:w="255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Per serial</w:t>
            </w:r>
          </w:p>
        </w:tc>
        <w:tc>
          <w:tcPr>
            <w:tcW w:type="dxa" w:w="425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Customer unit warranty ends — upsell service</w:t>
            </w:r>
          </w:p>
        </w:tc>
      </w:tr>
      <w:tr>
        <w:tc>
          <w:tcPr>
            <w:tcW w:type="dxa" w:w="255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Low Stock</w:t>
            </w:r>
          </w:p>
        </w:tc>
        <w:tc>
          <w:tcPr>
            <w:tcW w:type="dxa" w:w="255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Per product</w:t>
            </w:r>
          </w:p>
        </w:tc>
        <w:tc>
          <w:tcPr>
            <w:tcW w:type="dxa" w:w="425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On-hand ≤ Safety Stock</w:t>
            </w:r>
          </w:p>
        </w:tc>
      </w:tr>
      <w:tr>
        <w:tc>
          <w:tcPr>
            <w:tcW w:type="dxa" w:w="255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Customer Follow-up</w:t>
            </w:r>
          </w:p>
        </w:tc>
        <w:tc>
          <w:tcPr>
            <w:tcW w:type="dxa" w:w="255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Per sale +7 days</w:t>
            </w:r>
          </w:p>
        </w:tc>
        <w:tc>
          <w:tcPr>
            <w:tcW w:type="dxa" w:w="425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Call customer, take feedback</w:t>
            </w:r>
          </w:p>
        </w:tc>
      </w:tr>
      <w:tr>
        <w:tc>
          <w:tcPr>
            <w:tcW w:type="dxa" w:w="255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Service Ticket Due</w:t>
            </w:r>
          </w:p>
        </w:tc>
        <w:tc>
          <w:tcPr>
            <w:tcW w:type="dxa" w:w="255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Per ticket</w:t>
            </w:r>
          </w:p>
        </w:tc>
        <w:tc>
          <w:tcPr>
            <w:tcW w:type="dxa" w:w="425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Repair promised delivery date</w:t>
            </w:r>
          </w:p>
        </w:tc>
      </w:tr>
    </w:tbl>
    <w:p>
      <w:pPr>
        <w:spacing w:before="40" w:after="80" w:line="300" w:lineRule="auto"/>
        <w:jc w:val="left"/>
      </w:pPr>
      <w:r>
        <w:rPr>
          <w:rFonts w:ascii="Calibri" w:hAnsi="Calibri"/>
          <w:b w:val="0"/>
          <w:color w:val="5F6B7A"/>
          <w:sz w:val="21"/>
        </w:rPr>
        <w:t>Architecture: a BullMQ worker checks reminders every hour; for any reminder whose next-due ≤ now, it sends SMS/in-app push and advances next-due by the frequency interval.</w:t>
      </w:r>
    </w:p>
    <w:p>
      <w:pPr>
        <w:pStyle w:val="Heading2"/>
        <w:keepNext/>
        <w:spacing w:before="200" w:after="120" w:line="288" w:lineRule="auto"/>
        <w:jc w:val="left"/>
      </w:pPr>
      <w:r>
        <w:rPr>
          <w:rFonts w:ascii="Calibri" w:hAnsi="Calibri"/>
          <w:b/>
          <w:color w:val="0F3D66"/>
          <w:sz w:val="28"/>
        </w:rPr>
        <w:t>5.6 Quotation &amp; Project Estimation Generator</w:t>
      </w:r>
    </w:p>
    <w:p>
      <w:pPr>
        <w:spacing w:before="40" w:after="80" w:line="300" w:lineRule="auto"/>
        <w:jc w:val="left"/>
      </w:pPr>
      <w:r>
        <w:rPr>
          <w:rFonts w:ascii="Calibri" w:hAnsi="Calibri"/>
          <w:b w:val="0"/>
          <w:color w:val="1F2937"/>
          <w:sz w:val="22"/>
        </w:rPr>
        <w:t>CCTV projects (corporate offices, factories, residential buildings) do not begin at the cash counter — they begin with a site inspection and a formal price quote. The Quotation Builder closes the gap between pre-sale estimation and point-of-sale invoicing. Shop staff create draft estimates containing products, labour, and installation charges, then convert an accepted quote into a Sales Invoice in one click — preserving all line items, prices, and the linked customer.</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3118"/>
        <w:gridCol w:w="3118"/>
        <w:gridCol w:w="3118"/>
      </w:tblGrid>
      <w:tr>
        <w:tc>
          <w:tcPr>
            <w:tcW w:type="dxa" w:w="2268"/>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Field</w:t>
            </w:r>
          </w:p>
        </w:tc>
        <w:tc>
          <w:tcPr>
            <w:tcW w:type="dxa" w:w="1984"/>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Type</w:t>
            </w:r>
          </w:p>
        </w:tc>
        <w:tc>
          <w:tcPr>
            <w:tcW w:type="dxa" w:w="5102"/>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Notes</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Quote No</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String</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Auto: QT-YYMMDD-001</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Defaults to today</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Customer / Prospect</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Ref / String</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Existing customer or walk-in prospect (saved on accept)</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Site Address</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Text</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Installation location</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Project Type</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Enum</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Corporate / Factory / Residential / Retail / Other</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Line Items</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Cart</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Product + Labour + Service lines; qty, rate, discount</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Subtotal / Discount / VAT</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VAT optional, per tenant setting</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Grand Total</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Auto-computed</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Valid Until</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Quote expiry (default 15 days)</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Status</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Enum</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Draft / Sent / Accepted / Rejected / Expired / Converted</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Terms &amp; Conditions</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Text</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Reusable template per tenant</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PDF</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File</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Branded quotation PDF stored in S3/R2</w:t>
            </w:r>
          </w:p>
        </w:tc>
      </w:tr>
    </w:tbl>
    <w:p>
      <w:pPr>
        <w:pStyle w:val="ListBullet"/>
        <w:spacing w:before="20" w:after="40" w:line="288" w:lineRule="auto"/>
      </w:pPr>
      <w:r>
        <w:rPr>
          <w:rFonts w:ascii="Calibri" w:hAnsi="Calibri"/>
          <w:b w:val="0"/>
          <w:color w:val="1F2937"/>
          <w:sz w:val="21"/>
        </w:rPr>
        <w:t>Convert to Sale: one-click action copies quote line items into a new Sales Invoice with stock reservation check.</w:t>
      </w:r>
    </w:p>
    <w:p>
      <w:pPr>
        <w:pStyle w:val="ListBullet"/>
        <w:spacing w:before="20" w:after="40" w:line="288" w:lineRule="auto"/>
      </w:pPr>
      <w:r>
        <w:rPr>
          <w:rFonts w:ascii="Calibri" w:hAnsi="Calibri"/>
          <w:b w:val="0"/>
          <w:color w:val="1F2937"/>
          <w:sz w:val="21"/>
        </w:rPr>
        <w:t>If any quoted product is out of stock at conversion, the system flags it and offers to create a backorder Purchase.</w:t>
      </w:r>
    </w:p>
    <w:p>
      <w:pPr>
        <w:pStyle w:val="ListBullet"/>
        <w:spacing w:before="20" w:after="40" w:line="288" w:lineRule="auto"/>
      </w:pPr>
      <w:r>
        <w:rPr>
          <w:rFonts w:ascii="Calibri" w:hAnsi="Calibri"/>
          <w:b w:val="0"/>
          <w:color w:val="1F2937"/>
          <w:sz w:val="21"/>
        </w:rPr>
        <w:t>Follow-up reminder auto-created 3 days after a 'Sent' quote if still no response (call or SMS customer).</w:t>
      </w:r>
    </w:p>
    <w:p>
      <w:pPr>
        <w:pStyle w:val="ListBullet"/>
        <w:spacing w:before="20" w:after="40" w:line="288" w:lineRule="auto"/>
      </w:pPr>
      <w:r>
        <w:rPr>
          <w:rFonts w:ascii="Calibri" w:hAnsi="Calibri"/>
          <w:b w:val="0"/>
          <w:color w:val="1F2937"/>
          <w:sz w:val="21"/>
        </w:rPr>
        <w:t>Win/Loss dashboard: track conversion rate, average quote value, top lost reasons.</w:t>
      </w:r>
    </w:p>
    <w:p>
      <w:pPr>
        <w:pStyle w:val="ListBullet"/>
        <w:spacing w:before="20" w:after="40" w:line="288" w:lineRule="auto"/>
      </w:pPr>
      <w:r>
        <w:rPr>
          <w:rFonts w:ascii="Calibri" w:hAnsi="Calibri"/>
          <w:b w:val="0"/>
          <w:color w:val="1F2937"/>
          <w:sz w:val="21"/>
        </w:rPr>
        <w:t>Duplicate quote: clone an existing quote to quickly re-quote a similar site.</w:t>
      </w:r>
    </w:p>
    <w:p>
      <w:pPr>
        <w:pStyle w:val="Heading2"/>
        <w:keepNext/>
        <w:spacing w:before="200" w:after="120" w:line="288" w:lineRule="auto"/>
        <w:jc w:val="left"/>
      </w:pPr>
      <w:r>
        <w:rPr>
          <w:rFonts w:ascii="Calibri" w:hAnsi="Calibri"/>
          <w:b/>
          <w:color w:val="0F3D66"/>
          <w:sz w:val="28"/>
        </w:rPr>
        <w:t>5.7 Vendor RMA (Return Merchandise Authorization) Tracking</w:t>
      </w:r>
    </w:p>
    <w:p>
      <w:pPr>
        <w:spacing w:before="40" w:after="80" w:line="300" w:lineRule="auto"/>
        <w:jc w:val="left"/>
      </w:pPr>
      <w:r>
        <w:rPr>
          <w:rFonts w:ascii="Calibri" w:hAnsi="Calibri"/>
          <w:b w:val="0"/>
          <w:color w:val="1F2937"/>
          <w:sz w:val="22"/>
        </w:rPr>
        <w:t>When a customer returns a faulty unit under warranty, the shop does not repair it in-house — it ships the unit to the manufacturer or distributor (e.g. Dahua / Hikvision regional distributor). The RMA pipeline tracks the full vendor repair lifecycle across five stages, so no unit is lost in transit and the shop can give the customer an honest ETA. Each RMA links back to the original sale, the serial, the customer, and the supplier/vendor responsible.</w:t>
      </w:r>
    </w:p>
    <w:p>
      <w:pPr>
        <w:spacing w:before="120" w:after="40" w:line="300" w:lineRule="auto"/>
        <w:jc w:val="left"/>
      </w:pPr>
      <w:r>
        <w:rPr>
          <w:rFonts w:ascii="Calibri" w:hAnsi="Calibri"/>
          <w:b/>
          <w:color w:val="1A73E8"/>
          <w:sz w:val="21"/>
        </w:rPr>
        <w:t>RMA Stage Pipeline:</w:t>
      </w:r>
    </w:p>
    <w:p>
      <w:pPr>
        <w:pStyle w:val="ListBullet"/>
        <w:spacing w:before="20" w:after="40" w:line="288" w:lineRule="auto"/>
      </w:pPr>
      <w:r>
        <w:rPr>
          <w:rFonts w:ascii="Calibri" w:hAnsi="Calibri"/>
          <w:b w:val="0"/>
          <w:color w:val="1F2937"/>
          <w:sz w:val="21"/>
        </w:rPr>
        <w:t>1. Received from Customer — unit logged in-shop, customer notified of receipt.</w:t>
      </w:r>
    </w:p>
    <w:p>
      <w:pPr>
        <w:pStyle w:val="ListBullet"/>
        <w:spacing w:before="20" w:after="40" w:line="288" w:lineRule="auto"/>
      </w:pPr>
      <w:r>
        <w:rPr>
          <w:rFonts w:ascii="Calibri" w:hAnsi="Calibri"/>
          <w:b w:val="0"/>
          <w:color w:val="1F2937"/>
          <w:sz w:val="21"/>
        </w:rPr>
        <w:t>2. Sent to Vendor — shipped to manufacturer/distributor with vendor RMA ref number.</w:t>
      </w:r>
    </w:p>
    <w:p>
      <w:pPr>
        <w:pStyle w:val="ListBullet"/>
        <w:spacing w:before="20" w:after="40" w:line="288" w:lineRule="auto"/>
      </w:pPr>
      <w:r>
        <w:rPr>
          <w:rFonts w:ascii="Calibri" w:hAnsi="Calibri"/>
          <w:b w:val="0"/>
          <w:color w:val="1F2937"/>
          <w:sz w:val="21"/>
        </w:rPr>
        <w:t>3. Under Repair / Replacement — vendor is diagnosing or replacing; ETA captured.</w:t>
      </w:r>
    </w:p>
    <w:p>
      <w:pPr>
        <w:pStyle w:val="ListBullet"/>
        <w:spacing w:before="20" w:after="40" w:line="288" w:lineRule="auto"/>
      </w:pPr>
      <w:r>
        <w:rPr>
          <w:rFonts w:ascii="Calibri" w:hAnsi="Calibri"/>
          <w:b w:val="0"/>
          <w:color w:val="1F2937"/>
          <w:sz w:val="21"/>
        </w:rPr>
        <w:t>4. Returned from Vendor — unit received back in-shop, verified working.</w:t>
      </w:r>
    </w:p>
    <w:p>
      <w:pPr>
        <w:pStyle w:val="ListBullet"/>
        <w:spacing w:before="20" w:after="40" w:line="288" w:lineRule="auto"/>
      </w:pPr>
      <w:r>
        <w:rPr>
          <w:rFonts w:ascii="Calibri" w:hAnsi="Calibri"/>
          <w:b w:val="0"/>
          <w:color w:val="1F2937"/>
          <w:sz w:val="21"/>
        </w:rPr>
        <w:t>5. Delivered to Customer — unit handed back, RMA closed.</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3118"/>
        <w:gridCol w:w="3118"/>
        <w:gridCol w:w="3118"/>
      </w:tblGrid>
      <w:tr>
        <w:tc>
          <w:tcPr>
            <w:tcW w:type="dxa" w:w="2268"/>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Field</w:t>
            </w:r>
          </w:p>
        </w:tc>
        <w:tc>
          <w:tcPr>
            <w:tcW w:type="dxa" w:w="1984"/>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Type</w:t>
            </w:r>
          </w:p>
        </w:tc>
        <w:tc>
          <w:tcPr>
            <w:tcW w:type="dxa" w:w="5102"/>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Notes</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RMA No</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String</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Auto: RMA-YYMMDD-001</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Date Opened</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Customer return date</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Customer</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Ref</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From original sale</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Original Sale</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Ref (sales)</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Source invoice</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Product + Serial</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Ref</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inventory_unit_id; warranty status auto-checked</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Vendor / Supplier</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Ref</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Distributor handling the repair</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Fault Reason</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Text</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Customer-reported symptom</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Stage</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Enum</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One of the 5 pipeline stages above</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Vendor RMA Ref</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String</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Manufacturer's own tracking number</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Vendor Charge</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Money</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Zero if under warranty; payable if out-of-warranty</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ETA</w:t>
            </w:r>
          </w:p>
        </w:tc>
        <w:tc>
          <w:tcPr>
            <w:tcW w:type="dxa" w:w="1984"/>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Date</w:t>
            </w:r>
          </w:p>
        </w:tc>
        <w:tc>
          <w:tcPr>
            <w:tcW w:type="dxa" w:w="5102"/>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Promised return date; overdue alert if missed</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Stage History</w:t>
            </w:r>
          </w:p>
        </w:tc>
        <w:tc>
          <w:tcPr>
            <w:tcW w:type="dxa" w:w="1984"/>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Log[]</w:t>
            </w:r>
          </w:p>
        </w:tc>
        <w:tc>
          <w:tcPr>
            <w:tcW w:type="dxa" w:w="5102"/>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Stage + timestamp + actor + notes per transition</w:t>
            </w:r>
          </w:p>
        </w:tc>
      </w:tr>
    </w:tbl>
    <w:p>
      <w:pPr>
        <w:pStyle w:val="ListBullet"/>
        <w:spacing w:before="20" w:after="40" w:line="288" w:lineRule="auto"/>
      </w:pPr>
      <w:r>
        <w:rPr>
          <w:rFonts w:ascii="Calibri" w:hAnsi="Calibri"/>
          <w:b w:val="0"/>
          <w:color w:val="1F2937"/>
          <w:sz w:val="21"/>
        </w:rPr>
        <w:t>Auto-warranty check: on RMA open, system shows whether unit is in-warranty (free) or out-of-warranty (chargeable).</w:t>
      </w:r>
    </w:p>
    <w:p>
      <w:pPr>
        <w:pStyle w:val="ListBullet"/>
        <w:spacing w:before="20" w:after="40" w:line="288" w:lineRule="auto"/>
      </w:pPr>
      <w:r>
        <w:rPr>
          <w:rFonts w:ascii="Calibri" w:hAnsi="Calibri"/>
          <w:b w:val="0"/>
          <w:color w:val="1F2937"/>
          <w:sz w:val="21"/>
        </w:rPr>
        <w:t>Overdue alert: if a unit sits at 'Sent to Vendor' past ETA, flag in dashboard + SMS owner.</w:t>
      </w:r>
    </w:p>
    <w:p>
      <w:pPr>
        <w:pStyle w:val="ListBullet"/>
        <w:spacing w:before="20" w:after="40" w:line="288" w:lineRule="auto"/>
      </w:pPr>
      <w:r>
        <w:rPr>
          <w:rFonts w:ascii="Calibri" w:hAnsi="Calibri"/>
          <w:b w:val="0"/>
          <w:color w:val="1F2937"/>
          <w:sz w:val="21"/>
        </w:rPr>
        <w:t>Replacement flow: if vendor issues a new serial, link it to the original inventory unit and warranty record.</w:t>
      </w:r>
    </w:p>
    <w:p>
      <w:pPr>
        <w:pStyle w:val="ListBullet"/>
        <w:spacing w:before="20" w:after="40" w:line="288" w:lineRule="auto"/>
      </w:pPr>
      <w:r>
        <w:rPr>
          <w:rFonts w:ascii="Calibri" w:hAnsi="Calibri"/>
          <w:b w:val="0"/>
          <w:color w:val="1F2937"/>
          <w:sz w:val="21"/>
        </w:rPr>
        <w:t>Customer SMS: auto-notify customer at each stage transition (received, sent to vendor, ready for pickup).</w:t>
      </w:r>
    </w:p>
    <w:p>
      <w:pPr>
        <w:pStyle w:val="ListBullet"/>
        <w:spacing w:before="20" w:after="40" w:line="288" w:lineRule="auto"/>
      </w:pPr>
      <w:r>
        <w:rPr>
          <w:rFonts w:ascii="Calibri" w:hAnsi="Calibri"/>
          <w:b w:val="0"/>
          <w:color w:val="1F2937"/>
          <w:sz w:val="21"/>
        </w:rPr>
        <w:t>Skip-stage support: allow skipping stages (e.g. direct customer-to-vendor handoff) with mandatory note.</w:t>
      </w:r>
    </w:p>
    <w:p>
      <w:pPr>
        <w:pStyle w:val="Heading1"/>
        <w:keepNext/>
        <w:spacing w:before="280" w:after="120" w:line="288" w:lineRule="auto"/>
        <w:jc w:val="left"/>
      </w:pPr>
      <w:r>
        <w:rPr>
          <w:rFonts w:ascii="Calibri" w:hAnsi="Calibri"/>
          <w:b/>
          <w:color w:val="0F3D66"/>
          <w:sz w:val="36"/>
        </w:rPr>
        <w:t>6. UI/UX Design Principles</w:t>
      </w:r>
    </w:p>
    <w:p>
      <w:pPr>
        <w:spacing w:before="40" w:after="80" w:line="300" w:lineRule="auto"/>
        <w:jc w:val="left"/>
      </w:pPr>
      <w:r>
        <w:rPr>
          <w:rFonts w:ascii="Calibri" w:hAnsi="Calibri"/>
          <w:b w:val="0"/>
          <w:color w:val="1F2937"/>
          <w:sz w:val="22"/>
        </w:rPr>
        <w:t>The interface must feel premium and obvious — the owner should recognise their workflow instantly. Apply the following non-negotiable principles across every screen.</w:t>
      </w:r>
    </w:p>
    <w:p>
      <w:pPr>
        <w:pStyle w:val="ListBullet"/>
        <w:spacing w:before="20" w:after="40" w:line="288" w:lineRule="auto"/>
      </w:pPr>
      <w:r>
        <w:rPr>
          <w:rFonts w:ascii="Calibri" w:hAnsi="Calibri"/>
          <w:b w:val="0"/>
          <w:color w:val="1F2937"/>
          <w:sz w:val="21"/>
        </w:rPr>
        <w:t>Mobile-first responsive: design at 360px first, expand to 768px tablet, then 1280px+ desktop.</w:t>
      </w:r>
    </w:p>
    <w:p>
      <w:pPr>
        <w:pStyle w:val="ListBullet"/>
        <w:spacing w:before="20" w:after="40" w:line="288" w:lineRule="auto"/>
      </w:pPr>
      <w:r>
        <w:rPr>
          <w:rFonts w:ascii="Calibri" w:hAnsi="Calibri"/>
          <w:b w:val="0"/>
          <w:color w:val="1F2937"/>
          <w:sz w:val="21"/>
        </w:rPr>
        <w:t>Bottom navigation on mobile (Home, Sales, Purchase, Ledger, More) — thumb-reachable.</w:t>
      </w:r>
    </w:p>
    <w:p>
      <w:pPr>
        <w:pStyle w:val="ListBullet"/>
        <w:spacing w:before="20" w:after="40" w:line="288" w:lineRule="auto"/>
      </w:pPr>
      <w:r>
        <w:rPr>
          <w:rFonts w:ascii="Calibri" w:hAnsi="Calibri"/>
          <w:b w:val="0"/>
          <w:color w:val="1F2937"/>
          <w:sz w:val="21"/>
        </w:rPr>
        <w:t>Big tap targets (min 44px), generous spacing, no nested menus deeper than 2 levels.</w:t>
      </w:r>
    </w:p>
    <w:p>
      <w:pPr>
        <w:pStyle w:val="ListBullet"/>
        <w:spacing w:before="20" w:after="40" w:line="288" w:lineRule="auto"/>
      </w:pPr>
      <w:r>
        <w:rPr>
          <w:rFonts w:ascii="Calibri" w:hAnsi="Calibri"/>
          <w:b w:val="0"/>
          <w:color w:val="1F2937"/>
          <w:sz w:val="21"/>
        </w:rPr>
        <w:t>One primary action per screen (Save / New Sale / Add Product) — sticky bottom bar on mobile.</w:t>
      </w:r>
    </w:p>
    <w:p>
      <w:pPr>
        <w:pStyle w:val="ListBullet"/>
        <w:spacing w:before="20" w:after="40" w:line="288" w:lineRule="auto"/>
      </w:pPr>
      <w:r>
        <w:rPr>
          <w:rFonts w:ascii="Calibri" w:hAnsi="Calibri"/>
          <w:b w:val="0"/>
          <w:color w:val="1F2937"/>
          <w:sz w:val="21"/>
        </w:rPr>
        <w:t>Empty states with illustrations + a single CTA (e.g. 'No sales yet. Create first invoice →').</w:t>
      </w:r>
    </w:p>
    <w:p>
      <w:pPr>
        <w:pStyle w:val="ListBullet"/>
        <w:spacing w:before="20" w:after="40" w:line="288" w:lineRule="auto"/>
      </w:pPr>
      <w:r>
        <w:rPr>
          <w:rFonts w:ascii="Calibri" w:hAnsi="Calibri"/>
          <w:b w:val="0"/>
          <w:color w:val="1F2937"/>
          <w:sz w:val="21"/>
        </w:rPr>
        <w:t>Search and scan everywhere — never make the user scroll a long dropdown.</w:t>
      </w:r>
    </w:p>
    <w:p>
      <w:pPr>
        <w:pStyle w:val="ListBullet"/>
        <w:spacing w:before="20" w:after="40" w:line="288" w:lineRule="auto"/>
      </w:pPr>
      <w:r>
        <w:rPr>
          <w:rFonts w:ascii="Calibri" w:hAnsi="Calibri"/>
          <w:b w:val="0"/>
          <w:color w:val="1F2937"/>
          <w:sz w:val="21"/>
        </w:rPr>
        <w:t>BDT currency formatting (৳ symbol, 2 decimals, lakh/crore grouping optional).</w:t>
      </w:r>
    </w:p>
    <w:p>
      <w:pPr>
        <w:pStyle w:val="ListBullet"/>
        <w:spacing w:before="20" w:after="40" w:line="288" w:lineRule="auto"/>
      </w:pPr>
      <w:r>
        <w:rPr>
          <w:rFonts w:ascii="Calibri" w:hAnsi="Calibri"/>
          <w:b w:val="0"/>
          <w:color w:val="1F2937"/>
          <w:sz w:val="21"/>
        </w:rPr>
        <w:t>Offline-tolerant: cart and form drafts persist in localStorage; sync when reconnected.</w:t>
      </w:r>
    </w:p>
    <w:p>
      <w:pPr>
        <w:pStyle w:val="ListBullet"/>
        <w:spacing w:before="20" w:after="40" w:line="288" w:lineRule="auto"/>
      </w:pPr>
      <w:r>
        <w:rPr>
          <w:rFonts w:ascii="Calibri" w:hAnsi="Calibri"/>
          <w:b w:val="0"/>
          <w:color w:val="1F2937"/>
          <w:sz w:val="21"/>
        </w:rPr>
        <w:t>Dark mode supported; default light with a calm blue accent (#1A73E8).</w:t>
      </w:r>
    </w:p>
    <w:p>
      <w:pPr>
        <w:pStyle w:val="ListBullet"/>
        <w:spacing w:before="20" w:after="40" w:line="288" w:lineRule="auto"/>
      </w:pPr>
      <w:r>
        <w:rPr>
          <w:rFonts w:ascii="Calibri" w:hAnsi="Calibri"/>
          <w:b w:val="0"/>
          <w:color w:val="1F2937"/>
          <w:sz w:val="21"/>
        </w:rPr>
        <w:t>Bangla language toggle (i18n) — UI strings in English + Bengali bundle.</w:t>
      </w:r>
    </w:p>
    <w:p>
      <w:pPr>
        <w:pStyle w:val="Heading1"/>
        <w:keepNext/>
        <w:spacing w:before="280" w:after="120" w:line="288" w:lineRule="auto"/>
        <w:jc w:val="left"/>
      </w:pPr>
      <w:r>
        <w:rPr>
          <w:rFonts w:ascii="Calibri" w:hAnsi="Calibri"/>
          <w:b/>
          <w:color w:val="0F3D66"/>
          <w:sz w:val="36"/>
        </w:rPr>
        <w:t>7. Database Schema (Key Tables)</w:t>
      </w:r>
    </w:p>
    <w:p>
      <w:pPr>
        <w:spacing w:before="40" w:after="80" w:line="300" w:lineRule="auto"/>
        <w:jc w:val="left"/>
      </w:pPr>
      <w:r>
        <w:rPr>
          <w:rFonts w:ascii="Calibri" w:hAnsi="Calibri"/>
          <w:b w:val="0"/>
          <w:color w:val="1F2937"/>
          <w:sz w:val="22"/>
        </w:rPr>
        <w:t>Below is the high-level entity map. Every table carries tenant_id, created_at, updated_at, and deleted_at (soft delete). Foreign keys are UUIDs.</w:t>
      </w:r>
    </w:p>
    <w:p>
      <w:pPr>
        <w:spacing w:before="80" w:after="120" w:line="276" w:lineRule="auto"/>
        <w:ind w:left="227"/>
        <w:shd w:val="clear" w:color="auto" w:fill="F3F5F8"/>
        <w:pBdr>
          <w:top w:val="single" w:sz="4" w:space="4" w:color="D5DDE5"/>
          <w:left w:val="single" w:sz="4" w:space="4" w:color="D5DDE5"/>
          <w:bottom w:val="single" w:sz="4" w:space="4" w:color="D5DDE5"/>
          <w:right w:val="single" w:sz="4" w:space="4" w:color="D5DDE5"/>
        </w:pBdr>
      </w:pPr>
      <w:r>
        <w:rPr>
          <w:rFonts w:ascii="Consolas" w:hAnsi="Consolas"/>
          <w:b w:val="0"/>
          <w:color w:val="24292E"/>
          <w:sz w:val="19"/>
        </w:rPr>
        <w:t>tenants(id, name, owner_user_id, plan, status, created_at)</w:t>
        <w:br/>
        <w:t>users(id, tenant_id, name, email, phone, role, password_hash)</w:t>
        <w:br/>
        <w:t>products(id, tenant_id, name, category_id, model, sku, unit, safety_stock, image_url)</w:t>
        <w:br/>
        <w:t>inventory_units(id, tenant_id, product_id, serial_no, purchase_id, status, warranty_end)</w:t>
        <w:br/>
        <w:t>suppliers(id, tenant_id, name, phone, company, opening_balance)</w:t>
        <w:br/>
        <w:t>customers(id, tenant_id, name, phone, address, type, opening_balance)</w:t>
        <w:br/>
        <w:t>employees(id, tenant_id, name, phone, role, salary, join_date, status)</w:t>
        <w:br/>
        <w:t>purchases(id, tenant_id, supplier_id, invoice_no, date, total, paid, due, mode)</w:t>
        <w:br/>
        <w:t>purchase_items(id, purchase_id, product_id, qty, unit_price, warranty_months, serials[])</w:t>
        <w:br/>
        <w:t>sales(id, tenant_id, customer_id, invoice_no, date, total, paid, due, mode, salesman_id)</w:t>
        <w:br/>
        <w:t>sale_items(id, sale_id, product_id, inventory_unit_id, qty, unit_price, discount, warranty_months)</w:t>
        <w:br/>
        <w:t>transactions(id, tenant_id, type[IN/EXP/RECV/PAY], party_type, party_id, account_head_id,</w:t>
        <w:br/>
        <w:t xml:space="preserve">             amount, mode, date, narration, ref_invoice_id, attachment_url)</w:t>
        <w:br/>
        <w:t>account_heads(id, tenant_id, name, kind[IN/EXP])</w:t>
        <w:br/>
        <w:t>service_tickets(id, tenant_id, customer_id, inventory_unit_id, issue, status, charge, created_at)</w:t>
        <w:br/>
        <w:t>follow_ups(id, tenant_id, customer_id, note, rating, next_due_date, created_by)</w:t>
        <w:br/>
        <w:t>reminders(id, tenant_id, type, title, amount, frequency, next_due, channel, active)</w:t>
        <w:br/>
        <w:t>salary_records(id, tenant_id, employee_id, month, basic, allowance, advance_deduction, paid_on)</w:t>
        <w:br/>
        <w:t>quotations(id, tenant_id, customer_id, quote_no, date, site_address, project_type,</w:t>
        <w:br/>
        <w:t xml:space="preserve">           subtotal, discount, vat, total, valid_until, status, pdf_url)</w:t>
        <w:br/>
        <w:t>quotation_items(id, quotation_id, product_id, line_type[PRODUCT/LABOR/SERVICE],</w:t>
        <w:br/>
        <w:t xml:space="preserve">                 description, qty, unit_price, discount)</w:t>
        <w:br/>
        <w:t>rma_tickets(id, tenant_id, rma_no, date_opened, customer_id, sale_id, inventory_unit_id,</w:t>
        <w:br/>
        <w:t xml:space="preserve">             product_id, supplier_id, fault_reason, stage, vendor_rma_ref, vendor_charge, eta)</w:t>
        <w:br/>
        <w:t>rma_history(id, rma_ticket_id, stage, timestamp, actor_user_id, notes)</w:t>
        <w:br/>
        <w:t>subscriptions(id, tenant_id, plan, started_at, cycle_end, status[ACTIVE/GRACE/LOCKED], locked_at)</w:t>
        <w:br/>
        <w:t>payment_verifications(id, tenant_id, method, txn_id, amount, paid_date, sender_number,</w:t>
        <w:br/>
        <w:t xml:space="preserve">                       status[PENDING/VERIFIED/REJECTED], verified_by, verified_at,</w:t>
        <w:br/>
        <w:t xml:space="preserve">                       rejection_reason, created_at)</w:t>
        <w:br/>
        <w:t>-- Enforcement: UNIQUE(email) on users.email and tenants.owner_email</w:t>
      </w:r>
    </w:p>
    <w:p>
      <w:pPr>
        <w:pStyle w:val="Heading1"/>
        <w:keepNext/>
        <w:spacing w:before="280" w:after="120" w:line="288" w:lineRule="auto"/>
        <w:jc w:val="left"/>
      </w:pPr>
      <w:r>
        <w:rPr>
          <w:rFonts w:ascii="Calibri" w:hAnsi="Calibri"/>
          <w:b/>
          <w:color w:val="0F3D66"/>
          <w:sz w:val="36"/>
        </w:rPr>
        <w:t>8. Implementation Phases</w:t>
      </w:r>
    </w:p>
    <w:tbl>
      <w:tblPr>
        <w:tblW w:type="auto" w:w="0"/>
        <w:jc w:val="center"/>
        <w:tblLayout w:type="fixed"/>
        <w:tblLook w:firstColumn="1" w:firstRow="1" w:lastColumn="0" w:lastRow="0" w:noHBand="0" w:noVBand="1" w:val="04A0"/>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3118"/>
        <w:gridCol w:w="3118"/>
        <w:gridCol w:w="3118"/>
      </w:tblGrid>
      <w:tr>
        <w:tc>
          <w:tcPr>
            <w:tcW w:type="dxa" w:w="2268"/>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Phase</w:t>
            </w:r>
          </w:p>
        </w:tc>
        <w:tc>
          <w:tcPr>
            <w:tcW w:type="dxa" w:w="1701"/>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Duration</w:t>
            </w:r>
          </w:p>
        </w:tc>
        <w:tc>
          <w:tcPr>
            <w:tcW w:type="dxa" w:w="5386"/>
            <w:vAlign w:val="center"/>
            <w:shd w:val="clear" w:color="auto" w:fill="0F3D66"/>
            <w:tcMar>
              <w:top w:w="80" w:type="dxa"/>
              <w:bottom w:w="80" w:type="dxa"/>
              <w:start w:w="120" w:type="dxa"/>
              <w:end w:w="120" w:type="dxa"/>
            </w:tcMar>
          </w:tcPr>
          <w:p>
            <w:pPr>
              <w:spacing w:after="0" w:before="0"/>
              <w:jc w:val="left"/>
            </w:pPr>
            <w:r/>
            <w:r>
              <w:rPr>
                <w:rFonts w:ascii="Calibri" w:hAnsi="Calibri"/>
                <w:b/>
                <w:color w:val="FFFFFF"/>
                <w:sz w:val="20"/>
              </w:rPr>
              <w:t>Deliverables</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P0 — Foundation</w:t>
            </w:r>
          </w:p>
        </w:tc>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Week 1-2</w:t>
            </w:r>
          </w:p>
        </w:tc>
        <w:tc>
          <w:tcPr>
            <w:tcW w:type="dxa" w:w="5386"/>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Repo, auth, tenant scaffolding, RLS, base UI shell, navigation</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P1 — Catalogue &amp; Stock</w:t>
            </w:r>
          </w:p>
        </w:tc>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Week 3-4</w:t>
            </w:r>
          </w:p>
        </w:tc>
        <w:tc>
          <w:tcPr>
            <w:tcW w:type="dxa" w:w="5386"/>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Product setup, suppliers, purchase + serial capture, inventory units</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P2 — Sales &amp; Invoicing</w:t>
            </w:r>
          </w:p>
        </w:tc>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Week 5-6</w:t>
            </w:r>
          </w:p>
        </w:tc>
        <w:tc>
          <w:tcPr>
            <w:tcW w:type="dxa" w:w="5386"/>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Quotation builder + convert-to-sale, cart-based sale, invoice PDF, warranty card, due ledger</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P3 — Accounting</w:t>
            </w:r>
          </w:p>
        </w:tc>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Week 7</w:t>
            </w:r>
          </w:p>
        </w:tc>
        <w:tc>
          <w:tcPr>
            <w:tcW w:type="dxa" w:w="5386"/>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Income/expense, customer receipts, supplier payments, cash book</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P4 — Employees &amp; Payroll</w:t>
            </w:r>
          </w:p>
        </w:tc>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Week 8</w:t>
            </w:r>
          </w:p>
        </w:tc>
        <w:tc>
          <w:tcPr>
            <w:tcW w:type="dxa" w:w="5386"/>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Employee setup, salary sheet, advance/deduction</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P5 — Reports</w:t>
            </w:r>
          </w:p>
        </w:tc>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Week 9</w:t>
            </w:r>
          </w:p>
        </w:tc>
        <w:tc>
          <w:tcPr>
            <w:tcW w:type="dxa" w:w="5386"/>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All 10 reports, PDF/Excel export, date-range filters</w:t>
            </w:r>
          </w:p>
        </w:tc>
      </w:tr>
      <w:tr>
        <w:tc>
          <w:tcPr>
            <w:tcW w:type="dxa" w:w="2268"/>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P6 — CRM &amp; Reminders</w:t>
            </w:r>
          </w:p>
        </w:tc>
        <w:tc>
          <w:tcPr>
            <w:tcW w:type="dxa" w:w="1701"/>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Week 10</w:t>
            </w:r>
          </w:p>
        </w:tc>
        <w:tc>
          <w:tcPr>
            <w:tcW w:type="dxa" w:w="5386"/>
            <w:vAlign w:val="top"/>
            <w:shd w:val="clear" w:color="auto" w:fill="FFFFFF"/>
            <w:tcMar>
              <w:top w:w="80" w:type="dxa"/>
              <w:bottom w:w="80" w:type="dxa"/>
              <w:start w:w="120" w:type="dxa"/>
              <w:end w:w="120" w:type="dxa"/>
            </w:tcMar>
          </w:tcPr>
          <w:p>
            <w:pPr>
              <w:spacing w:after="0" w:before="0" w:line="276" w:lineRule="auto"/>
              <w:jc w:val="left"/>
            </w:pPr>
            <w:r/>
            <w:r>
              <w:rPr>
                <w:rFonts w:ascii="Calibri" w:hAnsi="Calibri"/>
                <w:b w:val="0"/>
                <w:color w:val="1F2937"/>
                <w:sz w:val="19"/>
              </w:rPr>
              <w:t>Review panel, follow-ups, RMA pipeline, reminder engine + SMS</w:t>
            </w:r>
          </w:p>
        </w:tc>
      </w:tr>
      <w:tr>
        <w:tc>
          <w:tcPr>
            <w:tcW w:type="dxa" w:w="2268"/>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P7 — Polish &amp; Launch</w:t>
            </w:r>
          </w:p>
        </w:tc>
        <w:tc>
          <w:tcPr>
            <w:tcW w:type="dxa" w:w="1701"/>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Week 11-12</w:t>
            </w:r>
          </w:p>
        </w:tc>
        <w:tc>
          <w:tcPr>
            <w:tcW w:type="dxa" w:w="5386"/>
            <w:vAlign w:val="top"/>
            <w:shd w:val="clear" w:color="auto" w:fill="F5F8FC"/>
            <w:tcMar>
              <w:top w:w="80" w:type="dxa"/>
              <w:bottom w:w="80" w:type="dxa"/>
              <w:start w:w="120" w:type="dxa"/>
              <w:end w:w="120" w:type="dxa"/>
            </w:tcMar>
          </w:tcPr>
          <w:p>
            <w:pPr>
              <w:spacing w:after="0" w:before="0" w:line="276" w:lineRule="auto"/>
              <w:jc w:val="left"/>
            </w:pPr>
            <w:r/>
            <w:r>
              <w:rPr>
                <w:rFonts w:ascii="Calibri" w:hAnsi="Calibri"/>
                <w:b w:val="0"/>
                <w:color w:val="1F2937"/>
                <w:sz w:val="19"/>
              </w:rPr>
              <w:t>Bangla i18n, dark mode, PWA install, performance, beta tenants</w:t>
            </w:r>
          </w:p>
        </w:tc>
      </w:tr>
    </w:tbl>
    <w:p>
      <w:pPr>
        <w:pStyle w:val="Heading1"/>
        <w:keepNext/>
        <w:spacing w:before="280" w:after="120" w:line="288" w:lineRule="auto"/>
        <w:jc w:val="left"/>
      </w:pPr>
      <w:r>
        <w:rPr>
          <w:rFonts w:ascii="Calibri" w:hAnsi="Calibri"/>
          <w:b/>
          <w:color w:val="0F3D66"/>
          <w:sz w:val="36"/>
        </w:rPr>
        <w:t>9. Deployment &amp; DevOps</w:t>
      </w:r>
    </w:p>
    <w:p>
      <w:pPr>
        <w:pStyle w:val="ListBullet"/>
        <w:spacing w:before="20" w:after="40" w:line="288" w:lineRule="auto"/>
      </w:pPr>
      <w:r>
        <w:rPr>
          <w:rFonts w:ascii="Calibri" w:hAnsi="Calibri"/>
          <w:b w:val="0"/>
          <w:color w:val="1F2937"/>
          <w:sz w:val="21"/>
        </w:rPr>
        <w:t>CI: GitHub Actions → lint, type-check, Prisma migrate dry-run, build, run unit tests.</w:t>
      </w:r>
    </w:p>
    <w:p>
      <w:pPr>
        <w:pStyle w:val="ListBullet"/>
        <w:spacing w:before="20" w:after="40" w:line="288" w:lineRule="auto"/>
      </w:pPr>
      <w:r>
        <w:rPr>
          <w:rFonts w:ascii="Calibri" w:hAnsi="Calibri"/>
          <w:b w:val="0"/>
          <w:color w:val="1F2937"/>
          <w:sz w:val="21"/>
        </w:rPr>
        <w:t>CD: Preview deploy per PR; production deploy on tag (Vercel for frontend, Render/Fly.io for worker + DB).</w:t>
      </w:r>
    </w:p>
    <w:p>
      <w:pPr>
        <w:pStyle w:val="ListBullet"/>
        <w:spacing w:before="20" w:after="40" w:line="288" w:lineRule="auto"/>
      </w:pPr>
      <w:r>
        <w:rPr>
          <w:rFonts w:ascii="Calibri" w:hAnsi="Calibri"/>
          <w:b w:val="0"/>
          <w:color w:val="1F2937"/>
          <w:sz w:val="21"/>
        </w:rPr>
        <w:t>Database: managed PostgreSQL 16 (Neon/Supabase/AWS RDS), daily PITR backups, point-in-time restore.</w:t>
      </w:r>
    </w:p>
    <w:p>
      <w:pPr>
        <w:pStyle w:val="ListBullet"/>
        <w:spacing w:before="20" w:after="40" w:line="288" w:lineRule="auto"/>
      </w:pPr>
      <w:r>
        <w:rPr>
          <w:rFonts w:ascii="Calibri" w:hAnsi="Calibri"/>
          <w:b w:val="0"/>
          <w:color w:val="1F2937"/>
          <w:sz w:val="21"/>
        </w:rPr>
        <w:t>Migrations: prisma migrate deploy runs automatically on release; reversible + reviewed.</w:t>
      </w:r>
    </w:p>
    <w:p>
      <w:pPr>
        <w:pStyle w:val="ListBullet"/>
        <w:spacing w:before="20" w:after="40" w:line="288" w:lineRule="auto"/>
      </w:pPr>
      <w:r>
        <w:rPr>
          <w:rFonts w:ascii="Calibri" w:hAnsi="Calibri"/>
          <w:b w:val="0"/>
          <w:color w:val="1F2937"/>
          <w:sz w:val="21"/>
        </w:rPr>
        <w:t>Secrets: Doppler/AWS Secrets Manager; never commit .env; rotate SMS/DB credentials quarterly.</w:t>
      </w:r>
    </w:p>
    <w:p>
      <w:pPr>
        <w:pStyle w:val="ListBullet"/>
        <w:spacing w:before="20" w:after="40" w:line="288" w:lineRule="auto"/>
      </w:pPr>
      <w:r>
        <w:rPr>
          <w:rFonts w:ascii="Calibri" w:hAnsi="Calibri"/>
          <w:b w:val="0"/>
          <w:color w:val="1F2937"/>
          <w:sz w:val="21"/>
        </w:rPr>
        <w:t>Observability: Sentry for errors, PostHog for funnel analytics, structured logs to Logtail.</w:t>
      </w:r>
    </w:p>
    <w:p>
      <w:pPr>
        <w:pStyle w:val="ListBullet"/>
        <w:spacing w:before="20" w:after="40" w:line="288" w:lineRule="auto"/>
      </w:pPr>
      <w:r>
        <w:rPr>
          <w:rFonts w:ascii="Calibri" w:hAnsi="Calibri"/>
          <w:b w:val="0"/>
          <w:color w:val="1F2937"/>
          <w:sz w:val="21"/>
        </w:rPr>
        <w:t>Onboarding: tenant self-signup → email verify → guided 4-step setup (business profile → products → suppliers → first sale).</w:t>
      </w:r>
    </w:p>
    <w:p>
      <w:pPr>
        <w:pStyle w:val="ListBullet"/>
        <w:spacing w:before="20" w:after="40" w:line="288" w:lineRule="auto"/>
      </w:pPr>
      <w:r>
        <w:rPr>
          <w:rFonts w:ascii="Calibri" w:hAnsi="Calibri"/>
          <w:b w:val="0"/>
          <w:color w:val="1F2937"/>
          <w:sz w:val="21"/>
        </w:rPr>
        <w:t>Support: in-app chat widget (Crisp/Intercom) + WhatsApp business number for owner queries.</w:t>
      </w:r>
    </w:p>
    <w:p>
      <w:pPr>
        <w:pStyle w:val="Heading1"/>
        <w:keepNext/>
        <w:spacing w:before="280" w:after="120" w:line="288" w:lineRule="auto"/>
        <w:jc w:val="left"/>
      </w:pPr>
      <w:r>
        <w:rPr>
          <w:rFonts w:ascii="Calibri" w:hAnsi="Calibri"/>
          <w:b/>
          <w:color w:val="0F3D66"/>
          <w:sz w:val="36"/>
        </w:rPr>
        <w:t>10. Definition of Done</w:t>
      </w:r>
    </w:p>
    <w:p>
      <w:pPr>
        <w:pStyle w:val="ListBullet"/>
        <w:spacing w:before="20" w:after="40" w:line="288" w:lineRule="auto"/>
      </w:pPr>
      <w:r>
        <w:rPr>
          <w:rFonts w:ascii="Calibri" w:hAnsi="Calibri"/>
          <w:b w:val="0"/>
          <w:color w:val="1F2937"/>
          <w:sz w:val="21"/>
        </w:rPr>
        <w:t>Owner can complete a full Purchase → Sale → Receipt → Report cycle on a mobile phone in under 3 minutes.</w:t>
      </w:r>
    </w:p>
    <w:p>
      <w:pPr>
        <w:pStyle w:val="ListBullet"/>
        <w:spacing w:before="20" w:after="40" w:line="288" w:lineRule="auto"/>
      </w:pPr>
      <w:r>
        <w:rPr>
          <w:rFonts w:ascii="Calibri" w:hAnsi="Calibri"/>
          <w:b w:val="0"/>
          <w:color w:val="1F2937"/>
          <w:sz w:val="21"/>
        </w:rPr>
        <w:t>A tenant's data is provably isolated (RLS test passes; no cross-tenant reads in test suite).</w:t>
      </w:r>
    </w:p>
    <w:p>
      <w:pPr>
        <w:pStyle w:val="ListBullet"/>
        <w:spacing w:before="20" w:after="40" w:line="288" w:lineRule="auto"/>
      </w:pPr>
      <w:r>
        <w:rPr>
          <w:rFonts w:ascii="Calibri" w:hAnsi="Calibri"/>
          <w:b w:val="0"/>
          <w:color w:val="1F2937"/>
          <w:sz w:val="21"/>
        </w:rPr>
        <w:t>Warranty card PDF generates and SMS dispatches within 5 seconds of sale completion.</w:t>
      </w:r>
    </w:p>
    <w:p>
      <w:pPr>
        <w:pStyle w:val="ListBullet"/>
        <w:spacing w:before="20" w:after="40" w:line="288" w:lineRule="auto"/>
      </w:pPr>
      <w:r>
        <w:rPr>
          <w:rFonts w:ascii="Calibri" w:hAnsi="Calibri"/>
          <w:b w:val="0"/>
          <w:color w:val="1F2937"/>
          <w:sz w:val="21"/>
        </w:rPr>
        <w:t>All 10 reports render under 1 second for a tenant with 10,000 transactions.</w:t>
      </w:r>
    </w:p>
    <w:p>
      <w:pPr>
        <w:pStyle w:val="ListBullet"/>
        <w:spacing w:before="20" w:after="40" w:line="288" w:lineRule="auto"/>
      </w:pPr>
      <w:r>
        <w:rPr>
          <w:rFonts w:ascii="Calibri" w:hAnsi="Calibri"/>
          <w:b w:val="0"/>
          <w:color w:val="1F2937"/>
          <w:sz w:val="21"/>
        </w:rPr>
        <w:t>Reminder worker dispatches all due reminders within a 60-second window of their trigger time.</w:t>
      </w:r>
    </w:p>
    <w:p>
      <w:pPr>
        <w:pStyle w:val="ListBullet"/>
        <w:spacing w:before="20" w:after="40" w:line="288" w:lineRule="auto"/>
      </w:pPr>
      <w:r>
        <w:rPr>
          <w:rFonts w:ascii="Calibri" w:hAnsi="Calibri"/>
          <w:b w:val="0"/>
          <w:color w:val="1F2937"/>
          <w:sz w:val="21"/>
        </w:rPr>
        <w:t>UI passes Lighthouse ≥ 90 on mobile (performance, accessibility, best-practice).</w:t>
      </w:r>
    </w:p>
    <w:p>
      <w:pPr>
        <w:pStyle w:val="ListBullet"/>
        <w:spacing w:before="20" w:after="40" w:line="288" w:lineRule="auto"/>
      </w:pPr>
      <w:r>
        <w:rPr>
          <w:rFonts w:ascii="Calibri" w:hAnsi="Calibri"/>
          <w:b w:val="0"/>
          <w:color w:val="1F2937"/>
          <w:sz w:val="21"/>
        </w:rPr>
        <w:t>Bangla and English language toggle works on 100% of user-facing strings.</w:t>
      </w:r>
    </w:p>
    <w:p>
      <w:pPr>
        <w:pStyle w:val="ListBullet"/>
        <w:spacing w:before="20" w:after="40" w:line="288" w:lineRule="auto"/>
      </w:pPr>
      <w:r>
        <w:rPr>
          <w:rFonts w:ascii="Calibri" w:hAnsi="Calibri"/>
          <w:b w:val="0"/>
          <w:color w:val="1F2937"/>
          <w:sz w:val="21"/>
        </w:rPr>
        <w:t>An accepted quotation converts to a Sales Invoice in one click with all line items and prices preserved.</w:t>
      </w:r>
    </w:p>
    <w:p>
      <w:pPr>
        <w:pStyle w:val="ListBullet"/>
        <w:spacing w:before="20" w:after="40" w:line="288" w:lineRule="auto"/>
      </w:pPr>
      <w:r>
        <w:rPr>
          <w:rFonts w:ascii="Calibri" w:hAnsi="Calibri"/>
          <w:b w:val="0"/>
          <w:color w:val="1F2937"/>
          <w:sz w:val="21"/>
        </w:rPr>
        <w:t>An RMA ticket tracks all 5 pipeline stages with timestamped history and ETA overdue alerts.</w:t>
      </w:r>
    </w:p>
    <w:p>
      <w:pPr>
        <w:pStyle w:val="ListBullet"/>
        <w:spacing w:before="20" w:after="40" w:line="288" w:lineRule="auto"/>
      </w:pPr>
      <w:r>
        <w:rPr>
          <w:rFonts w:ascii="Calibri" w:hAnsi="Calibri"/>
          <w:b w:val="0"/>
          <w:color w:val="1F2937"/>
          <w:sz w:val="21"/>
        </w:rPr>
        <w:t>A user can register exactly one tenant account per email address (DB UNIQUE constraint enforced).</w:t>
      </w:r>
    </w:p>
    <w:p>
      <w:pPr>
        <w:pStyle w:val="ListBullet"/>
        <w:spacing w:before="20" w:after="40" w:line="288" w:lineRule="auto"/>
      </w:pPr>
      <w:r>
        <w:rPr>
          <w:rFonts w:ascii="Calibri" w:hAnsi="Calibri"/>
          <w:b w:val="0"/>
          <w:color w:val="1F2937"/>
          <w:sz w:val="21"/>
        </w:rPr>
        <w:t>Subscription bill reminder fires on day 25 of the cycle; grace begins day 30; lock-out on day 40 if unpaid.</w:t>
      </w:r>
    </w:p>
    <w:p>
      <w:pPr>
        <w:pStyle w:val="ListBullet"/>
        <w:spacing w:before="20" w:after="40" w:line="288" w:lineRule="auto"/>
      </w:pPr>
      <w:r>
        <w:rPr>
          <w:rFonts w:ascii="Calibri" w:hAnsi="Calibri"/>
          <w:b w:val="0"/>
          <w:color w:val="1F2937"/>
          <w:sz w:val="21"/>
        </w:rPr>
        <w:t>On admin verifying a transaction ID, subscription cycle_end extends by 30 days and access restores within 60 seconds.</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