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eastAsia="SimHei"/>
          <w:b/>
          <w:bCs/>
          <w:color w:val="D4AF37"/>
          <w:sz w:val="56"/>
          <w:szCs w:val="56"/>
        </w:rPr>
        <w:t xml:space="preserve">RC-ERP</w:t>
      </w:r>
    </w:p>
    <w:p>
      <w:pPr>
        <w:spacing w:after="600"/>
        <w:jc w:val="center"/>
      </w:pPr>
      <w:r>
        <w:rPr>
          <w:rFonts w:ascii="Calibri" w:eastAsia="SimHei"/>
          <w:b/>
          <w:bCs/>
          <w:color w:val="FFFFFF"/>
          <w:sz w:val="44"/>
          <w:szCs w:val="44"/>
        </w:rPr>
        <w:t xml:space="preserve">Reports Section Documentation</w:t>
      </w:r>
    </w:p>
    <w:p>
      <w:pPr>
        <w:spacing w:after="200"/>
        <w:jc w:val="center"/>
      </w:pPr>
      <w:r>
        <w:rPr>
          <w:rFonts w:ascii="Calibri" w:eastAsia="SimHei"/>
          <w:color w:val="D4AF37"/>
          <w:sz w:val="24"/>
          <w:szCs w:val="24"/>
        </w:rPr>
        <w:t xml:space="preserve">32 Reports  |  6 Categories  |  Complete Data Source Reference</w:t>
      </w:r>
    </w:p>
    <w:p>
      <w:pPr>
        <w:spacing w:before="1200"/>
      </w:pPr>
    </w:p>
    <w:p>
      <w:pPr>
        <w:jc w:val="center"/>
      </w:pPr>
      <w:r>
        <w:rPr>
          <w:color w:val="AAAAAA"/>
          <w:sz w:val="22"/>
          <w:szCs w:val="22"/>
        </w:rPr>
        <w:t xml:space="preserve">Version 1.0  —  August 2026</w:t>
      </w:r>
    </w:p>
    <w:p>
      <w:pPr>
        <w:spacing w:after="100"/>
        <w:jc w:val="center"/>
      </w:pPr>
      <w:r>
        <w:rPr>
          <w:color w:val="888888"/>
          <w:sz w:val="20"/>
          <w:szCs w:val="20"/>
        </w:rPr>
        <w:t xml:space="preserve">Confidential — Internal Use Only</w:t>
      </w:r>
    </w:p>
    <w:p>
      <w:pPr>
        <w:sectPr>
          <w:pgSz w:w="11906" w:h="16838" w:orient="portrait"/>
          <w:pgMar w:top="0" w:right="0" w:bottom="0" w:left="0" w:header="708" w:footer="708" w:gutter="0"/>
          <w:pgNumType/>
          <w:docGrid w:linePitch="360"/>
        </w:sectPr>
      </w:pPr>
    </w:p>
    <w:p>
      <w:pPr>
        <w:spacing w:before="200"/>
      </w:pPr>
    </w:p>
    <w:p>
      <w:pPr>
        <w:pStyle w:val="Heading1"/>
        <w:spacing w:after="120" w:before="360"/>
      </w:pPr>
      <w:bookmarkStart w:id="100000" w:name="_Toc100000"/>
      <w:r>
        <w:rPr>
          <w:rFonts w:ascii="Calibri" w:eastAsia="SimHei"/>
          <w:b/>
          <w:bCs/>
          <w:color w:val="0F2027"/>
          <w:sz w:val="32"/>
          <w:szCs w:val="32"/>
        </w:rPr>
        <w:t xml:space="preserve">Table of Contents</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Reports Overview</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1.1 Report Categories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Finance &amp; Control Reports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Trial Balance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Profit &amp; Loss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2.3 Balance Sheet</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2.4 Cash Flow Statement</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2.5 General Ledger</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2.6 Journal Entries</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2.7 Day Book (Cash &amp; Bank)</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2.8 Branch Intercompany Ledger</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2.9 Branch-wise Ledger</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2.10 Budget Variance</w:t>
            </w:r>
            <w:r>
              <w:tab/>
            </w:r>
            <w:r>
              <w:fldChar w:fldCharType="begin"/>
            </w:r>
            <w:r>
              <w:instrText xml:space="preserve"> PAGEREF _Toc100013 \h </w:instrText>
            </w:r>
            <w:r>
              <w:fldChar w:fldCharType="separate"/>
            </w:r>
            <w:r>
              <w:t>11</w:t>
            </w:r>
            <w:r>
              <w:fldChar w:fldCharType="end"/>
            </w:r>
          </w:hyperlink>
        </w:p>
        <w:p>
          <w:pPr>
            <w:pStyle w:val="9"/>
            <w:tabs>
              <w:tab w:val="right" w:leader="dot" w:pos="9026"/>
            </w:tabs>
            <w:spacing w:before="120" w:after="60"/>
          </w:pPr>
          <w:hyperlink w:anchor="_Toc100014" w:history="1">
            <w:r>
              <w:rPr>
                <w:rStyle w:val="Hyperlink"/>
              </w:rPr>
              <w:t>3. Sales &amp; Revenue Reports</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3.1 Date Wise Sales Report (Revenue Overview)</w:t>
            </w:r>
            <w:r>
              <w:tab/>
            </w:r>
            <w:r>
              <w:fldChar w:fldCharType="begin"/>
            </w:r>
            <w:r>
              <w:instrText xml:space="preserve"> PAGEREF _Toc100015 \h </w:instrText>
            </w:r>
            <w:r>
              <w:fldChar w:fldCharType="separate"/>
            </w:r>
            <w:r>
              <w:t>13</w:t>
            </w:r>
            <w:r>
              <w:fldChar w:fldCharType="end"/>
            </w:r>
          </w:hyperlink>
        </w:p>
        <w:p>
          <w:pPr>
            <w:pStyle w:val="11"/>
            <w:ind w:left="360"/>
            <w:tabs>
              <w:tab w:val="right" w:leader="dot" w:pos="9026"/>
            </w:tabs>
            <w:spacing w:before="120" w:after="60"/>
          </w:pPr>
          <w:hyperlink w:anchor="_Toc100016" w:history="1">
            <w:r>
              <w:rPr>
                <w:rStyle w:val="Hyperlink"/>
              </w:rPr>
              <w:t>3.2 Dispatch Report (Sales Funnel)</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3.3 Invoice Details Report (Gross Margin CTE)</w:t>
            </w:r>
            <w:r>
              <w:tab/>
            </w:r>
            <w:r>
              <w:fldChar w:fldCharType="begin"/>
            </w:r>
            <w:r>
              <w:instrText xml:space="preserve"> PAGEREF _Toc100017 \h </w:instrText>
            </w:r>
            <w:r>
              <w:fldChar w:fldCharType="separate"/>
            </w:r>
            <w:r>
              <w:t>14</w:t>
            </w:r>
            <w:r>
              <w:fldChar w:fldCharType="end"/>
            </w:r>
          </w:hyperlink>
        </w:p>
        <w:p>
          <w:pPr>
            <w:pStyle w:val="11"/>
            <w:ind w:left="360"/>
            <w:tabs>
              <w:tab w:val="right" w:leader="dot" w:pos="9026"/>
            </w:tabs>
            <w:spacing w:before="120" w:after="60"/>
          </w:pPr>
          <w:hyperlink w:anchor="_Toc100018" w:history="1">
            <w:r>
              <w:rPr>
                <w:rStyle w:val="Hyperlink"/>
              </w:rPr>
              <w:t>3.4 Customer Performance</w:t>
            </w:r>
            <w:r>
              <w:tab/>
            </w:r>
            <w:r>
              <w:fldChar w:fldCharType="begin"/>
            </w:r>
            <w:r>
              <w:instrText xml:space="preserve"> PAGEREF _Toc100018 \h </w:instrText>
            </w:r>
            <w:r>
              <w:fldChar w:fldCharType="separate"/>
            </w:r>
            <w:r>
              <w:t>15</w:t>
            </w:r>
            <w:r>
              <w:fldChar w:fldCharType="end"/>
            </w:r>
          </w:hyperlink>
        </w:p>
        <w:p>
          <w:pPr>
            <w:pStyle w:val="9"/>
            <w:tabs>
              <w:tab w:val="right" w:leader="dot" w:pos="9026"/>
            </w:tabs>
            <w:spacing w:before="120" w:after="60"/>
          </w:pPr>
          <w:hyperlink w:anchor="_Toc100019" w:history="1">
            <w:r>
              <w:rPr>
                <w:rStyle w:val="Hyperlink"/>
              </w:rPr>
              <w:t>4. Purchase &amp; Payables Reports</w:t>
            </w:r>
            <w:r>
              <w:tab/>
            </w:r>
            <w:r>
              <w:fldChar w:fldCharType="begin"/>
            </w:r>
            <w:r>
              <w:instrText xml:space="preserve"> PAGEREF _Toc100019 \h </w:instrText>
            </w:r>
            <w:r>
              <w:fldChar w:fldCharType="separate"/>
            </w:r>
            <w:r>
              <w:t>16</w:t>
            </w:r>
            <w:r>
              <w:fldChar w:fldCharType="end"/>
            </w:r>
          </w:hyperlink>
        </w:p>
        <w:p>
          <w:pPr>
            <w:pStyle w:val="11"/>
            <w:ind w:left="360"/>
            <w:tabs>
              <w:tab w:val="right" w:leader="dot" w:pos="9026"/>
            </w:tabs>
            <w:spacing w:before="120" w:after="60"/>
          </w:pPr>
          <w:hyperlink w:anchor="_Toc100020" w:history="1">
            <w:r>
              <w:rPr>
                <w:rStyle w:val="Hyperlink"/>
              </w:rPr>
              <w:t>4.1 Supplier-wise Purchase</w:t>
            </w:r>
            <w:r>
              <w:tab/>
            </w:r>
            <w:r>
              <w:fldChar w:fldCharType="begin"/>
            </w:r>
            <w:r>
              <w:instrText xml:space="preserve"> PAGEREF _Toc100020 \h </w:instrText>
            </w:r>
            <w:r>
              <w:fldChar w:fldCharType="separate"/>
            </w:r>
            <w:r>
              <w:t>16</w:t>
            </w:r>
            <w:r>
              <w:fldChar w:fldCharType="end"/>
            </w:r>
          </w:hyperlink>
        </w:p>
        <w:p>
          <w:pPr>
            <w:pStyle w:val="11"/>
            <w:ind w:left="360"/>
            <w:tabs>
              <w:tab w:val="right" w:leader="dot" w:pos="9026"/>
            </w:tabs>
            <w:spacing w:before="120" w:after="60"/>
          </w:pPr>
          <w:hyperlink w:anchor="_Toc100021" w:history="1">
            <w:r>
              <w:rPr>
                <w:rStyle w:val="Hyperlink"/>
              </w:rPr>
              <w:t>4.2 Customer Due Report (Receivable Aging)</w:t>
            </w:r>
            <w:r>
              <w:tab/>
            </w:r>
            <w:r>
              <w:fldChar w:fldCharType="begin"/>
            </w:r>
            <w:r>
              <w:instrText xml:space="preserve"> PAGEREF _Toc100021 \h </w:instrText>
            </w:r>
            <w:r>
              <w:fldChar w:fldCharType="separate"/>
            </w:r>
            <w:r>
              <w:t>17</w:t>
            </w:r>
            <w:r>
              <w:fldChar w:fldCharType="end"/>
            </w:r>
          </w:hyperlink>
        </w:p>
        <w:p>
          <w:pPr>
            <w:pStyle w:val="11"/>
            <w:ind w:left="360"/>
            <w:tabs>
              <w:tab w:val="right" w:leader="dot" w:pos="9026"/>
            </w:tabs>
            <w:spacing w:before="120" w:after="60"/>
          </w:pPr>
          <w:hyperlink w:anchor="_Toc100022" w:history="1">
            <w:r>
              <w:rPr>
                <w:rStyle w:val="Hyperlink"/>
              </w:rPr>
              <w:t>4.3 Supplier Due Report (Payable Aging)</w:t>
            </w:r>
            <w:r>
              <w:tab/>
            </w:r>
            <w:r>
              <w:fldChar w:fldCharType="begin"/>
            </w:r>
            <w:r>
              <w:instrText xml:space="preserve"> PAGEREF _Toc100022 \h </w:instrText>
            </w:r>
            <w:r>
              <w:fldChar w:fldCharType="separate"/>
            </w:r>
            <w:r>
              <w:t>18</w:t>
            </w:r>
            <w:r>
              <w:fldChar w:fldCharType="end"/>
            </w:r>
          </w:hyperlink>
        </w:p>
        <w:p>
          <w:pPr>
            <w:pStyle w:val="9"/>
            <w:tabs>
              <w:tab w:val="right" w:leader="dot" w:pos="9026"/>
            </w:tabs>
            <w:spacing w:before="120" w:after="60"/>
          </w:pPr>
          <w:hyperlink w:anchor="_Toc100023" w:history="1">
            <w:r>
              <w:rPr>
                <w:rStyle w:val="Hyperlink"/>
              </w:rPr>
              <w:t>5. Inventory &amp; Stock Reports</w:t>
            </w:r>
            <w:r>
              <w:tab/>
            </w:r>
            <w:r>
              <w:fldChar w:fldCharType="begin"/>
            </w:r>
            <w:r>
              <w:instrText xml:space="preserve"> PAGEREF _Toc100023 \h </w:instrText>
            </w:r>
            <w:r>
              <w:fldChar w:fldCharType="separate"/>
            </w:r>
            <w:r>
              <w:t>19</w:t>
            </w:r>
            <w:r>
              <w:fldChar w:fldCharType="end"/>
            </w:r>
          </w:hyperlink>
        </w:p>
        <w:p>
          <w:pPr>
            <w:pStyle w:val="11"/>
            <w:ind w:left="360"/>
            <w:tabs>
              <w:tab w:val="right" w:leader="dot" w:pos="9026"/>
            </w:tabs>
            <w:spacing w:before="120" w:after="60"/>
          </w:pPr>
          <w:hyperlink w:anchor="_Toc100024" w:history="1">
            <w:r>
              <w:rPr>
                <w:rStyle w:val="Hyperlink"/>
              </w:rPr>
              <w:t>5.1 Stock Report (Stock Valuation)</w:t>
            </w:r>
            <w:r>
              <w:tab/>
            </w:r>
            <w:r>
              <w:fldChar w:fldCharType="begin"/>
            </w:r>
            <w:r>
              <w:instrText xml:space="preserve"> PAGEREF _Toc100024 \h </w:instrText>
            </w:r>
            <w:r>
              <w:fldChar w:fldCharType="separate"/>
            </w:r>
            <w:r>
              <w:t>19</w:t>
            </w:r>
            <w:r>
              <w:fldChar w:fldCharType="end"/>
            </w:r>
          </w:hyperlink>
        </w:p>
        <w:p>
          <w:pPr>
            <w:pStyle w:val="11"/>
            <w:ind w:left="360"/>
            <w:tabs>
              <w:tab w:val="right" w:leader="dot" w:pos="9026"/>
            </w:tabs>
            <w:spacing w:before="120" w:after="60"/>
          </w:pPr>
          <w:hyperlink w:anchor="_Toc100025" w:history="1">
            <w:r>
              <w:rPr>
                <w:rStyle w:val="Hyperlink"/>
              </w:rPr>
              <w:t>5.2 Product Movement Report</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5.3 Warehouse Transfer Summary</w:t>
            </w:r>
            <w:r>
              <w:tab/>
            </w:r>
            <w:r>
              <w:fldChar w:fldCharType="begin"/>
            </w:r>
            <w:r>
              <w:instrText xml:space="preserve"> PAGEREF _Toc100026 \h </w:instrText>
            </w:r>
            <w:r>
              <w:fldChar w:fldCharType="separate"/>
            </w:r>
            <w:r>
              <w:t>21</w:t>
            </w:r>
            <w:r>
              <w:fldChar w:fldCharType="end"/>
            </w:r>
          </w:hyperlink>
        </w:p>
        <w:p>
          <w:pPr>
            <w:pStyle w:val="11"/>
            <w:ind w:left="360"/>
            <w:tabs>
              <w:tab w:val="right" w:leader="dot" w:pos="9026"/>
            </w:tabs>
            <w:spacing w:before="120" w:after="60"/>
          </w:pPr>
          <w:hyperlink w:anchor="_Toc100027" w:history="1">
            <w:r>
              <w:rPr>
                <w:rStyle w:val="Hyperlink"/>
              </w:rPr>
              <w:t>5.4 ABC Classification</w:t>
            </w:r>
            <w:r>
              <w:tab/>
            </w:r>
            <w:r>
              <w:fldChar w:fldCharType="begin"/>
            </w:r>
            <w:r>
              <w:instrText xml:space="preserve"> PAGEREF _Toc100027 \h </w:instrText>
            </w:r>
            <w:r>
              <w:fldChar w:fldCharType="separate"/>
            </w:r>
            <w:r>
              <w:t>22</w:t>
            </w:r>
            <w:r>
              <w:fldChar w:fldCharType="end"/>
            </w:r>
          </w:hyperlink>
        </w:p>
        <w:p>
          <w:pPr>
            <w:pStyle w:val="9"/>
            <w:tabs>
              <w:tab w:val="right" w:leader="dot" w:pos="9026"/>
            </w:tabs>
            <w:spacing w:before="120" w:after="60"/>
          </w:pPr>
          <w:hyperlink w:anchor="_Toc100028" w:history="1">
            <w:r>
              <w:rPr>
                <w:rStyle w:val="Hyperlink"/>
              </w:rPr>
              <w:t>6. Operations Reports</w:t>
            </w:r>
            <w:r>
              <w:tab/>
            </w:r>
            <w:r>
              <w:fldChar w:fldCharType="begin"/>
            </w:r>
            <w:r>
              <w:instrText xml:space="preserve"> PAGEREF _Toc100028 \h </w:instrText>
            </w:r>
            <w:r>
              <w:fldChar w:fldCharType="separate"/>
            </w:r>
            <w:r>
              <w:t>23</w:t>
            </w:r>
            <w:r>
              <w:fldChar w:fldCharType="end"/>
            </w:r>
          </w:hyperlink>
        </w:p>
        <w:p>
          <w:pPr>
            <w:pStyle w:val="11"/>
            <w:ind w:left="360"/>
            <w:tabs>
              <w:tab w:val="right" w:leader="dot" w:pos="9026"/>
            </w:tabs>
            <w:spacing w:before="120" w:after="60"/>
          </w:pPr>
          <w:hyperlink w:anchor="_Toc100029" w:history="1">
            <w:r>
              <w:rPr>
                <w:rStyle w:val="Hyperlink"/>
              </w:rPr>
              <w:t>6.1 Sales Audit Checklist</w:t>
            </w:r>
            <w:r>
              <w:tab/>
            </w:r>
            <w:r>
              <w:fldChar w:fldCharType="begin"/>
            </w:r>
            <w:r>
              <w:instrText xml:space="preserve"> PAGEREF _Toc100029 \h </w:instrText>
            </w:r>
            <w:r>
              <w:fldChar w:fldCharType="separate"/>
            </w:r>
            <w:r>
              <w:t>23</w:t>
            </w:r>
            <w:r>
              <w:fldChar w:fldCharType="end"/>
            </w:r>
          </w:hyperlink>
        </w:p>
        <w:p>
          <w:pPr>
            <w:pStyle w:val="11"/>
            <w:ind w:left="360"/>
            <w:tabs>
              <w:tab w:val="right" w:leader="dot" w:pos="9026"/>
            </w:tabs>
            <w:spacing w:before="120" w:after="60"/>
          </w:pPr>
          <w:hyperlink w:anchor="_Toc100030" w:history="1">
            <w:r>
              <w:rPr>
                <w:rStyle w:val="Hyperlink"/>
              </w:rPr>
              <w:t>6.2 Purchase Audit Checklist</w:t>
            </w:r>
            <w:r>
              <w:tab/>
            </w:r>
            <w:r>
              <w:fldChar w:fldCharType="begin"/>
            </w:r>
            <w:r>
              <w:instrText xml:space="preserve"> PAGEREF _Toc100030 \h </w:instrText>
            </w:r>
            <w:r>
              <w:fldChar w:fldCharType="separate"/>
            </w:r>
            <w:r>
              <w:t>24</w:t>
            </w:r>
            <w:r>
              <w:fldChar w:fldCharType="end"/>
            </w:r>
          </w:hyperlink>
        </w:p>
        <w:p>
          <w:pPr>
            <w:pStyle w:val="11"/>
            <w:ind w:left="360"/>
            <w:tabs>
              <w:tab w:val="right" w:leader="dot" w:pos="9026"/>
            </w:tabs>
            <w:spacing w:before="120" w:after="60"/>
          </w:pPr>
          <w:hyperlink w:anchor="_Toc100031" w:history="1">
            <w:r>
              <w:rPr>
                <w:rStyle w:val="Hyperlink"/>
              </w:rPr>
              <w:t>6.3 Stock Take Variance</w:t>
            </w:r>
            <w:r>
              <w:tab/>
            </w:r>
            <w:r>
              <w:fldChar w:fldCharType="begin"/>
            </w:r>
            <w:r>
              <w:instrText xml:space="preserve"> PAGEREF _Toc100031 \h </w:instrText>
            </w:r>
            <w:r>
              <w:fldChar w:fldCharType="separate"/>
            </w:r>
            <w:r>
              <w:t>25</w:t>
            </w:r>
            <w:r>
              <w:fldChar w:fldCharType="end"/>
            </w:r>
          </w:hyperlink>
        </w:p>
        <w:p>
          <w:pPr>
            <w:pStyle w:val="11"/>
            <w:ind w:left="360"/>
            <w:tabs>
              <w:tab w:val="right" w:leader="dot" w:pos="9026"/>
            </w:tabs>
            <w:spacing w:before="120" w:after="60"/>
          </w:pPr>
          <w:hyperlink w:anchor="_Toc100032" w:history="1">
            <w:r>
              <w:rPr>
                <w:rStyle w:val="Hyperlink"/>
              </w:rPr>
              <w:t>6.4 Stock Take Weekly Control</w:t>
            </w:r>
            <w:r>
              <w:tab/>
            </w:r>
            <w:r>
              <w:fldChar w:fldCharType="begin"/>
            </w:r>
            <w:r>
              <w:instrText xml:space="preserve"> PAGEREF _Toc100032 \h </w:instrText>
            </w:r>
            <w:r>
              <w:fldChar w:fldCharType="separate"/>
            </w:r>
            <w:r>
              <w:t>26</w:t>
            </w:r>
            <w:r>
              <w:fldChar w:fldCharType="end"/>
            </w:r>
          </w:hyperlink>
        </w:p>
        <w:p>
          <w:pPr>
            <w:pStyle w:val="11"/>
            <w:ind w:left="360"/>
            <w:tabs>
              <w:tab w:val="right" w:leader="dot" w:pos="9026"/>
            </w:tabs>
            <w:spacing w:before="120" w:after="60"/>
          </w:pPr>
          <w:hyperlink w:anchor="_Toc100033" w:history="1">
            <w:r>
              <w:rPr>
                <w:rStyle w:val="Hyperlink"/>
              </w:rPr>
              <w:t>6.5 Branch Demand Weekly Report</w:t>
            </w:r>
            <w:r>
              <w:tab/>
            </w:r>
            <w:r>
              <w:fldChar w:fldCharType="begin"/>
            </w:r>
            <w:r>
              <w:instrText xml:space="preserve"> PAGEREF _Toc100033 \h </w:instrText>
            </w:r>
            <w:r>
              <w:fldChar w:fldCharType="separate"/>
            </w:r>
            <w:r>
              <w:t>27</w:t>
            </w:r>
            <w:r>
              <w:fldChar w:fldCharType="end"/>
            </w:r>
          </w:hyperlink>
        </w:p>
        <w:p>
          <w:pPr>
            <w:pStyle w:val="11"/>
            <w:ind w:left="360"/>
            <w:tabs>
              <w:tab w:val="right" w:leader="dot" w:pos="9026"/>
            </w:tabs>
            <w:spacing w:before="120" w:after="60"/>
          </w:pPr>
          <w:hyperlink w:anchor="_Toc100034" w:history="1">
            <w:r>
              <w:rPr>
                <w:rStyle w:val="Hyperlink"/>
              </w:rPr>
              <w:t>6.6 Damage Report</w:t>
            </w:r>
            <w:r>
              <w:tab/>
            </w:r>
            <w:r>
              <w:fldChar w:fldCharType="begin"/>
            </w:r>
            <w:r>
              <w:instrText xml:space="preserve"> PAGEREF _Toc100034 \h </w:instrText>
            </w:r>
            <w:r>
              <w:fldChar w:fldCharType="separate"/>
            </w:r>
            <w:r>
              <w:t>28</w:t>
            </w:r>
            <w:r>
              <w:fldChar w:fldCharType="end"/>
            </w:r>
          </w:hyperlink>
        </w:p>
        <w:p>
          <w:pPr>
            <w:pStyle w:val="11"/>
            <w:ind w:left="360"/>
            <w:tabs>
              <w:tab w:val="right" w:leader="dot" w:pos="9026"/>
            </w:tabs>
            <w:spacing w:before="120" w:after="60"/>
          </w:pPr>
          <w:hyperlink w:anchor="_Toc100035" w:history="1">
            <w:r>
              <w:rPr>
                <w:rStyle w:val="Hyperlink"/>
              </w:rPr>
              <w:t>6.7 Reconciliation Hub</w:t>
            </w:r>
            <w:r>
              <w:tab/>
            </w:r>
            <w:r>
              <w:fldChar w:fldCharType="begin"/>
            </w:r>
            <w:r>
              <w:instrText xml:space="preserve"> PAGEREF _Toc100035 \h </w:instrText>
            </w:r>
            <w:r>
              <w:fldChar w:fldCharType="separate"/>
            </w:r>
            <w:r>
              <w:t>29</w:t>
            </w:r>
            <w:r>
              <w:fldChar w:fldCharType="end"/>
            </w:r>
          </w:hyperlink>
        </w:p>
        <w:p>
          <w:pPr>
            <w:pStyle w:val="9"/>
            <w:tabs>
              <w:tab w:val="right" w:leader="dot" w:pos="9026"/>
            </w:tabs>
            <w:spacing w:before="120" w:after="60"/>
          </w:pPr>
          <w:hyperlink w:anchor="_Toc100036" w:history="1">
            <w:r>
              <w:rPr>
                <w:rStyle w:val="Hyperlink"/>
              </w:rPr>
              <w:t>7. CTE-Based Reports (Phase 1E)</w:t>
            </w:r>
            <w:r>
              <w:tab/>
            </w:r>
            <w:r>
              <w:fldChar w:fldCharType="begin"/>
            </w:r>
            <w:r>
              <w:instrText xml:space="preserve"> PAGEREF _Toc100036 \h </w:instrText>
            </w:r>
            <w:r>
              <w:fldChar w:fldCharType="separate"/>
            </w:r>
            <w:r>
              <w:t>29</w:t>
            </w:r>
            <w:r>
              <w:fldChar w:fldCharType="end"/>
            </w:r>
          </w:hyperlink>
        </w:p>
        <w:p>
          <w:pPr>
            <w:pStyle w:val="11"/>
            <w:ind w:left="360"/>
            <w:tabs>
              <w:tab w:val="right" w:leader="dot" w:pos="9026"/>
            </w:tabs>
            <w:spacing w:before="120" w:after="60"/>
          </w:pPr>
          <w:hyperlink w:anchor="_Toc100037" w:history="1">
            <w:r>
              <w:rPr>
                <w:rStyle w:val="Hyperlink"/>
              </w:rPr>
              <w:t>7.1 Today Summary (CTE)</w:t>
            </w:r>
            <w:r>
              <w:tab/>
            </w:r>
            <w:r>
              <w:fldChar w:fldCharType="begin"/>
            </w:r>
            <w:r>
              <w:instrText xml:space="preserve"> PAGEREF _Toc100037 \h </w:instrText>
            </w:r>
            <w:r>
              <w:fldChar w:fldCharType="separate"/>
            </w:r>
            <w:r>
              <w:t>30</w:t>
            </w:r>
            <w:r>
              <w:fldChar w:fldCharType="end"/>
            </w:r>
          </w:hyperlink>
        </w:p>
        <w:p>
          <w:pPr>
            <w:pStyle w:val="11"/>
            <w:ind w:left="360"/>
            <w:tabs>
              <w:tab w:val="right" w:leader="dot" w:pos="9026"/>
            </w:tabs>
            <w:spacing w:before="120" w:after="60"/>
          </w:pPr>
          <w:hyperlink w:anchor="_Toc100038" w:history="1">
            <w:r>
              <w:rPr>
                <w:rStyle w:val="Hyperlink"/>
              </w:rPr>
              <w:t>7.2 Receivable Aging CTE</w:t>
            </w:r>
            <w:r>
              <w:tab/>
            </w:r>
            <w:r>
              <w:fldChar w:fldCharType="begin"/>
            </w:r>
            <w:r>
              <w:instrText xml:space="preserve"> PAGEREF _Toc100038 \h </w:instrText>
            </w:r>
            <w:r>
              <w:fldChar w:fldCharType="separate"/>
            </w:r>
            <w:r>
              <w:t>31</w:t>
            </w:r>
            <w:r>
              <w:fldChar w:fldCharType="end"/>
            </w:r>
          </w:hyperlink>
        </w:p>
        <w:p>
          <w:pPr>
            <w:pStyle w:val="11"/>
            <w:ind w:left="360"/>
            <w:tabs>
              <w:tab w:val="right" w:leader="dot" w:pos="9026"/>
            </w:tabs>
            <w:spacing w:before="120" w:after="60"/>
          </w:pPr>
          <w:hyperlink w:anchor="_Toc100039" w:history="1">
            <w:r>
              <w:rPr>
                <w:rStyle w:val="Hyperlink"/>
              </w:rPr>
              <w:t>7.3 General Ledger CTE</w:t>
            </w:r>
            <w:r>
              <w:tab/>
            </w:r>
            <w:r>
              <w:fldChar w:fldCharType="begin"/>
            </w:r>
            <w:r>
              <w:instrText xml:space="preserve"> PAGEREF _Toc100039 \h </w:instrText>
            </w:r>
            <w:r>
              <w:fldChar w:fldCharType="separate"/>
            </w:r>
            <w:r>
              <w:t>32</w:t>
            </w:r>
            <w:r>
              <w:fldChar w:fldCharType="end"/>
            </w:r>
          </w:hyperlink>
        </w:p>
        <w:p>
          <w:pPr>
            <w:pStyle w:val="9"/>
            <w:tabs>
              <w:tab w:val="right" w:leader="dot" w:pos="9026"/>
            </w:tabs>
            <w:spacing w:before="120" w:after="60"/>
          </w:pPr>
          <w:hyperlink w:anchor="_Toc100040" w:history="1">
            <w:r>
              <w:rPr>
                <w:rStyle w:val="Hyperlink"/>
              </w:rPr>
              <w:t>8. Additional Report-Adjacent Endpoints</w:t>
            </w:r>
            <w:r>
              <w:tab/>
            </w:r>
            <w:r>
              <w:fldChar w:fldCharType="begin"/>
            </w:r>
            <w:r>
              <w:instrText xml:space="preserve"> PAGEREF _Toc100040 \h </w:instrText>
            </w:r>
            <w:r>
              <w:fldChar w:fldCharType="separate"/>
            </w:r>
            <w:r>
              <w:t>33</w:t>
            </w:r>
            <w:r>
              <w:fldChar w:fldCharType="end"/>
            </w:r>
          </w:hyperlink>
        </w:p>
        <w:p>
          <w:pPr>
            <w:pStyle w:val="11"/>
            <w:ind w:left="360"/>
            <w:tabs>
              <w:tab w:val="right" w:leader="dot" w:pos="9026"/>
            </w:tabs>
            <w:spacing w:before="120" w:after="60"/>
          </w:pPr>
          <w:hyperlink w:anchor="_Toc100041" w:history="1">
            <w:r>
              <w:rPr>
                <w:rStyle w:val="Hyperlink"/>
              </w:rPr>
              <w:t>8.1 User Performance Dashboard</w:t>
            </w:r>
            <w:r>
              <w:tab/>
            </w:r>
            <w:r>
              <w:fldChar w:fldCharType="begin"/>
            </w:r>
            <w:r>
              <w:instrText xml:space="preserve"> PAGEREF _Toc100041 \h </w:instrText>
            </w:r>
            <w:r>
              <w:fldChar w:fldCharType="separate"/>
            </w:r>
            <w:r>
              <w:t>33</w:t>
            </w:r>
            <w:r>
              <w:fldChar w:fldCharType="end"/>
            </w:r>
          </w:hyperlink>
        </w:p>
        <w:p>
          <w:pPr>
            <w:pStyle w:val="11"/>
            <w:ind w:left="360"/>
            <w:tabs>
              <w:tab w:val="right" w:leader="dot" w:pos="9026"/>
            </w:tabs>
            <w:spacing w:before="120" w:after="60"/>
          </w:pPr>
          <w:hyperlink w:anchor="_Toc100042" w:history="1">
            <w:r>
              <w:rPr>
                <w:rStyle w:val="Hyperlink"/>
              </w:rPr>
              <w:t>8.2 Consolidation Reports</w:t>
            </w:r>
            <w:r>
              <w:tab/>
            </w:r>
            <w:r>
              <w:fldChar w:fldCharType="begin"/>
            </w:r>
            <w:r>
              <w:instrText xml:space="preserve"> PAGEREF _Toc100042 \h </w:instrText>
            </w:r>
            <w:r>
              <w:fldChar w:fldCharType="separate"/>
            </w:r>
            <w:r>
              <w:t>34</w:t>
            </w:r>
            <w:r>
              <w:fldChar w:fldCharType="end"/>
            </w:r>
          </w:hyperlink>
        </w:p>
        <w:p>
          <w:pPr>
            <w:pStyle w:val="11"/>
            <w:ind w:left="360"/>
            <w:tabs>
              <w:tab w:val="right" w:leader="dot" w:pos="9026"/>
            </w:tabs>
            <w:spacing w:before="120" w:after="60"/>
          </w:pPr>
          <w:hyperlink w:anchor="_Toc100043" w:history="1">
            <w:r>
              <w:rPr>
                <w:rStyle w:val="Hyperlink"/>
              </w:rPr>
              <w:t>8.3 Dimension Segment Reports</w:t>
            </w:r>
            <w:r>
              <w:tab/>
            </w:r>
            <w:r>
              <w:fldChar w:fldCharType="begin"/>
            </w:r>
            <w:r>
              <w:instrText xml:space="preserve"> PAGEREF _Toc100043 \h </w:instrText>
            </w:r>
            <w:r>
              <w:fldChar w:fldCharType="separate"/>
            </w:r>
            <w:r>
              <w:t>34</w:t>
            </w:r>
            <w:r>
              <w:fldChar w:fldCharType="end"/>
            </w:r>
          </w:hyperlink>
        </w:p>
        <w:p>
          <w:pPr>
            <w:pStyle w:val="9"/>
            <w:tabs>
              <w:tab w:val="right" w:leader="dot" w:pos="9026"/>
            </w:tabs>
            <w:spacing w:before="120" w:after="60"/>
          </w:pPr>
          <w:hyperlink w:anchor="_Toc100044" w:history="1">
            <w:r>
              <w:rPr>
                <w:rStyle w:val="Hyperlink"/>
              </w:rPr>
              <w:t>9. Export Infrastructure</w:t>
            </w:r>
            <w:r>
              <w:tab/>
            </w:r>
            <w:r>
              <w:fldChar w:fldCharType="begin"/>
            </w:r>
            <w:r>
              <w:instrText xml:space="preserve"> PAGEREF _Toc100044 \h </w:instrText>
            </w:r>
            <w:r>
              <w:fldChar w:fldCharType="separate"/>
            </w:r>
            <w:r>
              <w:t>34</w:t>
            </w:r>
            <w:r>
              <w:fldChar w:fldCharType="end"/>
            </w:r>
          </w:hyperlink>
        </w:p>
        <w:p>
          <w:pPr>
            <w:pStyle w:val="11"/>
            <w:ind w:left="360"/>
            <w:tabs>
              <w:tab w:val="right" w:leader="dot" w:pos="9026"/>
            </w:tabs>
            <w:spacing w:before="120" w:after="60"/>
          </w:pPr>
          <w:hyperlink w:anchor="_Toc100045" w:history="1">
            <w:r>
              <w:rPr>
                <w:rStyle w:val="Hyperlink"/>
              </w:rPr>
              <w:t>9.1 CSV Export</w:t>
            </w:r>
            <w:r>
              <w:tab/>
            </w:r>
            <w:r>
              <w:fldChar w:fldCharType="begin"/>
            </w:r>
            <w:r>
              <w:instrText xml:space="preserve"> PAGEREF _Toc100045 \h </w:instrText>
            </w:r>
            <w:r>
              <w:fldChar w:fldCharType="separate"/>
            </w:r>
            <w:r>
              <w:t>34</w:t>
            </w:r>
            <w:r>
              <w:fldChar w:fldCharType="end"/>
            </w:r>
          </w:hyperlink>
        </w:p>
        <w:p>
          <w:pPr>
            <w:pStyle w:val="11"/>
            <w:ind w:left="360"/>
            <w:tabs>
              <w:tab w:val="right" w:leader="dot" w:pos="9026"/>
            </w:tabs>
            <w:spacing w:before="120" w:after="60"/>
          </w:pPr>
          <w:hyperlink w:anchor="_Toc100046" w:history="1">
            <w:r>
              <w:rPr>
                <w:rStyle w:val="Hyperlink"/>
              </w:rPr>
              <w:t>9.2 Export Security</w:t>
            </w:r>
            <w:r>
              <w:tab/>
            </w:r>
            <w:r>
              <w:fldChar w:fldCharType="begin"/>
            </w:r>
            <w:r>
              <w:instrText xml:space="preserve"> PAGEREF _Toc100046 \h </w:instrText>
            </w:r>
            <w:r>
              <w:fldChar w:fldCharType="separate"/>
            </w:r>
            <w:r>
              <w:t>35</w:t>
            </w:r>
            <w:r>
              <w:fldChar w:fldCharType="end"/>
            </w:r>
          </w:hyperlink>
        </w:p>
        <w:p>
          <w:pPr>
            <w:pStyle w:val="11"/>
            <w:ind w:left="360"/>
            <w:tabs>
              <w:tab w:val="right" w:leader="dot" w:pos="9026"/>
            </w:tabs>
            <w:spacing w:before="120" w:after="60"/>
          </w:pPr>
          <w:hyperlink w:anchor="_Toc100047" w:history="1">
            <w:r>
              <w:rPr>
                <w:rStyle w:val="Hyperlink"/>
              </w:rPr>
              <w:t>9.3 Materialized Views</w:t>
            </w:r>
            <w:r>
              <w:tab/>
            </w:r>
            <w:r>
              <w:fldChar w:fldCharType="begin"/>
            </w:r>
            <w:r>
              <w:instrText xml:space="preserve"> PAGEREF _Toc100047 \h </w:instrText>
            </w:r>
            <w:r>
              <w:fldChar w:fldCharType="separate"/>
            </w:r>
            <w:r>
              <w:t>35</w:t>
            </w:r>
            <w:r>
              <w:fldChar w:fldCharType="end"/>
            </w:r>
          </w:hyperlink>
        </w:p>
        <w:p>
          <w:pPr>
            <w:pStyle w:val="9"/>
            <w:tabs>
              <w:tab w:val="right" w:leader="dot" w:pos="9026"/>
            </w:tabs>
            <w:spacing w:before="120" w:after="60"/>
          </w:pPr>
          <w:hyperlink w:anchor="_Toc100048" w:history="1">
            <w:r>
              <w:rPr>
                <w:rStyle w:val="Hyperlink"/>
              </w:rPr>
              <w:t>10. Security Model</w:t>
            </w:r>
            <w:r>
              <w:tab/>
            </w:r>
            <w:r>
              <w:fldChar w:fldCharType="begin"/>
            </w:r>
            <w:r>
              <w:instrText xml:space="preserve"> PAGEREF _Toc100048 \h </w:instrText>
            </w:r>
            <w:r>
              <w:fldChar w:fldCharType="separate"/>
            </w:r>
            <w:r>
              <w:t>36</w:t>
            </w:r>
            <w:r>
              <w:fldChar w:fldCharType="end"/>
            </w:r>
          </w:hyperlink>
        </w:p>
        <w:p>
          <w:pPr>
            <w:pStyle w:val="11"/>
            <w:ind w:left="360"/>
            <w:tabs>
              <w:tab w:val="right" w:leader="dot" w:pos="9026"/>
            </w:tabs>
            <w:spacing w:before="120" w:after="60"/>
          </w:pPr>
          <w:hyperlink w:anchor="_Toc100049" w:history="1">
            <w:r>
              <w:rPr>
                <w:rStyle w:val="Hyperlink"/>
              </w:rPr>
              <w:t>10.1 Route-Level Access Control</w:t>
            </w:r>
            <w:r>
              <w:tab/>
            </w:r>
            <w:r>
              <w:fldChar w:fldCharType="begin"/>
            </w:r>
            <w:r>
              <w:instrText xml:space="preserve"> PAGEREF _Toc100049 \h </w:instrText>
            </w:r>
            <w:r>
              <w:fldChar w:fldCharType="separate"/>
            </w:r>
            <w:r>
              <w:t>36</w:t>
            </w:r>
            <w:r>
              <w:fldChar w:fldCharType="end"/>
            </w:r>
          </w:hyperlink>
        </w:p>
        <w:p>
          <w:pPr>
            <w:pStyle w:val="11"/>
            <w:ind w:left="360"/>
            <w:tabs>
              <w:tab w:val="right" w:leader="dot" w:pos="9026"/>
            </w:tabs>
            <w:spacing w:before="120" w:after="60"/>
          </w:pPr>
          <w:hyperlink w:anchor="_Toc100050" w:history="1">
            <w:r>
              <w:rPr>
                <w:rStyle w:val="Hyperlink"/>
              </w:rPr>
              <w:t>10.2 Data-Level Isolation</w:t>
            </w:r>
            <w:r>
              <w:tab/>
            </w:r>
            <w:r>
              <w:fldChar w:fldCharType="begin"/>
            </w:r>
            <w:r>
              <w:instrText xml:space="preserve"> PAGEREF _Toc100050 \h </w:instrText>
            </w:r>
            <w:r>
              <w:fldChar w:fldCharType="separate"/>
            </w:r>
            <w:r>
              <w:t>36</w:t>
            </w:r>
            <w:r>
              <w:fldChar w:fldCharType="end"/>
            </w:r>
          </w:hyperlink>
        </w:p>
        <w:p>
          <w:pPr>
            <w:pStyle w:val="9"/>
            <w:tabs>
              <w:tab w:val="right" w:leader="dot" w:pos="9026"/>
            </w:tabs>
            <w:spacing w:before="120" w:after="60"/>
          </w:pPr>
          <w:hyperlink w:anchor="_Toc100051" w:history="1">
            <w:r>
              <w:rPr>
                <w:rStyle w:val="Hyperlink"/>
              </w:rPr>
              <w:t>11. File Reference</w:t>
            </w:r>
            <w:r>
              <w:tab/>
            </w:r>
            <w:r>
              <w:fldChar w:fldCharType="begin"/>
            </w:r>
            <w:r>
              <w:instrText xml:space="preserve"> PAGEREF _Toc100051 \h </w:instrText>
            </w:r>
            <w:r>
              <w:fldChar w:fldCharType="separate"/>
            </w:r>
            <w:r>
              <w:t>37</w:t>
            </w:r>
            <w:r>
              <w:fldChar w:fldCharType="end"/>
            </w:r>
          </w:hyperlink>
        </w:p>
        <w:p>
          <w:r>
            <w:fldChar w:fldCharType="end"/>
          </w:r>
        </w:p>
      </w:sdtContent>
    </w:sdt>
    <w:p>
      <w:pPr>
        <w:spacing w:after="120" w:before="120"/>
        <w:jc w:val="center"/>
      </w:pPr>
      <w:r>
        <w:rPr>
          <w:i/>
          <w:iCs/>
          <w:color w:val="999999"/>
          <w:sz w:val="18"/>
          <w:szCs w:val="18"/>
        </w:rPr>
        <w:t xml:space="preserve">(Right-click TOC → “Update Field” to refresh page numbers)</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120" w:before="360"/>
      </w:pPr>
      <w:bookmarkStart w:id="100001" w:name="_Toc100001"/>
      <w:r>
        <w:rPr>
          <w:rFonts w:ascii="Calibri" w:eastAsia="SimHei"/>
          <w:b/>
          <w:bCs/>
          <w:color w:val="0F2027"/>
          <w:sz w:val="32"/>
          <w:szCs w:val="32"/>
        </w:rPr>
        <w:t xml:space="preserve">1. Reports Overview</w:t>
      </w:r>
      <w:bookmarkEnd w:id="100001"/>
    </w:p>
    <w:p>
      <w:pPr>
        <w:spacing w:line="312"/>
        <w:ind w:firstLine="480"/>
        <w:jc w:val="both"/>
      </w:pPr>
      <w:r>
        <w:rPr>
          <w:rFonts w:ascii="Times New Roman" w:eastAsia="SimSun"/>
          <w:color w:val="1A2B40"/>
          <w:sz w:val="24"/>
          <w:szCs w:val="24"/>
        </w:rPr>
        <w:t xml:space="preserve">The RC-ERP Reports Section contains 32 reports organized into 6 categories, plus a User Performance Dashboard and additional analytic endpoints for consolidation, dimension segment reporting, and bank reconciliation. All reports share a consistent architectural pattern: controllers accept filter parameters, delegate to service classes for data retrieval, and render Blade views with the results. Most reports support CSV export via the CsvExporter service, and all exports are audit-logged with throttling protection.</w:t>
      </w:r>
    </w:p>
    <w:p>
      <w:pPr>
        <w:spacing w:line="312"/>
        <w:ind w:firstLine="480"/>
        <w:jc w:val="both"/>
      </w:pPr>
      <w:r>
        <w:rPr>
          <w:rFonts w:ascii="Times New Roman" w:eastAsia="SimSun"/>
          <w:color w:val="1A2B40"/>
          <w:sz w:val="24"/>
          <w:szCs w:val="24"/>
        </w:rPr>
        <w:t xml:space="preserve">The single source of truth for report discovery is the ReportsCatalog helper class, which defines all 32 reports with their categories, route names, filter types, and featured status. The ReportController serves as the primary controller for 23+ report methods, while specialized controllers handle domain-specific reports (BranchDemandReportController, SalesFunnelController, CustomerPerformanceController, PurchaseAuditController, etc.).</w:t>
      </w:r>
    </w:p>
    <w:p>
      <w:pPr>
        <w:spacing w:line="312"/>
        <w:ind w:firstLine="480"/>
        <w:jc w:val="both"/>
      </w:pPr>
      <w:r>
        <w:rPr>
          <w:rFonts w:ascii="Times New Roman" w:eastAsia="SimSun"/>
          <w:color w:val="1A2B40"/>
          <w:sz w:val="24"/>
          <w:szCs w:val="24"/>
        </w:rPr>
        <w:t xml:space="preserve">Security is enforced at multiple levels: route middleware restricts all /admin/reports/* routes to accountant, manager, and admin roles; the Gate::before() bypass grants superadmin access; branch isolation limits non-admin users to their session branch; fiscal year scoping clamps date ranges for non-superadmin users; and export throttling limits CSV exports to 10 per minute per user.</w:t>
      </w:r>
    </w:p>
    <w:p>
      <w:pPr>
        <w:pStyle w:val="Heading1"/>
        <w:spacing w:after="120" w:before="360"/>
      </w:pPr>
      <w:bookmarkStart w:id="100002" w:name="_Toc100002"/>
      <w:r>
        <w:rPr>
          <w:rFonts w:ascii="Calibri" w:eastAsia="SimHei"/>
          <w:b/>
          <w:bCs/>
          <w:color w:val="0F2027"/>
          <w:sz w:val="32"/>
          <w:szCs w:val="32"/>
        </w:rPr>
        <w:t xml:space="preserve">1.1 Report Categories</w:t>
      </w:r>
      <w:bookmarkEnd w:id="1000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Category</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Report Count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Reports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Sales &amp; Revenue</w:t>
            </w:r>
          </w:p>
        </w:tc>
        <w:tc>
          <w:tcPr>
            <w:shd w:fill="F5F7FA" w:val="clear"/>
            <w:tcMar>
              <w:top w:type="dxa" w:w="40"/>
              <w:left w:type="dxa" w:w="120"/>
              <w:bottom w:type="dxa" w:w="40"/>
              <w:right w:type="dxa" w:w="120"/>
            </w:tcMar>
          </w:tcPr>
          <w:p>
            <w:r>
              <w:rPr>
                <w:rFonts w:ascii="Times New Roman" w:eastAsia="SimSun"/>
                <w:color w:val="1A2B40"/>
                <w:sz w:val="20"/>
                <w:szCs w:val="20"/>
              </w:rPr>
              <w:t xml:space="preserve">4</w:t>
            </w:r>
          </w:p>
        </w:tc>
        <w:tc>
          <w:tcPr>
            <w:shd w:fill="F5F7FA" w:val="clear"/>
            <w:tcMar>
              <w:top w:type="dxa" w:w="40"/>
              <w:left w:type="dxa" w:w="120"/>
              <w:bottom w:type="dxa" w:w="40"/>
              <w:right w:type="dxa" w:w="120"/>
            </w:tcMar>
          </w:tcPr>
          <w:p>
            <w:r>
              <w:rPr>
                <w:rFonts w:ascii="Times New Roman" w:eastAsia="SimSun"/>
                <w:color w:val="1A2B40"/>
                <w:sz w:val="20"/>
                <w:szCs w:val="20"/>
              </w:rPr>
              <w:t xml:space="preserve">Date Wise Sales, Dispatch, Invoice Details, Customer Performance</w:t>
            </w:r>
          </w:p>
        </w:tc>
      </w:tr>
      <w:tr>
        <w:tc>
          <w:tcPr>
            <w:tcMar>
              <w:top w:type="dxa" w:w="40"/>
              <w:left w:type="dxa" w:w="120"/>
              <w:bottom w:type="dxa" w:w="40"/>
              <w:right w:type="dxa" w:w="120"/>
            </w:tcMar>
          </w:tcPr>
          <w:p>
            <w:r>
              <w:rPr>
                <w:rFonts w:ascii="Times New Roman" w:eastAsia="SimSun"/>
                <w:color w:val="1A2B40"/>
                <w:sz w:val="20"/>
                <w:szCs w:val="20"/>
              </w:rPr>
              <w:t xml:space="preserve">Purchase &amp; Payables</w:t>
            </w:r>
          </w:p>
        </w:tc>
        <w:tc>
          <w:tcPr>
            <w:tcMar>
              <w:top w:type="dxa" w:w="40"/>
              <w:left w:type="dxa" w:w="120"/>
              <w:bottom w:type="dxa" w:w="40"/>
              <w:right w:type="dxa" w:w="120"/>
            </w:tcMar>
          </w:tcPr>
          <w:p>
            <w:r>
              <w:rPr>
                <w:rFonts w:ascii="Times New Roman" w:eastAsia="SimSun"/>
                <w:color w:val="1A2B40"/>
                <w:sz w:val="20"/>
                <w:szCs w:val="20"/>
              </w:rPr>
              <w:t xml:space="preserve">3</w:t>
            </w:r>
          </w:p>
        </w:tc>
        <w:tc>
          <w:tcPr>
            <w:tcMar>
              <w:top w:type="dxa" w:w="40"/>
              <w:left w:type="dxa" w:w="120"/>
              <w:bottom w:type="dxa" w:w="40"/>
              <w:right w:type="dxa" w:w="120"/>
            </w:tcMar>
          </w:tcPr>
          <w:p>
            <w:r>
              <w:rPr>
                <w:rFonts w:ascii="Times New Roman" w:eastAsia="SimSun"/>
                <w:color w:val="1A2B40"/>
                <w:sz w:val="20"/>
                <w:szCs w:val="20"/>
              </w:rPr>
              <w:t xml:space="preserve">Supplier-wise Purchase, Supplier Due, Customer Due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Inventory &amp; Stock</w:t>
            </w:r>
          </w:p>
        </w:tc>
        <w:tc>
          <w:tcPr>
            <w:shd w:fill="F5F7FA" w:val="clear"/>
            <w:tcMar>
              <w:top w:type="dxa" w:w="40"/>
              <w:left w:type="dxa" w:w="120"/>
              <w:bottom w:type="dxa" w:w="40"/>
              <w:right w:type="dxa" w:w="120"/>
            </w:tcMar>
          </w:tcPr>
          <w:p>
            <w:r>
              <w:rPr>
                <w:rFonts w:ascii="Times New Roman" w:eastAsia="SimSun"/>
                <w:color w:val="1A2B40"/>
                <w:sz w:val="20"/>
                <w:szCs w:val="20"/>
              </w:rPr>
              <w:t xml:space="preserve">4</w:t>
            </w:r>
          </w:p>
        </w:tc>
        <w:tc>
          <w:tcPr>
            <w:shd w:fill="F5F7FA" w:val="clear"/>
            <w:tcMar>
              <w:top w:type="dxa" w:w="40"/>
              <w:left w:type="dxa" w:w="120"/>
              <w:bottom w:type="dxa" w:w="40"/>
              <w:right w:type="dxa" w:w="120"/>
            </w:tcMar>
          </w:tcPr>
          <w:p>
            <w:r>
              <w:rPr>
                <w:rFonts w:ascii="Times New Roman" w:eastAsia="SimSun"/>
                <w:color w:val="1A2B40"/>
                <w:sz w:val="20"/>
                <w:szCs w:val="20"/>
              </w:rPr>
              <w:t xml:space="preserve">Stock Report, Product Movement, Warehouse Transfer, ABC Classification</w:t>
            </w:r>
          </w:p>
        </w:tc>
      </w:tr>
      <w:tr>
        <w:tc>
          <w:tcPr>
            <w:tcMar>
              <w:top w:type="dxa" w:w="40"/>
              <w:left w:type="dxa" w:w="120"/>
              <w:bottom w:type="dxa" w:w="40"/>
              <w:right w:type="dxa" w:w="120"/>
            </w:tcMar>
          </w:tcPr>
          <w:p>
            <w:r>
              <w:rPr>
                <w:rFonts w:ascii="Times New Roman" w:eastAsia="SimSun"/>
                <w:color w:val="1A2B40"/>
                <w:sz w:val="20"/>
                <w:szCs w:val="20"/>
              </w:rPr>
              <w:t xml:space="preserve">Finance &amp; Control</w:t>
            </w:r>
          </w:p>
        </w:tc>
        <w:tc>
          <w:tcPr>
            <w:tcMar>
              <w:top w:type="dxa" w:w="40"/>
              <w:left w:type="dxa" w:w="120"/>
              <w:bottom w:type="dxa" w:w="40"/>
              <w:right w:type="dxa" w:w="120"/>
            </w:tcMar>
          </w:tcPr>
          <w:p>
            <w:r>
              <w:rPr>
                <w:rFonts w:ascii="Times New Roman" w:eastAsia="SimSun"/>
                <w:color w:val="1A2B40"/>
                <w:sz w:val="20"/>
                <w:szCs w:val="20"/>
              </w:rPr>
              <w:t xml:space="preserve">10</w:t>
            </w:r>
          </w:p>
        </w:tc>
        <w:tc>
          <w:tcPr>
            <w:tcMar>
              <w:top w:type="dxa" w:w="40"/>
              <w:left w:type="dxa" w:w="120"/>
              <w:bottom w:type="dxa" w:w="40"/>
              <w:right w:type="dxa" w:w="120"/>
            </w:tcMar>
          </w:tcPr>
          <w:p>
            <w:r>
              <w:rPr>
                <w:rFonts w:ascii="Times New Roman" w:eastAsia="SimSun"/>
                <w:color w:val="1A2B40"/>
                <w:sz w:val="20"/>
                <w:szCs w:val="20"/>
              </w:rPr>
              <w:t xml:space="preserve">Trial Balance, P&amp;L, Cash Flow, Balance Sheet, General Ledger, Journal Entries, Day Book, Branch Intercompany, Branch-wise Ledger, Budget Variance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Operations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7</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Sales Audit, Purchase Audit, Stock Take Variance, Stock Take Weekly, Branch Demand Weekly, Damage Report, Reconciliation Hub</w:t>
            </w:r>
          </w:p>
        </w:tc>
      </w:tr>
      <w:tr>
        <w:tc>
          <w:tcPr>
            <w:tcMar>
              <w:top w:type="dxa" w:w="40"/>
              <w:left w:type="dxa" w:w="120"/>
              <w:bottom w:type="dxa" w:w="40"/>
              <w:right w:type="dxa" w:w="120"/>
            </w:tcMar>
          </w:tcPr>
          <w:p>
            <w:r>
              <w:rPr>
                <w:rFonts w:ascii="Times New Roman" w:eastAsia="SimSun"/>
                <w:color w:val="1A2B40"/>
                <w:sz w:val="20"/>
                <w:szCs w:val="20"/>
              </w:rPr>
              <w:t xml:space="preserve">CTE Reports</w:t>
            </w:r>
          </w:p>
        </w:tc>
        <w:tc>
          <w:tcPr>
            <w:tcMar>
              <w:top w:type="dxa" w:w="40"/>
              <w:left w:type="dxa" w:w="120"/>
              <w:bottom w:type="dxa" w:w="40"/>
              <w:right w:type="dxa" w:w="120"/>
            </w:tcMar>
          </w:tcPr>
          <w:p>
            <w:r>
              <w:rPr>
                <w:rFonts w:ascii="Times New Roman" w:eastAsia="SimSun"/>
                <w:color w:val="1A2B40"/>
                <w:sz w:val="20"/>
                <w:szCs w:val="20"/>
              </w:rPr>
              <w:t xml:space="preserve">4</w:t>
            </w:r>
          </w:p>
        </w:tc>
        <w:tc>
          <w:tcPr>
            <w:tcMar>
              <w:top w:type="dxa" w:w="40"/>
              <w:left w:type="dxa" w:w="120"/>
              <w:bottom w:type="dxa" w:w="40"/>
              <w:right w:type="dxa" w:w="120"/>
            </w:tcMar>
          </w:tcPr>
          <w:p>
            <w:r>
              <w:rPr>
                <w:rFonts w:ascii="Times New Roman" w:eastAsia="SimSun"/>
                <w:color w:val="1A2B40"/>
                <w:sz w:val="20"/>
                <w:szCs w:val="20"/>
              </w:rPr>
              <w:t xml:space="preserve">Today Summary, AR Aging CTE, General Ledger CTE, Gross Margin CTE</w:t>
            </w:r>
          </w:p>
        </w:tc>
      </w:tr>
    </w:tbl>
    <w:p>
      <w:pPr>
        <w:pStyle w:val="Heading1"/>
        <w:spacing w:after="120" w:before="360"/>
      </w:pPr>
      <w:bookmarkStart w:id="100003" w:name="_Toc100003"/>
      <w:r>
        <w:rPr>
          <w:rFonts w:ascii="Calibri" w:eastAsia="SimHei"/>
          <w:b/>
          <w:bCs/>
          <w:color w:val="0F2027"/>
          <w:sz w:val="32"/>
          <w:szCs w:val="32"/>
        </w:rPr>
        <w:t xml:space="preserve">2. Finance &amp; Control Reports</w:t>
      </w:r>
      <w:bookmarkEnd w:id="100003"/>
    </w:p>
    <w:p>
      <w:pPr>
        <w:pStyle w:val="Heading2"/>
        <w:spacing w:after="120" w:before="240"/>
      </w:pPr>
      <w:bookmarkStart w:id="100004" w:name="_Toc100004"/>
      <w:r>
        <w:rPr>
          <w:rFonts w:ascii="Calibri" w:eastAsia="SimHei"/>
          <w:b/>
          <w:bCs/>
          <w:color w:val="0F2027"/>
          <w:sz w:val="30"/>
          <w:szCs w:val="30"/>
        </w:rPr>
        <w:t xml:space="preserve">2.1 Trial Balance</w:t>
      </w:r>
      <w:bookmarkEnd w:id="100004"/>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/admin/reports/trial-balance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account_type (optional), include_zero (optional),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?export=csv</w:t>
      </w:r>
    </w:p>
    <w:p>
      <w:pPr>
        <w:spacing w:line="312"/>
        <w:ind w:firstLine="480"/>
        <w:jc w:val="both"/>
      </w:pPr>
      <w:r>
        <w:rPr>
          <w:rFonts w:ascii="Times New Roman" w:eastAsia="SimSun"/>
          <w:color w:val="1A2B40"/>
          <w:sz w:val="24"/>
          <w:szCs w:val="24"/>
        </w:rPr>
        <w:t xml:space="preserve">The Trial Balance report lists all active ledger accounts with their opening balances, period movement (debit and credit), and closing balances for the selected date range. It verifies that total debits equal total credits and performs sub-ledger reconciliation checks against the customer_ledger, supplier_ledger, and employee_ledger tables to ensure the GL control accounts match their respective sub-ledgers.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Trial Balance</w:t>
      </w:r>
    </w:p>
    <w:p>
      <w:pPr>
        <w:spacing w:line="312"/>
        <w:ind w:left="720"/>
      </w:pPr>
      <w:r>
        <w:rPr>
          <w:rFonts w:ascii="Times New Roman" w:eastAsia="SimSun"/>
          <w:color w:val="1A2B40"/>
          <w:sz w:val="24"/>
          <w:szCs w:val="24"/>
        </w:rPr>
        <w:t xml:space="preserve">•  Tables: ledgers, journal_lines, journal_entries, branches</w:t>
      </w:r>
    </w:p>
    <w:p>
      <w:pPr>
        <w:spacing w:line="312"/>
        <w:ind w:left="720"/>
      </w:pPr>
      <w:r>
        <w:rPr>
          <w:rFonts w:ascii="Times New Roman" w:eastAsia="SimSun"/>
          <w:color w:val="1A2B40"/>
          <w:sz w:val="24"/>
          <w:szCs w:val="24"/>
        </w:rPr>
        <w:t xml:space="preserve">•  Ledger accounts are joined with their posted journal lines within the date range. Opening balance is computed as the sum of all postings before from_date plus the ledger's opening_balance. Period movement is the sum of postings between from_date and to_date. Closing balance is the sum of all postings up to to_date plus opening_balance. Group-header ledgers (those with children) are excluded from the data rows but their balances are included in totals.</w:t>
      </w:r>
    </w:p>
    <w:p>
      <w:pPr>
        <w:spacing w:line="312"/>
        <w:ind w:firstLine="480"/>
        <w:jc w:val="both"/>
      </w:pPr>
      <w:r>
        <w:rPr>
          <w:rFonts w:ascii="Times New Roman" w:eastAsia="SimSun"/>
          <w:color w:val="1A2B40"/>
          <w:sz w:val="24"/>
          <w:szCs w:val="24"/>
        </w:rPr>
        <w:t xml:space="preserve">The sub-ledger reconciliation check compares the GL balance of AR, AP, and Employee Payable control accounts against their respective sub-ledger tables. An orphan check identifies journal_lines that reference non-existent or deleted ledgers. The report returns: meta, data (posting rows), totals (opening/period/closing Dr+Cr), and checks (balanced, subledger, orphans).</w:t>
      </w:r>
    </w:p>
    <w:p>
      <w:pPr>
        <w:pStyle w:val="Heading2"/>
        <w:spacing w:after="120" w:before="240"/>
      </w:pPr>
      <w:bookmarkStart w:id="100005" w:name="_Toc100005"/>
      <w:r>
        <w:rPr>
          <w:rFonts w:ascii="Calibri" w:eastAsia="SimHei"/>
          <w:b/>
          <w:bCs/>
          <w:color w:val="0F2027"/>
          <w:sz w:val="30"/>
          <w:szCs w:val="30"/>
        </w:rPr>
        <w:t xml:space="preserve">2.2 Profit &amp; Loss</w:t>
      </w:r>
      <w:bookmarkEnd w:id="100005"/>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/admin/reports/profit-and-loss</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?export=csv</w:t>
      </w:r>
    </w:p>
    <w:p>
      <w:pPr>
        <w:spacing w:line="312"/>
        <w:ind w:firstLine="480"/>
        <w:jc w:val="both"/>
      </w:pPr>
      <w:r>
        <w:rPr>
          <w:rFonts w:ascii="Times New Roman" w:eastAsia="SimSun"/>
          <w:color w:val="1A2B40"/>
          <w:sz w:val="24"/>
          <w:szCs w:val="24"/>
        </w:rPr>
        <w:t xml:space="preserve">The Profit &amp; Loss report presents the income statement in a structured multi-section format: Revenue, Cost of Goods Sold, Operating Expenses, and Finance Costs. Each section queries ledgers by their ledger_nature classification and aggregates the net amount (credit - debit for revenue, debit - credit for expenses) from posted journal entries within the date range.</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Profit &amp; Loss</w:t>
      </w:r>
    </w:p>
    <w:p>
      <w:pPr>
        <w:spacing w:line="312"/>
        <w:ind w:left="720"/>
      </w:pPr>
      <w:r>
        <w:rPr>
          <w:rFonts w:ascii="Times New Roman" w:eastAsia="SimSun"/>
          <w:color w:val="1A2B40"/>
          <w:sz w:val="24"/>
          <w:szCs w:val="24"/>
        </w:rPr>
        <w:t xml:space="preserve">•  Tables: ledgers, journal_lines, journal_entries</w:t>
      </w:r>
    </w:p>
    <w:p>
      <w:pPr>
        <w:spacing w:line="312"/>
        <w:ind w:left="720"/>
      </w:pPr>
      <w:r>
        <w:rPr>
          <w:rFonts w:ascii="Times New Roman" w:eastAsia="SimSun"/>
          <w:color w:val="1A2B40"/>
          <w:sz w:val="24"/>
          <w:szCs w:val="24"/>
        </w:rPr>
        <w:t xml:space="preserve">•  Four separate queries run for each P&amp;L section, filtering by ledger_nature: Revenue (sales_revenue, other_income, transport_revenue, inventory_surplus with contra sales_return, sales_discount), COGS (cogs), Operating Expenses (operating_expense, inventory_shrinkage, damage_loss, salary_expense), Finance Costs (finance_cost). Computed subtotals: Gross Profit = Revenue - COGS, Operating Income = Gross Profit - OpEx, Net Income = Operating Income - Finance Costs. Margin percentages are calculated automatically.</w:t>
      </w:r>
    </w:p>
    <w:p>
      <w:pPr>
        <w:pStyle w:val="Heading2"/>
        <w:spacing w:after="120" w:before="240"/>
      </w:pPr>
      <w:bookmarkStart w:id="100006" w:name="_Toc100006"/>
      <w:r>
        <w:rPr>
          <w:rFonts w:ascii="Calibri" w:eastAsia="SimHei"/>
          <w:b/>
          <w:bCs/>
          <w:color w:val="0F2027"/>
          <w:sz w:val="30"/>
          <w:szCs w:val="30"/>
        </w:rPr>
        <w:t xml:space="preserve">2.3 Balance Sheet</w:t>
      </w:r>
      <w:bookmarkEnd w:id="100006"/>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/admin/reports/balance-sheet</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as_of_date, branch_id (optional), include_zero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?export=csv</w:t>
      </w:r>
    </w:p>
    <w:p>
      <w:pPr>
        <w:spacing w:line="312"/>
        <w:ind w:firstLine="480"/>
        <w:jc w:val="both"/>
      </w:pPr>
      <w:r>
        <w:rPr>
          <w:rFonts w:ascii="Times New Roman" w:eastAsia="SimSun"/>
          <w:color w:val="1A2B40"/>
          <w:sz w:val="24"/>
          <w:szCs w:val="24"/>
        </w:rPr>
        <w:t xml:space="preserve">The Balance Sheet report presents Assets, Liabilities, and Equity as of a specific date. It queries all ledgers and their cumulative journal line postings up to the as-of date. Asset accounts use net debit balance, while Liability and Equity accounts use net credit balance. Income and Expense accounts that have not been closed are rolled into Equity as the current period result.</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Balance Sheet</w:t>
      </w:r>
    </w:p>
    <w:p>
      <w:pPr>
        <w:spacing w:line="312"/>
        <w:ind w:left="720"/>
      </w:pPr>
      <w:r>
        <w:rPr>
          <w:rFonts w:ascii="Times New Roman" w:eastAsia="SimSun"/>
          <w:color w:val="1A2B40"/>
          <w:sz w:val="24"/>
          <w:szCs w:val="24"/>
        </w:rPr>
        <w:t xml:space="preserve">•  Tables: ledgers, journal_lines, journal_entries, branches</w:t>
      </w:r>
    </w:p>
    <w:p>
      <w:pPr>
        <w:spacing w:line="312"/>
        <w:ind w:left="720"/>
      </w:pPr>
      <w:r>
        <w:rPr>
          <w:rFonts w:ascii="Times New Roman" w:eastAsia="SimSun"/>
          <w:color w:val="1A2B40"/>
          <w:sz w:val="24"/>
          <w:szCs w:val="24"/>
        </w:rPr>
        <w:t xml:space="preserve">•  Ledgers are split by account_type into Asset (net_debit), Liability (net_credit), and Equity (net_credit). Each row includes opening_balance plus cumulative postings up to as_of_date. The current_period_result represents unclosed Income/Expense rolled into equity. The balance check verifies total_assets = total_liabilities + total_equity.</w:t>
      </w:r>
    </w:p>
    <w:p>
      <w:pPr>
        <w:pStyle w:val="Heading2"/>
        <w:spacing w:after="120" w:before="240"/>
      </w:pPr>
      <w:bookmarkStart w:id="100007" w:name="_Toc100007"/>
      <w:r>
        <w:rPr>
          <w:rFonts w:ascii="Calibri" w:eastAsia="SimHei"/>
          <w:b/>
          <w:bCs/>
          <w:color w:val="0F2027"/>
          <w:sz w:val="30"/>
          <w:szCs w:val="30"/>
        </w:rPr>
        <w:t xml:space="preserve">2.4 Cash Flow Statement</w:t>
      </w:r>
      <w:bookmarkEnd w:id="100007"/>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/admin/reports/cash-flow</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?export=csv</w:t>
      </w:r>
    </w:p>
    <w:p>
      <w:pPr>
        <w:spacing w:line="312"/>
        <w:ind w:firstLine="480"/>
        <w:jc w:val="both"/>
      </w:pPr>
      <w:r>
        <w:rPr>
          <w:rFonts w:ascii="Times New Roman" w:eastAsia="SimSun"/>
          <w:color w:val="1A2B40"/>
          <w:sz w:val="24"/>
          <w:szCs w:val="24"/>
        </w:rPr>
        <w:t xml:space="preserve">The Cash Flow Statement uses the indirect method, starting from Net Profit and adjusting for non-cash items and working capital changes. It computes five separate sections: Net Profit (from P&amp;L), Depreciation/Amortization (non-cash add-back), Working Capital Changes (AR, AP, Inventory, Employee Payable movements), Investing Activities (non-current asset purchases/disposals), and Financing Activities (long-term liability and equity changes).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Cash Flow</w:t>
      </w:r>
    </w:p>
    <w:p>
      <w:pPr>
        <w:spacing w:line="312"/>
        <w:ind w:left="720"/>
      </w:pPr>
      <w:r>
        <w:rPr>
          <w:rFonts w:ascii="Times New Roman" w:eastAsia="SimSun"/>
          <w:color w:val="1A2B40"/>
          <w:sz w:val="24"/>
          <w:szCs w:val="24"/>
        </w:rPr>
        <w:t xml:space="preserve">•  Tables: ledgers, journal_lines, journal_entries</w:t>
      </w:r>
    </w:p>
    <w:p>
      <w:pPr>
        <w:spacing w:line="312"/>
        <w:ind w:left="720"/>
      </w:pPr>
      <w:r>
        <w:rPr>
          <w:rFonts w:ascii="Times New Roman" w:eastAsia="SimSun"/>
          <w:color w:val="1A2B40"/>
          <w:sz w:val="24"/>
          <w:szCs w:val="24"/>
        </w:rPr>
        <w:t xml:space="preserve">•  Seven separate queries: (1) Net Profit via profitAndLoss() delegation, (2) Depreciation from ledgers where name LIKE '%depreciation%'/'%amortisation%', (3) Working Capital from ledger_nature IN (ar, ap, inventory, employee_payable) with opening/closing balance comparison, (4) Investing from Asset ledgers under L-0200 excluding cash_bank/ar/inventory, (5) Financing from L-0400 long-term liabilities + Equity under L-0500 excluding retained_earnings, (6) Cash/Bank opening/closing from cash_bank ledgers, (7) Cash movement GL check. A plug difference reconciles computed vs GL cash movement.</w:t>
      </w:r>
    </w:p>
    <w:p>
      <w:pPr>
        <w:pStyle w:val="Heading2"/>
        <w:spacing w:after="120" w:before="240"/>
      </w:pPr>
      <w:bookmarkStart w:id="100008" w:name="_Toc100008"/>
      <w:r>
        <w:rPr>
          <w:rFonts w:ascii="Calibri" w:eastAsia="SimHei"/>
          <w:b/>
          <w:bCs/>
          <w:color w:val="0F2027"/>
          <w:sz w:val="30"/>
          <w:szCs w:val="30"/>
        </w:rPr>
        <w:t xml:space="preserve">2.5 General Ledger</w:t>
      </w:r>
      <w:bookmarkEnd w:id="100008"/>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/admin/reports/general-ledger</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ledger_id (optional), branch_id (optional)</w:t>
      </w:r>
    </w:p>
    <w:p>
      <w:pPr>
        <w:spacing w:line="312"/>
        <w:ind w:firstLine="480"/>
        <w:jc w:val="both"/>
      </w:pPr>
      <w:r>
        <w:rPr>
          <w:rFonts w:ascii="Times New Roman" w:eastAsia="SimSun"/>
          <w:color w:val="1A2B40"/>
          <w:sz w:val="24"/>
          <w:szCs w:val="24"/>
        </w:rPr>
        <w:t xml:space="preserve">The General Ledger report shows all posted journal entries with their individual lines for the selected date range. Each line displays the entry number, date, reference type, description, ledger account, debit, credit, and a running balance computed per ledger. The report is ordered by entry_date, entry_no, and line_id for chronological presentation.</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General Ledger</w:t>
      </w:r>
    </w:p>
    <w:p>
      <w:pPr>
        <w:spacing w:line="312"/>
        <w:ind w:left="720"/>
      </w:pPr>
      <w:r>
        <w:rPr>
          <w:rFonts w:ascii="Times New Roman" w:eastAsia="SimSun"/>
          <w:color w:val="1A2B40"/>
          <w:sz w:val="24"/>
          <w:szCs w:val="24"/>
        </w:rPr>
        <w:t xml:space="preserve">•  Tables: journal_lines, journal_entries, ledgers, branches</w:t>
      </w:r>
    </w:p>
    <w:p>
      <w:pPr>
        <w:spacing w:line="312"/>
        <w:ind w:left="720"/>
      </w:pPr>
      <w:r>
        <w:rPr>
          <w:rFonts w:ascii="Times New Roman" w:eastAsia="SimSun"/>
          <w:color w:val="1A2B40"/>
          <w:sz w:val="24"/>
          <w:szCs w:val="24"/>
        </w:rPr>
        <w:t xml:space="preserve">•  Journal lines are joined with their parent entries, ledger accounts, and branches. Only non-reversed entries are included. Running balance is computed PHP-side by accumulating debit-credit per ledger_id as rows are iterated. The balance check verifies total debits = total credits.</w:t>
      </w:r>
    </w:p>
    <w:p>
      <w:pPr>
        <w:pStyle w:val="Heading2"/>
        <w:spacing w:after="120" w:before="240"/>
      </w:pPr>
      <w:bookmarkStart w:id="100009" w:name="_Toc100009"/>
      <w:r>
        <w:rPr>
          <w:rFonts w:ascii="Calibri" w:eastAsia="SimHei"/>
          <w:b/>
          <w:bCs/>
          <w:color w:val="0F2027"/>
          <w:sz w:val="30"/>
          <w:szCs w:val="30"/>
        </w:rPr>
        <w:t xml:space="preserve">2.6 Journal Entries</w:t>
      </w:r>
      <w:bookmarkEnd w:id="100009"/>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/admin/reports/journal-entries</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 reference_type (optional)</w:t>
      </w:r>
    </w:p>
    <w:p>
      <w:pPr>
        <w:spacing w:line="312"/>
        <w:ind w:firstLine="480"/>
        <w:jc w:val="both"/>
      </w:pPr>
      <w:r>
        <w:rPr>
          <w:rFonts w:ascii="Times New Roman" w:eastAsia="SimSun"/>
          <w:color w:val="1A2B40"/>
          <w:sz w:val="24"/>
          <w:szCs w:val="24"/>
        </w:rPr>
        <w:t xml:space="preserve">The Journal Entries report provides a summary view of all journal entries, reading from the mv_journal_entry_summary materialized view for performance. Results are paginated at 50 per page and ordered by entry_date and entry_no in descending order. This report is optimized for high-volume environments where the full journal_entries table would be too slow to query directly.</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Journal Entries</w:t>
      </w:r>
    </w:p>
    <w:p>
      <w:pPr>
        <w:spacing w:line="312"/>
        <w:ind w:left="720"/>
      </w:pPr>
      <w:r>
        <w:rPr>
          <w:rFonts w:ascii="Times New Roman" w:eastAsia="SimSun"/>
          <w:color w:val="1A2B40"/>
          <w:sz w:val="24"/>
          <w:szCs w:val="24"/>
        </w:rPr>
        <w:t xml:space="preserve">•  Tables: mv_journal_entry_summary (materialized view)</w:t>
      </w:r>
    </w:p>
    <w:p>
      <w:pPr>
        <w:spacing w:line="312"/>
        <w:ind w:left="720"/>
      </w:pPr>
      <w:r>
        <w:rPr>
          <w:rFonts w:ascii="Times New Roman" w:eastAsia="SimSun"/>
          <w:color w:val="1A2B40"/>
          <w:sz w:val="24"/>
          <w:szCs w:val="24"/>
        </w:rPr>
        <w:t xml:space="preserve">•  The materialized view pre-aggregates journal entry data for fast retrieval. Filtered by date range, is_reversed=false, optional branch_id and reference_type. Results are paginated at 50 per page. The view is refreshed via refresh_all_report_views() when data changes.</w:t>
      </w:r>
    </w:p>
    <w:p>
      <w:pPr>
        <w:pStyle w:val="Heading2"/>
        <w:spacing w:after="120" w:before="240"/>
      </w:pPr>
      <w:bookmarkStart w:id="100010" w:name="_Toc100010"/>
      <w:r>
        <w:rPr>
          <w:rFonts w:ascii="Calibri" w:eastAsia="SimHei"/>
          <w:b/>
          <w:bCs/>
          <w:color w:val="0F2027"/>
          <w:sz w:val="30"/>
          <w:szCs w:val="30"/>
        </w:rPr>
        <w:t xml:space="preserve">2.7 Day Book (Cash &amp; Bank)</w:t>
      </w:r>
      <w:bookmarkEnd w:id="100010"/>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/admin/reports/daily-cash-book</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ind w:firstLine="480"/>
        <w:jc w:val="both"/>
      </w:pPr>
      <w:r>
        <w:rPr>
          <w:rFonts w:ascii="Times New Roman" w:eastAsia="SimSun"/>
          <w:color w:val="1A2B40"/>
          <w:sz w:val="24"/>
          <w:szCs w:val="24"/>
        </w:rPr>
        <w:t xml:space="preserve">The Day Book report shows all cash and bank transactions for the selected period, split into two sections: Receipts (credit entries to cash/bank ledgers, representing money coming in) and Payments (debit entries, representing money going out). This provides a clear view of daily cash flow at the transaction level.</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Day Book</w:t>
      </w:r>
    </w:p>
    <w:p>
      <w:pPr>
        <w:spacing w:line="312"/>
        <w:ind w:left="720"/>
      </w:pPr>
      <w:r>
        <w:rPr>
          <w:rFonts w:ascii="Times New Roman" w:eastAsia="SimSun"/>
          <w:color w:val="1A2B40"/>
          <w:sz w:val="24"/>
          <w:szCs w:val="24"/>
        </w:rPr>
        <w:t xml:space="preserve">•  Tables: journal_lines, journal_entries, ledgers, branches</w:t>
      </w:r>
    </w:p>
    <w:p>
      <w:pPr>
        <w:spacing w:line="312"/>
        <w:ind w:left="720"/>
      </w:pPr>
      <w:r>
        <w:rPr>
          <w:rFonts w:ascii="Times New Roman" w:eastAsia="SimSun"/>
          <w:color w:val="1A2B40"/>
          <w:sz w:val="24"/>
          <w:szCs w:val="24"/>
        </w:rPr>
        <w:t xml:space="preserve">•  Queries journal_lines joined with entries and ledgers where ledger_nature = 'cash_bank'. Results are split into receipts (credit &gt; 0) and payments (debit &gt; 0). Net cash movement = total receipts - total payments.</w:t>
      </w:r>
    </w:p>
    <w:p>
      <w:pPr>
        <w:pStyle w:val="Heading2"/>
        <w:spacing w:after="120" w:before="240"/>
      </w:pPr>
      <w:bookmarkStart w:id="100011" w:name="_Toc100011"/>
      <w:r>
        <w:rPr>
          <w:rFonts w:ascii="Calibri" w:eastAsia="SimHei"/>
          <w:b/>
          <w:bCs/>
          <w:color w:val="0F2027"/>
          <w:sz w:val="30"/>
          <w:szCs w:val="30"/>
        </w:rPr>
        <w:t xml:space="preserve">2.8 Branch Intercompany Ledger</w:t>
      </w:r>
      <w:bookmarkEnd w:id="100011"/>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/admin/reports/branch-intercompany</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branch_id (optional)</w:t>
      </w:r>
    </w:p>
    <w:p>
      <w:pPr>
        <w:spacing w:line="312"/>
        <w:ind w:firstLine="480"/>
        <w:jc w:val="both"/>
      </w:pPr>
      <w:r>
        <w:rPr>
          <w:rFonts w:ascii="Times New Roman" w:eastAsia="SimSun"/>
          <w:color w:val="1A2B40"/>
          <w:sz w:val="24"/>
          <w:szCs w:val="24"/>
        </w:rPr>
        <w:t xml:space="preserve">The Branch Intercompany Ledger report shows fund movements between branches, reading from the mv_branch_intercompany materialized view. This report is essential for multi-branch organizations to track intercompany receivables and payables. The zero-sum check verifies that total intercompany debits equal total credits across all branch pairs.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Branch Intercompany</w:t>
      </w:r>
    </w:p>
    <w:p>
      <w:pPr>
        <w:spacing w:line="312"/>
        <w:ind w:left="720"/>
      </w:pPr>
      <w:r>
        <w:rPr>
          <w:rFonts w:ascii="Times New Roman" w:eastAsia="SimSun"/>
          <w:color w:val="1A2B40"/>
          <w:sz w:val="24"/>
          <w:szCs w:val="24"/>
        </w:rPr>
        <w:t xml:space="preserve">•  Tables: mv_branch_intercompany (materialized view)</w:t>
      </w:r>
    </w:p>
    <w:p>
      <w:pPr>
        <w:spacing w:line="312"/>
        <w:ind w:left="720"/>
      </w:pPr>
      <w:r>
        <w:rPr>
          <w:rFonts w:ascii="Times New Roman" w:eastAsia="SimSun"/>
          <w:color w:val="1A2B40"/>
          <w:sz w:val="24"/>
          <w:szCs w:val="24"/>
        </w:rPr>
        <w:t xml:space="preserve">•  Pre-computed intercompany balances between branches. Filtered by from_branch_id or to_branch_id. The zero-sum check verifies that the sum of all intercompany balances equals zero (every debit to one branch is a credit to another).</w:t>
      </w:r>
    </w:p>
    <w:p>
      <w:pPr>
        <w:pStyle w:val="Heading2"/>
        <w:spacing w:after="120" w:before="240"/>
      </w:pPr>
      <w:bookmarkStart w:id="100012" w:name="_Toc100012"/>
      <w:r>
        <w:rPr>
          <w:rFonts w:ascii="Calibri" w:eastAsia="SimHei"/>
          <w:b/>
          <w:bCs/>
          <w:color w:val="0F2027"/>
          <w:sz w:val="30"/>
          <w:szCs w:val="30"/>
        </w:rPr>
        <w:t xml:space="preserve">2.9 Branch-wise Ledger</w:t>
      </w:r>
      <w:bookmarkEnd w:id="100012"/>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/admin/reports/branch-wise-ledger</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w:t>
      </w:r>
    </w:p>
    <w:p>
      <w:pPr>
        <w:spacing w:line="312"/>
        <w:ind w:firstLine="480"/>
        <w:jc w:val="both"/>
      </w:pPr>
      <w:r>
        <w:rPr>
          <w:rFonts w:ascii="Times New Roman" w:eastAsia="SimSun"/>
          <w:color w:val="1A2B40"/>
          <w:sz w:val="24"/>
          <w:szCs w:val="24"/>
        </w:rPr>
        <w:t xml:space="preserve">The Branch-wise Ledger report aggregates journal entry totals by branch and account type, showing each branch's activity across asset, liability, equity, income, and expense categories. This is useful for comparing branch-level financial performance and for multi-branch consolidation review.</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Branch-wise Ledger</w:t>
      </w:r>
    </w:p>
    <w:p>
      <w:pPr>
        <w:spacing w:line="312"/>
        <w:ind w:left="720"/>
      </w:pPr>
      <w:r>
        <w:rPr>
          <w:rFonts w:ascii="Times New Roman" w:eastAsia="SimSun"/>
          <w:color w:val="1A2B40"/>
          <w:sz w:val="24"/>
          <w:szCs w:val="24"/>
        </w:rPr>
        <w:t xml:space="preserve">•  Tables: journal_entries, journal_lines, ledgers, branches</w:t>
      </w:r>
    </w:p>
    <w:p>
      <w:pPr>
        <w:spacing w:line="312"/>
        <w:ind w:left="720"/>
      </w:pPr>
      <w:r>
        <w:rPr>
          <w:rFonts w:ascii="Times New Roman" w:eastAsia="SimSun"/>
          <w:color w:val="1A2B40"/>
          <w:sz w:val="24"/>
          <w:szCs w:val="24"/>
        </w:rPr>
        <w:t xml:space="preserve">•  Aggregates debit and credit totals grouped by branch_id, branch_name, account_type, and ledger_nature. Only non-reversed entries with non-null branch_id are included. Ordered by branch_name then account_type.</w:t>
      </w:r>
    </w:p>
    <w:p>
      <w:pPr>
        <w:pStyle w:val="Heading2"/>
        <w:spacing w:after="120" w:before="240"/>
      </w:pPr>
      <w:bookmarkStart w:id="100013" w:name="_Toc100013"/>
      <w:r>
        <w:rPr>
          <w:rFonts w:ascii="Calibri" w:eastAsia="SimHei"/>
          <w:b/>
          <w:bCs/>
          <w:color w:val="0F2027"/>
          <w:sz w:val="30"/>
          <w:szCs w:val="30"/>
        </w:rPr>
        <w:t xml:space="preserve">2.10 Budget Variance</w:t>
      </w:r>
      <w:bookmarkEnd w:id="100013"/>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/admin/budgets/variance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fiscal_year, branch_id (optional), period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/admin/budgets/export</w:t>
      </w:r>
    </w:p>
    <w:p>
      <w:pPr>
        <w:spacing w:line="312"/>
        <w:ind w:firstLine="480"/>
        <w:jc w:val="both"/>
      </w:pPr>
      <w:r>
        <w:rPr>
          <w:rFonts w:ascii="Times New Roman" w:eastAsia="SimSun"/>
          <w:color w:val="1A2B40"/>
          <w:sz w:val="24"/>
          <w:szCs w:val="24"/>
        </w:rPr>
        <w:t xml:space="preserve">The Budget Variance report compares budgeted amounts against actual GL postings for each ledger account, showing the variance (over/under budget) and variance percentage. This report helps management identify areas where spending deviates from plan and take corrective action.</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Budget Variance</w:t>
      </w:r>
    </w:p>
    <w:p>
      <w:pPr>
        <w:spacing w:line="312"/>
        <w:ind w:left="720"/>
      </w:pPr>
      <w:r>
        <w:rPr>
          <w:rFonts w:ascii="Times New Roman" w:eastAsia="SimSun"/>
          <w:color w:val="1A2B40"/>
          <w:sz w:val="24"/>
          <w:szCs w:val="24"/>
        </w:rPr>
        <w:t xml:space="preserve">•  Tables: ledgers, journal_lines, journal_entries, budgets (via BudgetService)</w:t>
      </w:r>
    </w:p>
    <w:p>
      <w:pPr>
        <w:spacing w:line="312"/>
        <w:ind w:left="720"/>
      </w:pPr>
      <w:r>
        <w:rPr>
          <w:rFonts w:ascii="Times New Roman" w:eastAsia="SimSun"/>
          <w:color w:val="1A2B40"/>
          <w:sz w:val="24"/>
          <w:szCs w:val="24"/>
        </w:rPr>
        <w:t xml:space="preserve">•  BudgetService::getBudgetVsActual() fetches budgeted amounts from the budgets table and compares them against actual GL postings from journal_lines/journal_entries. Variance = Actual - Budget. Variance % = (Variance / Budget) x 100. Organized by ledger account and fiscal period.</w:t>
      </w:r>
    </w:p>
    <w:p>
      <w:pPr>
        <w:pStyle w:val="Heading1"/>
        <w:spacing w:after="120" w:before="360"/>
      </w:pPr>
      <w:bookmarkStart w:id="100014" w:name="_Toc100014"/>
      <w:r>
        <w:rPr>
          <w:rFonts w:ascii="Calibri" w:eastAsia="SimHei"/>
          <w:b/>
          <w:bCs/>
          <w:color w:val="0F2027"/>
          <w:sz w:val="32"/>
          <w:szCs w:val="32"/>
        </w:rPr>
        <w:t xml:space="preserve">3. Sales &amp; Revenue Reports</w:t>
      </w:r>
      <w:bookmarkEnd w:id="100014"/>
    </w:p>
    <w:p>
      <w:pPr>
        <w:pStyle w:val="Heading2"/>
        <w:spacing w:after="120" w:before="240"/>
      </w:pPr>
      <w:bookmarkStart w:id="100015" w:name="_Toc100015"/>
      <w:r>
        <w:rPr>
          <w:rFonts w:ascii="Calibri" w:eastAsia="SimHei"/>
          <w:b/>
          <w:bCs/>
          <w:color w:val="0F2027"/>
          <w:sz w:val="30"/>
          <w:szCs w:val="30"/>
        </w:rPr>
        <w:t xml:space="preserve">3.1 Date Wise Sales Report (Revenue Overview)</w:t>
      </w:r>
      <w:bookmarkEnd w:id="100015"/>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/admin/reports/revenue-overview</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ind w:firstLine="480"/>
        <w:jc w:val="both"/>
      </w:pPr>
      <w:r>
        <w:rPr>
          <w:rFonts w:ascii="Times New Roman" w:eastAsia="SimSun"/>
          <w:color w:val="1A2B40"/>
          <w:sz w:val="24"/>
          <w:szCs w:val="24"/>
        </w:rPr>
        <w:t xml:space="preserve">The Revenue Overview report lists all sales invoices for the selected period, showing invoice code, date, customer, salesman, total amount, paid amount, and due amount. Results are paginated at 50 per page, ordered by invoice date descending. This is the primary report for reviewing daily and period sales activity.</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Revenue Overview</w:t>
      </w:r>
    </w:p>
    <w:p>
      <w:pPr>
        <w:spacing w:line="312"/>
        <w:ind w:left="720"/>
      </w:pPr>
      <w:r>
        <w:rPr>
          <w:rFonts w:ascii="Times New Roman" w:eastAsia="SimSun"/>
          <w:color w:val="1A2B40"/>
          <w:sz w:val="24"/>
          <w:szCs w:val="24"/>
        </w:rPr>
        <w:t xml:space="preserve">•  Tables: sales_invoices, customers, branches, employees</w:t>
      </w:r>
    </w:p>
    <w:p>
      <w:pPr>
        <w:spacing w:line="312"/>
        <w:ind w:left="720"/>
      </w:pPr>
      <w:r>
        <w:rPr>
          <w:rFonts w:ascii="Times New Roman" w:eastAsia="SimSun"/>
          <w:color w:val="1A2B40"/>
          <w:sz w:val="24"/>
          <w:szCs w:val="24"/>
        </w:rPr>
        <w:t xml:space="preserve">•  sales_invoices LEFT JOIN customers (customer_name), LEFT JOIN branches (branch_name), LEFT JOIN employees (salesman_name). WHERE invoice_date BETWEEN dates AND deleted_at IS NULL. Paginated at 50 per page.</w:t>
      </w:r>
    </w:p>
    <w:p>
      <w:pPr>
        <w:pStyle w:val="Heading2"/>
        <w:spacing w:after="120" w:before="240"/>
      </w:pPr>
      <w:bookmarkStart w:id="100016" w:name="_Toc100016"/>
      <w:r>
        <w:rPr>
          <w:rFonts w:ascii="Calibri" w:eastAsia="SimHei"/>
          <w:b/>
          <w:bCs/>
          <w:color w:val="0F2027"/>
          <w:sz w:val="30"/>
          <w:szCs w:val="30"/>
        </w:rPr>
        <w:t xml:space="preserve">3.2 Dispatch Report (Sales Funnel)</w:t>
      </w:r>
      <w:bookmarkEnd w:id="100016"/>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/admin/reports/sales-funnel</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ind w:firstLine="480"/>
        <w:jc w:val="both"/>
      </w:pPr>
      <w:r>
        <w:rPr>
          <w:rFonts w:ascii="Times New Roman" w:eastAsia="SimSun"/>
          <w:color w:val="1A2B40"/>
          <w:sz w:val="24"/>
          <w:szCs w:val="24"/>
        </w:rPr>
        <w:t xml:space="preserve">The Dispatch Report (Sales Funnel) provides pipeline analytics including funnel stages from draft to confirmed invoices, KPIs (conversion rates, average order value, collection efficiency), 6-month pipeline trend, salesman performance breakdown, open opportunities, and 30/60/90-day revenue forecast. This report helps sales managers track the health of the sales pipeline and forecast future revenue.</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Sales Funnel</w:t>
      </w:r>
    </w:p>
    <w:p>
      <w:pPr>
        <w:spacing w:line="312"/>
        <w:ind w:left="720"/>
      </w:pPr>
      <w:r>
        <w:rPr>
          <w:rFonts w:ascii="Times New Roman" w:eastAsia="SimSun"/>
          <w:color w:val="1A2B40"/>
          <w:sz w:val="24"/>
          <w:szCs w:val="24"/>
        </w:rPr>
        <w:t xml:space="preserve">•  Tables: sales_invoices, sales_draft_carts, employees, customers</w:t>
      </w:r>
    </w:p>
    <w:p>
      <w:pPr>
        <w:spacing w:line="312"/>
        <w:ind w:left="720"/>
      </w:pPr>
      <w:r>
        <w:rPr>
          <w:rFonts w:ascii="Times New Roman" w:eastAsia="SimSun"/>
          <w:color w:val="1A2B40"/>
          <w:sz w:val="24"/>
          <w:szCs w:val="24"/>
        </w:rPr>
        <w:t xml:space="preserve">•  SalesFunnelController computes funnel stages from sales_draft_carts (draft orders) through sales_invoices (confirmed/delivered). KPIs include conversion rates, AOV, and collection efficiency. Pipeline trend aggregates 6 months of data. Salesman performance breaks down by employee. Forecast uses historical conversion rates applied to current pipeline.</w:t>
      </w:r>
    </w:p>
    <w:p>
      <w:pPr>
        <w:pStyle w:val="Heading2"/>
        <w:spacing w:after="120" w:before="240"/>
      </w:pPr>
      <w:bookmarkStart w:id="100017" w:name="_Toc100017"/>
      <w:r>
        <w:rPr>
          <w:rFonts w:ascii="Calibri" w:eastAsia="SimHei"/>
          <w:b/>
          <w:bCs/>
          <w:color w:val="0F2027"/>
          <w:sz w:val="30"/>
          <w:szCs w:val="30"/>
        </w:rPr>
        <w:t xml:space="preserve">3.3 Invoice Details Report (Gross Margin CTE)</w:t>
      </w:r>
      <w:bookmarkEnd w:id="100017"/>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/admin/reports/gross-margin-cte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?format=csv</w:t>
      </w:r>
    </w:p>
    <w:p>
      <w:pPr>
        <w:spacing w:line="312"/>
        <w:ind w:firstLine="480"/>
        <w:jc w:val="both"/>
      </w:pPr>
      <w:r>
        <w:rPr>
          <w:rFonts w:ascii="Times New Roman" w:eastAsia="SimSun"/>
          <w:color w:val="1A2B40"/>
          <w:sz w:val="24"/>
          <w:szCs w:val="24"/>
        </w:rPr>
        <w:t xml:space="preserve">The Gross Margin report uses a PostgreSQL CTE function to compute per-invoice and per-product margins. It shows revenue, cost of goods sold, and gross margin percentage for each invoice, aggregated by product for a product-level margin view. This is the preferred margin analysis report, replacing the deprecated PHP-side grossMargin() method.</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Gross Margin CTE</w:t>
      </w:r>
    </w:p>
    <w:p>
      <w:pPr>
        <w:spacing w:line="312"/>
        <w:ind w:left="720"/>
      </w:pPr>
      <w:r>
        <w:rPr>
          <w:rFonts w:ascii="Times New Roman" w:eastAsia="SimSun"/>
          <w:color w:val="1A2B40"/>
          <w:sz w:val="24"/>
          <w:szCs w:val="24"/>
        </w:rPr>
        <w:t xml:space="preserve">•  Tables: PostgreSQL function: rcerp_gross_margin_cte(from, to, branch_id)</w:t>
      </w:r>
    </w:p>
    <w:p>
      <w:pPr>
        <w:spacing w:line="312"/>
        <w:ind w:left="720"/>
      </w:pPr>
      <w:r>
        <w:rPr>
          <w:rFonts w:ascii="Times New Roman" w:eastAsia="SimSun"/>
          <w:color w:val="1A2B40"/>
          <w:sz w:val="24"/>
          <w:szCs w:val="24"/>
        </w:rPr>
        <w:t xml:space="preserve">•  Calls the rcerp_gross_margin_cte() PostgreSQL function which returns JSON containing: invoice_margin (per-invoice revenue/COGS/margin%), product_margin (per-product summary), and totals. The CTE approach is significantly faster than PHP-side computation for large datasets.</w:t>
      </w:r>
    </w:p>
    <w:p>
      <w:pPr>
        <w:pStyle w:val="Heading2"/>
        <w:spacing w:after="120" w:before="240"/>
      </w:pPr>
      <w:bookmarkStart w:id="100018" w:name="_Toc100018"/>
      <w:r>
        <w:rPr>
          <w:rFonts w:ascii="Calibri" w:eastAsia="SimHei"/>
          <w:b/>
          <w:bCs/>
          <w:color w:val="0F2027"/>
          <w:sz w:val="30"/>
          <w:szCs w:val="30"/>
        </w:rPr>
        <w:t xml:space="preserve">3.4 Customer Performance</w:t>
      </w:r>
      <w:bookmarkEnd w:id="100018"/>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/admin/reports/customer-performance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 salesman_id (optional)</w:t>
      </w:r>
    </w:p>
    <w:p>
      <w:pPr>
        <w:spacing w:line="312"/>
        <w:ind w:firstLine="480"/>
        <w:jc w:val="both"/>
      </w:pPr>
      <w:r>
        <w:rPr>
          <w:rFonts w:ascii="Times New Roman" w:eastAsia="SimSun"/>
          <w:color w:val="1A2B40"/>
          <w:sz w:val="24"/>
          <w:szCs w:val="24"/>
        </w:rPr>
        <w:t xml:space="preserve">The Customer Performance report provides a 360-degree view of customer activity, including Customer Lifetime Value (CLV), churn risk scoring, customer segmentation, Average Order Value (AOV), retention rates, and lifetime metrics. It queries customers LEFT JOIN sales_invoices and customer_payments to compute comprehensive customer analytics. Default date range is 365 days.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Customer Performance</w:t>
      </w:r>
    </w:p>
    <w:p>
      <w:pPr>
        <w:spacing w:line="312"/>
        <w:ind w:left="720"/>
      </w:pPr>
      <w:r>
        <w:rPr>
          <w:rFonts w:ascii="Times New Roman" w:eastAsia="SimSun"/>
          <w:color w:val="1A2B40"/>
          <w:sz w:val="24"/>
          <w:szCs w:val="24"/>
        </w:rPr>
        <w:t xml:space="preserve">•  Tables: customers, sales_invoices, customer_payments</w:t>
      </w:r>
    </w:p>
    <w:p>
      <w:pPr>
        <w:spacing w:line="312"/>
        <w:ind w:left="720"/>
      </w:pPr>
      <w:r>
        <w:rPr>
          <w:rFonts w:ascii="Times New Roman" w:eastAsia="SimSun"/>
          <w:color w:val="1A2B40"/>
          <w:sz w:val="24"/>
          <w:szCs w:val="24"/>
        </w:rPr>
        <w:t xml:space="preserve">•  CustomerPerformanceController computes CLV from historical invoice totals, churn risk from recency/frequency/monetary analysis, segmentation by revenue tier, AOV from invoice averages, and retention from repeat purchase patterns. The 365-day default provides meaningful long-term analysis.</w:t>
      </w:r>
    </w:p>
    <w:p>
      <w:pPr>
        <w:pStyle w:val="Heading1"/>
        <w:spacing w:after="120" w:before="360"/>
      </w:pPr>
      <w:bookmarkStart w:id="100019" w:name="_Toc100019"/>
      <w:r>
        <w:rPr>
          <w:rFonts w:ascii="Calibri" w:eastAsia="SimHei"/>
          <w:b/>
          <w:bCs/>
          <w:color w:val="0F2027"/>
          <w:sz w:val="32"/>
          <w:szCs w:val="32"/>
        </w:rPr>
        <w:t xml:space="preserve">4. Purchase &amp; Payables Reports</w:t>
      </w:r>
      <w:bookmarkEnd w:id="100019"/>
    </w:p>
    <w:p>
      <w:pPr>
        <w:pStyle w:val="Heading2"/>
        <w:spacing w:after="120" w:before="240"/>
      </w:pPr>
      <w:bookmarkStart w:id="100020" w:name="_Toc100020"/>
      <w:r>
        <w:rPr>
          <w:rFonts w:ascii="Calibri" w:eastAsia="SimHei"/>
          <w:b/>
          <w:bCs/>
          <w:color w:val="0F2027"/>
          <w:sz w:val="30"/>
          <w:szCs w:val="30"/>
        </w:rPr>
        <w:t xml:space="preserve">4.1 Supplier-wise Purchase</w:t>
      </w:r>
      <w:bookmarkEnd w:id="100020"/>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/admin/reports/supplier-wise-purchase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w:t>
      </w:r>
    </w:p>
    <w:p>
      <w:pPr>
        <w:spacing w:line="312"/>
        <w:ind w:firstLine="480"/>
        <w:jc w:val="both"/>
      </w:pPr>
      <w:r>
        <w:rPr>
          <w:rFonts w:ascii="Times New Roman" w:eastAsia="SimSun"/>
          <w:color w:val="1A2B40"/>
          <w:sz w:val="24"/>
          <w:szCs w:val="24"/>
        </w:rPr>
        <w:t xml:space="preserve">The Supplier-wise Purchase report lists all suppliers with their purchase activity for the selected period, showing supplier code, supplier name, number of GRNs (Goods Received Notes), total purchase amount, and last purchase date. Only suppliers with activity in the period are shown, ordered by total purchase descending.</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Supplier-wise Purchase</w:t>
      </w:r>
    </w:p>
    <w:p>
      <w:pPr>
        <w:spacing w:line="312"/>
        <w:ind w:left="720"/>
      </w:pPr>
      <w:r>
        <w:rPr>
          <w:rFonts w:ascii="Times New Roman" w:eastAsia="SimSun"/>
          <w:color w:val="1A2B40"/>
          <w:sz w:val="24"/>
          <w:szCs w:val="24"/>
        </w:rPr>
        <w:t xml:space="preserve">•  Tables: suppliers, purchase_receives</w:t>
      </w:r>
    </w:p>
    <w:p>
      <w:pPr>
        <w:spacing w:line="312"/>
        <w:ind w:left="720"/>
      </w:pPr>
      <w:r>
        <w:rPr>
          <w:rFonts w:ascii="Times New Roman" w:eastAsia="SimSun"/>
          <w:color w:val="1A2B40"/>
          <w:sz w:val="24"/>
          <w:szCs w:val="24"/>
        </w:rPr>
        <w:t xml:space="preserve">•  suppliers LEFT JOIN purchase_receives WHERE receive_date BETWEEN dates AND is_reversed=false. GROUP BY supplier. HAVING COUNT &gt; 0. Ordered by total_purchase DESC.</w:t>
      </w:r>
    </w:p>
    <w:p>
      <w:pPr>
        <w:pStyle w:val="Heading2"/>
        <w:spacing w:after="120" w:before="240"/>
      </w:pPr>
      <w:bookmarkStart w:id="100021" w:name="_Toc100021"/>
      <w:r>
        <w:rPr>
          <w:rFonts w:ascii="Calibri" w:eastAsia="SimHei"/>
          <w:b/>
          <w:bCs/>
          <w:color w:val="0F2027"/>
          <w:sz w:val="30"/>
          <w:szCs w:val="30"/>
        </w:rPr>
        <w:t xml:space="preserve">4.2 Customer Due Report (Receivable Aging)</w:t>
      </w:r>
      <w:bookmarkEnd w:id="100021"/>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/admin/reports/receivable-aging</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as_of_date,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?export=csv</w:t>
      </w:r>
    </w:p>
    <w:p>
      <w:pPr>
        <w:spacing w:line="312"/>
        <w:ind w:firstLine="480"/>
        <w:jc w:val="both"/>
      </w:pPr>
      <w:r>
        <w:rPr>
          <w:rFonts w:ascii="Times New Roman" w:eastAsia="SimSun"/>
          <w:color w:val="1A2B40"/>
          <w:sz w:val="24"/>
          <w:szCs w:val="24"/>
        </w:rPr>
        <w:t xml:space="preserve">The Receivable Aging report shows how much each customer owes, broken into aging buckets (0-30, 31-60, 61-90, 90+ days past due). For today's date, it reads from the mv_ar_aging materialized view for performance. For historical dates, it queries the customer_ledger directly with aging bucket calculations. A GL reconciliation check compares the sub-ledger total against the AR control account in the GL.</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Receivable Aging</w:t>
      </w:r>
    </w:p>
    <w:p>
      <w:pPr>
        <w:spacing w:line="312"/>
        <w:ind w:left="720"/>
      </w:pPr>
      <w:r>
        <w:rPr>
          <w:rFonts w:ascii="Times New Roman" w:eastAsia="SimSun"/>
          <w:color w:val="1A2B40"/>
          <w:sz w:val="24"/>
          <w:szCs w:val="24"/>
        </w:rPr>
        <w:t xml:space="preserve">•  Tables: mv_ar_aging (materialized view) OR customer_ledger + customers + branches</w:t>
      </w:r>
    </w:p>
    <w:p>
      <w:pPr>
        <w:spacing w:line="312"/>
        <w:ind w:left="720"/>
      </w:pPr>
      <w:r>
        <w:rPr>
          <w:rFonts w:ascii="Times New Roman" w:eastAsia="SimSun"/>
          <w:color w:val="1A2B40"/>
          <w:sz w:val="24"/>
          <w:szCs w:val="24"/>
        </w:rPr>
        <w:t xml:space="preserve">•  Path A (today): reads mv_ar_aging filtered by branch_id. Path B (historical): customer_ledger INNER JOIN customers LEFT JOIN branches, computes aging buckets using CASE WHEN (asOfDate - transaction_date) ranges. GL reconciliation: ledgers (nature='ar') joined with journal_lines/journal_entries. Returns: data, totals (buckets + total_receivable + gl_ar_control), checks (matches_gl).</w:t>
      </w:r>
    </w:p>
    <w:p>
      <w:pPr>
        <w:pStyle w:val="Heading2"/>
        <w:spacing w:after="120" w:before="240"/>
      </w:pPr>
      <w:bookmarkStart w:id="100022" w:name="_Toc100022"/>
      <w:r>
        <w:rPr>
          <w:rFonts w:ascii="Calibri" w:eastAsia="SimHei"/>
          <w:b/>
          <w:bCs/>
          <w:color w:val="0F2027"/>
          <w:sz w:val="30"/>
          <w:szCs w:val="30"/>
        </w:rPr>
        <w:t xml:space="preserve">4.3 Supplier Due Report (Payable Aging)</w:t>
      </w:r>
      <w:bookmarkEnd w:id="100022"/>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/admin/reports/payable-aging</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as_of_date, branch_id (optional)</w:t>
      </w:r>
    </w:p>
    <w:p>
      <w:pPr>
        <w:spacing w:line="312"/>
        <w:ind w:firstLine="480"/>
        <w:jc w:val="both"/>
      </w:pPr>
      <w:r>
        <w:rPr>
          <w:rFonts w:ascii="Times New Roman" w:eastAsia="SimSun"/>
          <w:color w:val="1A2B40"/>
          <w:sz w:val="24"/>
          <w:szCs w:val="24"/>
        </w:rPr>
        <w:t xml:space="preserve">The Payable Aging report mirrors the Receivable Aging but for suppliers, showing how much the business owes each supplier in aging buckets. It uses the mv_ap_aging materialized view for today's date or direct supplier_ledger queries for historical dates. The GL reconciliation check compares against the AP control account.</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Payable Aging</w:t>
      </w:r>
    </w:p>
    <w:p>
      <w:pPr>
        <w:spacing w:line="312"/>
        <w:ind w:left="720"/>
      </w:pPr>
      <w:r>
        <w:rPr>
          <w:rFonts w:ascii="Times New Roman" w:eastAsia="SimSun"/>
          <w:color w:val="1A2B40"/>
          <w:sz w:val="24"/>
          <w:szCs w:val="24"/>
        </w:rPr>
        <w:t xml:space="preserve">•  Tables: mv_ap_aging (materialized view) OR supplier_ledger + suppliers + branches</w:t>
      </w:r>
    </w:p>
    <w:p>
      <w:pPr>
        <w:spacing w:line="312"/>
        <w:ind w:left="720"/>
      </w:pPr>
      <w:r>
        <w:rPr>
          <w:rFonts w:ascii="Times New Roman" w:eastAsia="SimSun"/>
          <w:color w:val="1A2B40"/>
          <w:sz w:val="24"/>
          <w:szCs w:val="24"/>
        </w:rPr>
        <w:t xml:space="preserve">•  Path A (today): reads mv_ap_aging. Path B (historical): supplier_ledger INNER JOIN suppliers LEFT JOIN branches, computes aging buckets using SUM(credit - debit) which is credit-normal for AP. GL reconciliation against ledgers with nature='ap'.</w:t>
      </w:r>
    </w:p>
    <w:p>
      <w:pPr>
        <w:pStyle w:val="Heading1"/>
        <w:spacing w:after="120" w:before="360"/>
      </w:pPr>
      <w:bookmarkStart w:id="100023" w:name="_Toc100023"/>
      <w:r>
        <w:rPr>
          <w:rFonts w:ascii="Calibri" w:eastAsia="SimHei"/>
          <w:b/>
          <w:bCs/>
          <w:color w:val="0F2027"/>
          <w:sz w:val="32"/>
          <w:szCs w:val="32"/>
        </w:rPr>
        <w:t xml:space="preserve">5. Inventory &amp; Stock Reports</w:t>
      </w:r>
      <w:bookmarkEnd w:id="100023"/>
    </w:p>
    <w:p>
      <w:pPr>
        <w:pStyle w:val="Heading2"/>
        <w:spacing w:after="120" w:before="240"/>
      </w:pPr>
      <w:bookmarkStart w:id="100024" w:name="_Toc100024"/>
      <w:r>
        <w:rPr>
          <w:rFonts w:ascii="Calibri" w:eastAsia="SimHei"/>
          <w:b/>
          <w:bCs/>
          <w:color w:val="0F2027"/>
          <w:sz w:val="30"/>
          <w:szCs w:val="30"/>
        </w:rPr>
        <w:t xml:space="preserve">5.1 Stock Report (Stock Valuation)</w:t>
      </w:r>
      <w:bookmarkEnd w:id="100024"/>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/admin/reports/product-stock-analysis</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branch_id (optional), warehouse_id (optional)</w:t>
      </w:r>
    </w:p>
    <w:p>
      <w:pPr>
        <w:spacing w:line="312"/>
        <w:ind w:firstLine="480"/>
        <w:jc w:val="both"/>
      </w:pPr>
      <w:r>
        <w:rPr>
          <w:rFonts w:ascii="Times New Roman" w:eastAsia="SimSun"/>
          <w:color w:val="1A2B40"/>
          <w:sz w:val="24"/>
          <w:szCs w:val="24"/>
        </w:rPr>
        <w:t xml:space="preserve">The Stock Valuation report shows current inventory levels and values for all products, reading from the mv_stock_valuation materialized view. It displays product name, SKU, warehouse, branch, on-hand quantity, unit cost, and total stock value. This report provides a real-time snapshot of inventory valuation across all or selected branches and warehouses.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Stock Valuation</w:t>
      </w:r>
    </w:p>
    <w:p>
      <w:pPr>
        <w:spacing w:line="312"/>
        <w:ind w:left="720"/>
      </w:pPr>
      <w:r>
        <w:rPr>
          <w:rFonts w:ascii="Times New Roman" w:eastAsia="SimSun"/>
          <w:color w:val="1A2B40"/>
          <w:sz w:val="24"/>
          <w:szCs w:val="24"/>
        </w:rPr>
        <w:t xml:space="preserve">•  Tables: mv_stock_valuation (materialized view)</w:t>
      </w:r>
    </w:p>
    <w:p>
      <w:pPr>
        <w:spacing w:line="312"/>
        <w:ind w:left="720"/>
      </w:pPr>
      <w:r>
        <w:rPr>
          <w:rFonts w:ascii="Times New Roman" w:eastAsia="SimSun"/>
          <w:color w:val="1A2B40"/>
          <w:sz w:val="24"/>
          <w:szCs w:val="24"/>
        </w:rPr>
        <w:t xml:space="preserve">•  Pre-computed stock valuation data from the materialized view. Filtered by branch_id and warehouse_id. Totals: total_qty = SUM(on_hand_qty), total_value = SUM(stock_value). The view is refreshed via refresh_all_report_views().</w:t>
      </w:r>
    </w:p>
    <w:p>
      <w:pPr>
        <w:pStyle w:val="Heading2"/>
        <w:spacing w:after="120" w:before="240"/>
      </w:pPr>
      <w:bookmarkStart w:id="100025" w:name="_Toc100025"/>
      <w:r>
        <w:rPr>
          <w:rFonts w:ascii="Calibri" w:eastAsia="SimHei"/>
          <w:b/>
          <w:bCs/>
          <w:color w:val="0F2027"/>
          <w:sz w:val="30"/>
          <w:szCs w:val="30"/>
        </w:rPr>
        <w:t xml:space="preserve">5.2 Product Movement Report</w:t>
      </w:r>
      <w:bookmarkEnd w:id="100025"/>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/admin/reports/product-movement</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 product_id (optional), warehouse_id (optional)</w:t>
      </w:r>
    </w:p>
    <w:p>
      <w:pPr>
        <w:spacing w:line="312"/>
        <w:ind w:firstLine="480"/>
        <w:jc w:val="both"/>
      </w:pPr>
      <w:r>
        <w:rPr>
          <w:rFonts w:ascii="Times New Roman" w:eastAsia="SimSun"/>
          <w:color w:val="1A2B40"/>
          <w:sz w:val="24"/>
          <w:szCs w:val="24"/>
        </w:rPr>
        <w:t xml:space="preserve">The Product Movement report shows all stock transactions for the selected period, including sales, purchases, transfers, adjustments, and damages. Each row shows the transaction date, reference type (which module created it), quantity, rate, total value, product, and warehouse. Results are paginated at 100 per page.</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Product Movement</w:t>
      </w:r>
    </w:p>
    <w:p>
      <w:pPr>
        <w:spacing w:line="312"/>
        <w:ind w:left="720"/>
      </w:pPr>
      <w:r>
        <w:rPr>
          <w:rFonts w:ascii="Times New Roman" w:eastAsia="SimSun"/>
          <w:color w:val="1A2B40"/>
          <w:sz w:val="24"/>
          <w:szCs w:val="24"/>
        </w:rPr>
        <w:t xml:space="preserve">•  Tables: stock_transactions, products, warehouses</w:t>
      </w:r>
    </w:p>
    <w:p>
      <w:pPr>
        <w:spacing w:line="312"/>
        <w:ind w:left="720"/>
      </w:pPr>
      <w:r>
        <w:rPr>
          <w:rFonts w:ascii="Times New Roman" w:eastAsia="SimSun"/>
          <w:color w:val="1A2B40"/>
          <w:sz w:val="24"/>
          <w:szCs w:val="24"/>
        </w:rPr>
        <w:t xml:space="preserve">•  stock_transactions JOIN products (product_code, product_name) JOIN warehouses (warehouse_name). WHERE transaction_date BETWEEN dates. Optional filters: product_id, warehouse_id, branch_id. Paginated at 100 per page, ordered by transaction_date, id.</w:t>
      </w:r>
    </w:p>
    <w:p>
      <w:pPr>
        <w:pStyle w:val="Heading2"/>
        <w:spacing w:after="120" w:before="240"/>
      </w:pPr>
      <w:bookmarkStart w:id="100026" w:name="_Toc100026"/>
      <w:r>
        <w:rPr>
          <w:rFonts w:ascii="Calibri" w:eastAsia="SimHei"/>
          <w:b/>
          <w:bCs/>
          <w:color w:val="0F2027"/>
          <w:sz w:val="30"/>
          <w:szCs w:val="30"/>
        </w:rPr>
        <w:t xml:space="preserve">5.3 Warehouse Transfer Summary</w:t>
      </w:r>
      <w:bookmarkEnd w:id="100026"/>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/admin/warehouse-transfers/summary</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/admin/warehouse-transfers/summary/export</w:t>
      </w:r>
    </w:p>
    <w:p>
      <w:pPr>
        <w:spacing w:line="312"/>
        <w:ind w:firstLine="480"/>
        <w:jc w:val="both"/>
      </w:pPr>
      <w:r>
        <w:rPr>
          <w:rFonts w:ascii="Times New Roman" w:eastAsia="SimSun"/>
          <w:color w:val="1A2B40"/>
          <w:sz w:val="24"/>
          <w:szCs w:val="24"/>
        </w:rPr>
        <w:t xml:space="preserve">The Warehouse Transfer Summary report provides multi-dimensional analysis of warehouse transfers: branch-level aggregates, top transferred products, warehouse pair flows (from-to), average transfer size, monthly trend, and transfer status breakdown. Data is loaded via AJAX POST to /summary-data for dynamic filtering.</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Warehouse Transfer Summary</w:t>
      </w:r>
    </w:p>
    <w:p>
      <w:pPr>
        <w:spacing w:line="312"/>
        <w:ind w:left="720"/>
      </w:pPr>
      <w:r>
        <w:rPr>
          <w:rFonts w:ascii="Times New Roman" w:eastAsia="SimSun"/>
          <w:color w:val="1A2B40"/>
          <w:sz w:val="24"/>
          <w:szCs w:val="24"/>
        </w:rPr>
        <w:t xml:space="preserve">•  Tables: warehouse_transfers + related tables (via WarehouseTransferSummaryReport)</w:t>
      </w:r>
    </w:p>
    <w:p>
      <w:pPr>
        <w:spacing w:line="312"/>
        <w:ind w:left="720"/>
      </w:pPr>
      <w:r>
        <w:rPr>
          <w:rFonts w:ascii="Times New Roman" w:eastAsia="SimSun"/>
          <w:color w:val="1A2B40"/>
          <w:sz w:val="24"/>
          <w:szCs w:val="24"/>
        </w:rPr>
        <w:t xml:space="preserve">•  WarehouseTransferSummaryReport::getSummary() computes 6 sections: branch aggregates, top products, warehouse pairs, averages, monthly trend. The AJAX pattern (POST /summary-data) enables dynamic filtering without page reload. CSV export streams all sections.</w:t>
      </w:r>
    </w:p>
    <w:p>
      <w:pPr>
        <w:pStyle w:val="Heading2"/>
        <w:spacing w:after="120" w:before="240"/>
      </w:pPr>
      <w:bookmarkStart w:id="100027" w:name="_Toc100027"/>
      <w:r>
        <w:rPr>
          <w:rFonts w:ascii="Calibri" w:eastAsia="SimHei"/>
          <w:b/>
          <w:bCs/>
          <w:color w:val="0F2027"/>
          <w:sz w:val="30"/>
          <w:szCs w:val="30"/>
        </w:rPr>
        <w:t xml:space="preserve">5.4 ABC Classification</w:t>
      </w:r>
      <w:bookmarkEnd w:id="100027"/>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/admin/stock-take/abc-report</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warehouse_id (optional)</w:t>
      </w:r>
    </w:p>
    <w:p>
      <w:pPr>
        <w:spacing w:line="312"/>
        <w:ind w:firstLine="480"/>
        <w:jc w:val="both"/>
      </w:pPr>
      <w:r>
        <w:rPr>
          <w:rFonts w:ascii="Times New Roman" w:eastAsia="SimSun"/>
          <w:color w:val="1A2B40"/>
          <w:sz w:val="24"/>
          <w:szCs w:val="24"/>
        </w:rPr>
        <w:t xml:space="preserve">The ABC Classification report categorizes products into A (high value, ~80% of total value), B (medium, ~15%), and C (low, ~5%) based on their contribution to total inventory value. It reads from the mv_product_abc_classification materialized view. The classification can be refreshed via /admin/stock-take/abc/refresh to recalculate based on current data.</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ABC Classification</w:t>
      </w:r>
    </w:p>
    <w:p>
      <w:pPr>
        <w:spacing w:line="312"/>
        <w:ind w:left="720"/>
      </w:pPr>
      <w:r>
        <w:rPr>
          <w:rFonts w:ascii="Times New Roman" w:eastAsia="SimSun"/>
          <w:color w:val="1A2B40"/>
          <w:sz w:val="24"/>
          <w:szCs w:val="24"/>
        </w:rPr>
        <w:t xml:space="preserve">•  Tables: mv_product_abc_classification (materialized view)</w:t>
      </w:r>
    </w:p>
    <w:p>
      <w:pPr>
        <w:spacing w:line="312"/>
        <w:ind w:left="720"/>
      </w:pPr>
      <w:r>
        <w:rPr>
          <w:rFonts w:ascii="Times New Roman" w:eastAsia="SimSun"/>
          <w:color w:val="1A2B40"/>
          <w:sz w:val="24"/>
          <w:szCs w:val="24"/>
        </w:rPr>
        <w:t xml:space="preserve">•  Pre-computed ABC classification from the materialized view, maintained by AbcClassificationService::refresh(). The refresh recomputes cumulative value percentages and assigns A/B/C classes based on the Pareto principle (80/15/5 split). Filtered by warehouse_id.</w:t>
      </w:r>
    </w:p>
    <w:p>
      <w:pPr>
        <w:pStyle w:val="Heading1"/>
        <w:spacing w:after="120" w:before="360"/>
      </w:pPr>
      <w:bookmarkStart w:id="100028" w:name="_Toc100028"/>
      <w:r>
        <w:rPr>
          <w:rFonts w:ascii="Calibri" w:eastAsia="SimHei"/>
          <w:b/>
          <w:bCs/>
          <w:color w:val="0F2027"/>
          <w:sz w:val="32"/>
          <w:szCs w:val="32"/>
        </w:rPr>
        <w:t xml:space="preserve">6. Operations Reports</w:t>
      </w:r>
      <w:bookmarkEnd w:id="100028"/>
    </w:p>
    <w:p>
      <w:pPr>
        <w:pStyle w:val="Heading2"/>
        <w:spacing w:after="120" w:before="240"/>
      </w:pPr>
      <w:bookmarkStart w:id="100029" w:name="_Toc100029"/>
      <w:r>
        <w:rPr>
          <w:rFonts w:ascii="Calibri" w:eastAsia="SimHei"/>
          <w:b/>
          <w:bCs/>
          <w:color w:val="0F2027"/>
          <w:sz w:val="30"/>
          <w:szCs w:val="30"/>
        </w:rPr>
        <w:t xml:space="preserve">6.1 Sales Audit Checklist</w:t>
      </w:r>
      <w:bookmarkEnd w:id="100029"/>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/admin/reports/sales-audit-checklist</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ind w:firstLine="480"/>
        <w:jc w:val="both"/>
      </w:pPr>
      <w:r>
        <w:rPr>
          <w:rFonts w:ascii="Times New Roman" w:eastAsia="SimSun"/>
          <w:color w:val="1A2B40"/>
          <w:sz w:val="24"/>
          <w:szCs w:val="24"/>
        </w:rPr>
        <w:t xml:space="preserve">The Sales Audit Checklist runs 12 automated health checks across the sales module: invoice integrity, challan consistency, return reconciliation, payment allocation, commission calculation, customer ledger balance, transport charge consistency, RLS (Row Level Security) verification, stale draft detection, GL journal link validation, and audit trail completeness. Each check returns a pass/fail status with details of any discrepancies found.</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Sales Audit</w:t>
      </w:r>
    </w:p>
    <w:p>
      <w:pPr>
        <w:spacing w:line="312"/>
        <w:ind w:left="720"/>
      </w:pPr>
      <w:r>
        <w:rPr>
          <w:rFonts w:ascii="Times New Roman" w:eastAsia="SimSun"/>
          <w:color w:val="1A2B40"/>
          <w:sz w:val="24"/>
          <w:szCs w:val="24"/>
        </w:rPr>
        <w:t xml:space="preserve">•  Tables: sales_invoices, sales_challans, sales_returns, customer_payments, customer_ledger, journal_entries, + related tables</w:t>
      </w:r>
    </w:p>
    <w:p>
      <w:pPr>
        <w:spacing w:line="312"/>
        <w:ind w:left="720"/>
      </w:pPr>
      <w:r>
        <w:rPr>
          <w:rFonts w:ascii="Times New Roman" w:eastAsia="SimSun"/>
          <w:color w:val="1A2B40"/>
          <w:sz w:val="24"/>
          <w:szCs w:val="24"/>
        </w:rPr>
        <w:t xml:space="preserve">•  SalesAuditService::runHealthChecks() runs 12 verification sections. Each section queries specific tables to verify data consistency. For example: invoices vs challans (delivery notes), payments vs customer_ledger, commission calculations vs expected formulas, GL journal links for all financial transactions. The /run endpoint returns JSON for AJAX rendering.</w:t>
      </w:r>
    </w:p>
    <w:p>
      <w:pPr>
        <w:pStyle w:val="Heading2"/>
        <w:spacing w:after="120" w:before="240"/>
      </w:pPr>
      <w:bookmarkStart w:id="100030" w:name="_Toc100030"/>
      <w:r>
        <w:rPr>
          <w:rFonts w:ascii="Calibri" w:eastAsia="SimHei"/>
          <w:b/>
          <w:bCs/>
          <w:color w:val="0F2027"/>
          <w:sz w:val="30"/>
          <w:szCs w:val="30"/>
        </w:rPr>
        <w:t xml:space="preserve">6.2 Purchase Audit Checklist</w:t>
      </w:r>
      <w:bookmarkEnd w:id="100030"/>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/admin/purchase-audit</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branch_id (optional)</w:t>
      </w:r>
    </w:p>
    <w:p>
      <w:pPr>
        <w:spacing w:line="312"/>
        <w:ind w:firstLine="480"/>
        <w:jc w:val="both"/>
      </w:pPr>
      <w:r>
        <w:rPr>
          <w:rFonts w:ascii="Times New Roman" w:eastAsia="SimSun"/>
          <w:color w:val="1A2B40"/>
          <w:sz w:val="24"/>
          <w:szCs w:val="24"/>
        </w:rPr>
        <w:t xml:space="preserve">The Purchase Audit Checklist mirrors the Sales Audit but for the purchase module, running automated health checks for purchase order integrity, GRN consistency, supplier ledger balance, and GL posting accuracy.</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Purchase Audit</w:t>
      </w:r>
    </w:p>
    <w:p>
      <w:pPr>
        <w:spacing w:line="312"/>
        <w:ind w:left="720"/>
      </w:pPr>
      <w:r>
        <w:rPr>
          <w:rFonts w:ascii="Times New Roman" w:eastAsia="SimSun"/>
          <w:color w:val="1A2B40"/>
          <w:sz w:val="24"/>
          <w:szCs w:val="24"/>
        </w:rPr>
        <w:t xml:space="preserve">•  Tables: purchase_orders, purchase_receives, supplier_payments, supplier_ledger, journal_entries</w:t>
      </w:r>
    </w:p>
    <w:p>
      <w:pPr>
        <w:spacing w:line="312"/>
        <w:ind w:left="720"/>
      </w:pPr>
      <w:r>
        <w:rPr>
          <w:rFonts w:ascii="Times New Roman" w:eastAsia="SimSun"/>
          <w:color w:val="1A2B40"/>
          <w:sz w:val="24"/>
          <w:szCs w:val="24"/>
        </w:rPr>
        <w:t xml:space="preserve">•  PurchaseAuditService::runHealthChecks() verifies purchase module data consistency. The /run endpoint returns JSON for AJAX rendering.</w:t>
      </w:r>
    </w:p>
    <w:p>
      <w:pPr>
        <w:pStyle w:val="Heading2"/>
        <w:spacing w:after="120" w:before="240"/>
      </w:pPr>
      <w:bookmarkStart w:id="100031" w:name="_Toc100031"/>
      <w:r>
        <w:rPr>
          <w:rFonts w:ascii="Calibri" w:eastAsia="SimHei"/>
          <w:b/>
          <w:bCs/>
          <w:color w:val="0F2027"/>
          <w:sz w:val="30"/>
          <w:szCs w:val="30"/>
        </w:rPr>
        <w:t xml:space="preserve">6.3 Stock Take Variance</w:t>
      </w:r>
      <w:bookmarkEnd w:id="100031"/>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/admin/reports/stocktake-variance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session_id (optional), branch_id (optional), warehouse_id (optional), product_id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/admin/reports/stocktake-variance/export</w:t>
      </w:r>
    </w:p>
    <w:p>
      <w:pPr>
        <w:spacing w:line="312"/>
        <w:ind w:firstLine="480"/>
        <w:jc w:val="both"/>
      </w:pPr>
      <w:r>
        <w:rPr>
          <w:rFonts w:ascii="Times New Roman" w:eastAsia="SimSun"/>
          <w:color w:val="1A2B40"/>
          <w:sz w:val="24"/>
          <w:szCs w:val="24"/>
        </w:rPr>
        <w:t xml:space="preserve">The Stock Take Variance report shows the difference between system stock quantities and physically counted quantities from stock take sessions. Each variance line shows the product, warehouse, system qty, counted qty, variance qty, variance value, and the stock take session. The journal drill-down (/stocktake-variance/journal/{session}) shows the GL posting created for the variance adjustment.</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Stock Take Variance</w:t>
      </w:r>
    </w:p>
    <w:p>
      <w:pPr>
        <w:spacing w:line="312"/>
        <w:ind w:left="720"/>
      </w:pPr>
      <w:r>
        <w:rPr>
          <w:rFonts w:ascii="Times New Roman" w:eastAsia="SimSun"/>
          <w:color w:val="1A2B40"/>
          <w:sz w:val="24"/>
          <w:szCs w:val="24"/>
        </w:rPr>
        <w:t xml:space="preserve">•  Tables: stock_take_items, stock_take_sessions, products, warehouses</w:t>
      </w:r>
    </w:p>
    <w:p>
      <w:pPr>
        <w:spacing w:line="312"/>
        <w:ind w:left="720"/>
      </w:pPr>
      <w:r>
        <w:rPr>
          <w:rFonts w:ascii="Times New Roman" w:eastAsia="SimSun"/>
          <w:color w:val="1A2B40"/>
          <w:sz w:val="24"/>
          <w:szCs w:val="24"/>
        </w:rPr>
        <w:t xml:space="preserve">•  StockTakeVarianceReport::getVarianceLines() queries stock_take_items joined with sessions, products, and warehouses. Variance = counted_qty - system_qty. Variance value = variance_qty x unit_cost. Journal drill-down via JournalPostingService::getEntryWithLines(). Paginated at 50 per page.</w:t>
      </w:r>
    </w:p>
    <w:p>
      <w:pPr>
        <w:pStyle w:val="Heading2"/>
        <w:spacing w:after="120" w:before="240"/>
      </w:pPr>
      <w:bookmarkStart w:id="100032" w:name="_Toc100032"/>
      <w:r>
        <w:rPr>
          <w:rFonts w:ascii="Calibri" w:eastAsia="SimHei"/>
          <w:b/>
          <w:bCs/>
          <w:color w:val="0F2027"/>
          <w:sz w:val="30"/>
          <w:szCs w:val="30"/>
        </w:rPr>
        <w:t xml:space="preserve">6.4 Stock Take Weekly Control</w:t>
      </w:r>
      <w:bookmarkEnd w:id="100032"/>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/admin/reports/stocktake-weekly</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/admin/reports/stocktake-weekly/export</w:t>
      </w:r>
    </w:p>
    <w:p>
      <w:pPr>
        <w:spacing w:line="312"/>
        <w:ind w:firstLine="480"/>
        <w:jc w:val="both"/>
      </w:pPr>
      <w:r>
        <w:rPr>
          <w:rFonts w:ascii="Times New Roman" w:eastAsia="SimSun"/>
          <w:color w:val="1A2B40"/>
          <w:sz w:val="24"/>
          <w:szCs w:val="24"/>
        </w:rPr>
        <w:t xml:space="preserve">The Stock Take Weekly Control report aggregates stock take results by week, showing the number of sessions, total items counted, total variance, and top variance SKUs for each week. This helps management monitor stock discipline trends over time and identify recurring problem areas.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Stock Take Weekly</w:t>
      </w:r>
    </w:p>
    <w:p>
      <w:pPr>
        <w:spacing w:line="312"/>
        <w:ind w:left="720"/>
      </w:pPr>
      <w:r>
        <w:rPr>
          <w:rFonts w:ascii="Times New Roman" w:eastAsia="SimSun"/>
          <w:color w:val="1A2B40"/>
          <w:sz w:val="24"/>
          <w:szCs w:val="24"/>
        </w:rPr>
        <w:t xml:space="preserve">•  Tables: stock_take_sessions, stock_take_items (via StockTakeWeeklyReport)</w:t>
      </w:r>
    </w:p>
    <w:p>
      <w:pPr>
        <w:spacing w:line="312"/>
        <w:ind w:left="720"/>
      </w:pPr>
      <w:r>
        <w:rPr>
          <w:rFonts w:ascii="Times New Roman" w:eastAsia="SimSun"/>
          <w:color w:val="1A2B40"/>
          <w:sz w:val="24"/>
          <w:szCs w:val="24"/>
        </w:rPr>
        <w:t xml:space="preserve">•  StockTakeWeeklyReport::getWeekly() aggregates sessions by week. Each week shows: session count, items counted, total variance value, top variance SKUs. Ordered by week descending.</w:t>
      </w:r>
    </w:p>
    <w:p>
      <w:pPr>
        <w:pStyle w:val="Heading2"/>
        <w:spacing w:after="120" w:before="240"/>
      </w:pPr>
      <w:bookmarkStart w:id="100033" w:name="_Toc100033"/>
      <w:r>
        <w:rPr>
          <w:rFonts w:ascii="Calibri" w:eastAsia="SimHei"/>
          <w:b/>
          <w:bCs/>
          <w:color w:val="0F2027"/>
          <w:sz w:val="30"/>
          <w:szCs w:val="30"/>
        </w:rPr>
        <w:t xml:space="preserve">6.5 Branch Demand Weekly Report</w:t>
      </w:r>
      <w:bookmarkEnd w:id="100033"/>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/admin/branch-demands/weekly-report</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/admin/branch-demands/weekly-report/export</w:t>
      </w:r>
    </w:p>
    <w:p>
      <w:pPr>
        <w:spacing w:line="312"/>
        <w:ind w:firstLine="480"/>
        <w:jc w:val="both"/>
      </w:pPr>
      <w:r>
        <w:rPr>
          <w:rFonts w:ascii="Times New Roman" w:eastAsia="SimSun"/>
          <w:color w:val="1A2B40"/>
          <w:sz w:val="24"/>
          <w:szCs w:val="24"/>
        </w:rPr>
        <w:t xml:space="preserve">The Branch Demand Weekly Report is a 23-column daily report showing branch demand details including requested quantities, approval status, settlement amounts, and fulfillment progress. The drill-down endpoint (/drill-down) provides JSON detail for specific column/branch/date combinations. The CSV export enforces a 90-day maximum range via BranchDemandExportRequest.</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Branch Demand Weekly</w:t>
      </w:r>
    </w:p>
    <w:p>
      <w:pPr>
        <w:spacing w:line="312"/>
        <w:ind w:left="720"/>
      </w:pPr>
      <w:r>
        <w:rPr>
          <w:rFonts w:ascii="Times New Roman" w:eastAsia="SimSun"/>
          <w:color w:val="1A2B40"/>
          <w:sz w:val="24"/>
          <w:szCs w:val="24"/>
        </w:rPr>
        <w:t xml:space="preserve">•  Tables: branch_demands + related tables (via BranchDemandWeeklyReportService)</w:t>
      </w:r>
    </w:p>
    <w:p>
      <w:pPr>
        <w:spacing w:line="312"/>
        <w:ind w:left="720"/>
      </w:pPr>
      <w:r>
        <w:rPr>
          <w:rFonts w:ascii="Times New Roman" w:eastAsia="SimSun"/>
          <w:color w:val="1A2B40"/>
          <w:sz w:val="24"/>
          <w:szCs w:val="24"/>
        </w:rPr>
        <w:t xml:space="preserve">•  BranchDemandWeeklyReportService::generateDailyReport() produces a 23-column daily matrix. Drill-down via getDrillDown(column, branch_id, date). Export via toCsvArray() with 90-day cap enforced by FormRequest.</w:t>
      </w:r>
    </w:p>
    <w:p>
      <w:pPr>
        <w:pStyle w:val="Heading2"/>
        <w:spacing w:after="120" w:before="240"/>
      </w:pPr>
      <w:bookmarkStart w:id="100034" w:name="_Toc100034"/>
      <w:r>
        <w:rPr>
          <w:rFonts w:ascii="Calibri" w:eastAsia="SimHei"/>
          <w:b/>
          <w:bCs/>
          <w:color w:val="0F2027"/>
          <w:sz w:val="30"/>
          <w:szCs w:val="30"/>
        </w:rPr>
        <w:t xml:space="preserve">6.6 Damage Report</w:t>
      </w:r>
      <w:bookmarkEnd w:id="100034"/>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/admin/reports/damage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branch_id (optional), warehouse_id (optional), damage_type (optional), status (optional), accountable_employee_id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/admin/reports/damage/export</w:t>
      </w:r>
    </w:p>
    <w:p>
      <w:pPr>
        <w:spacing w:line="312"/>
        <w:ind w:firstLine="480"/>
        <w:jc w:val="both"/>
      </w:pPr>
      <w:r>
        <w:rPr>
          <w:rFonts w:ascii="Times New Roman" w:eastAsia="SimSun"/>
          <w:color w:val="1A2B40"/>
          <w:sz w:val="24"/>
          <w:szCs w:val="24"/>
        </w:rPr>
        <w:t xml:space="preserve">The Damage Report provides multi-dimensional analytics on damage/loss incidents: KPIs (total value, count, recovery, net loss), monthly trend by damage type, breakdown by warehouse, by category, by accountable employee, top damaged products (limit 20), status distribution, and detail lines with full relational data. This is the most analytical report in the system, supporting both summary views and detailed drill-down.</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Damage Report</w:t>
      </w:r>
    </w:p>
    <w:p>
      <w:pPr>
        <w:spacing w:line="312"/>
        <w:ind w:left="720"/>
      </w:pPr>
      <w:r>
        <w:rPr>
          <w:rFonts w:ascii="Times New Roman" w:eastAsia="SimSun"/>
          <w:color w:val="1A2B40"/>
          <w:sz w:val="24"/>
          <w:szCs w:val="24"/>
        </w:rPr>
        <w:t xml:space="preserve">•  Tables: damage_invoices, damage_invoice_items, warehouses, branches, employees, users, products</w:t>
      </w:r>
    </w:p>
    <w:p>
      <w:pPr>
        <w:spacing w:line="312"/>
        <w:ind w:left="720"/>
      </w:pPr>
      <w:r>
        <w:rPr>
          <w:rFonts w:ascii="Times New Roman" w:eastAsia="SimSun"/>
          <w:color w:val="1A2B40"/>
          <w:sz w:val="24"/>
          <w:szCs w:val="24"/>
        </w:rPr>
        <w:t xml:space="preserve">•  DamageReportService methods: kpi() - summary with previous period comparison; monthlyTrend() - by month/damage_type; byWarehouse() - LEFT JOIN warehouses/branches; byCategory() - by damage_type; byEmployee() - LEFT JOIN employees for accountable; topProducts() - JOIN damage_invoice_items + products, LIMIT 20; byStatus() - all statuses; getDetailLines() - full detail with 8 JOINs (branches, warehouses, employees x2, users, employees for approver). CSV export capped at 10,000 rows.</w:t>
      </w:r>
    </w:p>
    <w:p>
      <w:pPr>
        <w:pStyle w:val="Heading2"/>
        <w:spacing w:after="120" w:before="240"/>
      </w:pPr>
      <w:bookmarkStart w:id="100035" w:name="_Toc100035"/>
      <w:r>
        <w:rPr>
          <w:rFonts w:ascii="Calibri" w:eastAsia="SimHei"/>
          <w:b/>
          <w:bCs/>
          <w:color w:val="0F2027"/>
          <w:sz w:val="30"/>
          <w:szCs w:val="30"/>
        </w:rPr>
        <w:t xml:space="preserve">6.7 Reconciliation Hub</w:t>
      </w:r>
      <w:bookmarkEnd w:id="100035"/>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/admin/reconciliation</w:t>
      </w:r>
    </w:p>
    <w:p>
      <w:pPr>
        <w:spacing w:line="312"/>
        <w:ind w:firstLine="480"/>
        <w:jc w:val="both"/>
      </w:pPr>
      <w:r>
        <w:rPr>
          <w:rFonts w:ascii="Times New Roman" w:eastAsia="SimSun"/>
          <w:color w:val="1A2B40"/>
          <w:sz w:val="24"/>
          <w:szCs w:val="24"/>
        </w:rPr>
        <w:t xml:space="preserve">The Reconciliation Hub provides a central page for 3-way subledger reconciliation: AR (customer_ledger vs GL), AP (supplier_ledger vs GL), and Employee Payable (employee_ledger vs GL). It identifies discrepancies between the sub-ledger balances and their GL control accounts, which are critical for financial audit compliance.</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Reconciliation Hub</w:t>
      </w:r>
    </w:p>
    <w:p>
      <w:pPr>
        <w:spacing w:line="312"/>
        <w:ind w:left="720"/>
      </w:pPr>
      <w:r>
        <w:rPr>
          <w:rFonts w:ascii="Times New Roman" w:eastAsia="SimSun"/>
          <w:color w:val="1A2B40"/>
          <w:sz w:val="24"/>
          <w:szCs w:val="24"/>
        </w:rPr>
        <w:t xml:space="preserve">•  Tables: customer_ledger, supplier_ledger, employee_ledger, ledgers, journal_lines, journal_entries</w:t>
      </w:r>
    </w:p>
    <w:p>
      <w:pPr>
        <w:spacing w:line="312"/>
        <w:ind w:left="720"/>
      </w:pPr>
      <w:r>
        <w:rPr>
          <w:rFonts w:ascii="Times New Roman" w:eastAsia="SimSun"/>
          <w:color w:val="1A2B40"/>
          <w:sz w:val="24"/>
          <w:szCs w:val="24"/>
        </w:rPr>
        <w:t xml:space="preserve">•  ReconciliationController compares each sub-ledger's aggregated balance against the corresponding GL control account balance. Discrepancies are flagged with the difference amount and direction.</w:t>
      </w:r>
    </w:p>
    <w:p>
      <w:pPr>
        <w:pStyle w:val="Heading1"/>
        <w:spacing w:after="120" w:before="360"/>
      </w:pPr>
      <w:bookmarkStart w:id="100036" w:name="_Toc100036"/>
      <w:r>
        <w:rPr>
          <w:rFonts w:ascii="Calibri" w:eastAsia="SimHei"/>
          <w:b/>
          <w:bCs/>
          <w:color w:val="0F2027"/>
          <w:sz w:val="32"/>
          <w:szCs w:val="32"/>
        </w:rPr>
        <w:t xml:space="preserve">7. CTE-Based Reports (Phase 1E)</w:t>
      </w:r>
      <w:bookmarkEnd w:id="100036"/>
    </w:p>
    <w:p>
      <w:pPr>
        <w:spacing w:line="312"/>
        <w:ind w:firstLine="480"/>
        <w:jc w:val="both"/>
      </w:pPr>
      <w:r>
        <w:rPr>
          <w:rFonts w:ascii="Times New Roman" w:eastAsia="SimSun"/>
          <w:color w:val="1A2B40"/>
          <w:sz w:val="24"/>
          <w:szCs w:val="24"/>
        </w:rPr>
        <w:t xml:space="preserve">CTE (Common Table Expression) reports use PostgreSQL functions for high-performance computation. These functions execute entirely within the database, avoiding PHP-to-PostgreSQL data transfer overhead. Each function returns JSON that is decoded on the PHP side. CTE reports are recommended over their PHP-side equivalents for large datasets because the database engine can optimize the query execution plan.</w:t>
      </w:r>
    </w:p>
    <w:p>
      <w:pPr>
        <w:pStyle w:val="Heading2"/>
        <w:spacing w:after="120" w:before="240"/>
      </w:pPr>
      <w:bookmarkStart w:id="100037" w:name="_Toc100037"/>
      <w:r>
        <w:rPr>
          <w:rFonts w:ascii="Calibri" w:eastAsia="SimHei"/>
          <w:b/>
          <w:bCs/>
          <w:color w:val="0F2027"/>
          <w:sz w:val="30"/>
          <w:szCs w:val="30"/>
        </w:rPr>
        <w:t xml:space="preserve">7.1 Today Summary (CTE)</w:t>
      </w:r>
      <w:bookmarkEnd w:id="100037"/>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/admin/reports/today-summary-cte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?format=csv</w:t>
      </w:r>
    </w:p>
    <w:p>
      <w:pPr>
        <w:spacing w:line="312"/>
        <w:ind w:firstLine="480"/>
        <w:jc w:val="both"/>
      </w:pPr>
      <w:r>
        <w:rPr>
          <w:rFonts w:ascii="Times New Roman" w:eastAsia="SimSun"/>
          <w:color w:val="1A2B40"/>
          <w:sz w:val="24"/>
          <w:szCs w:val="24"/>
        </w:rPr>
        <w:t xml:space="preserve">Provides a comprehensive daily snapshot: today's revenue/collections/invoices, MTD (month-to-date) aggregates, outstanding receivables, growth metrics vs previous period, pending approvals, top customers, top products, AR aging summary, and branch revenue breakdown.</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Today Summary CTE</w:t>
      </w:r>
    </w:p>
    <w:p>
      <w:pPr>
        <w:spacing w:line="312"/>
        <w:ind w:left="720"/>
      </w:pPr>
      <w:r>
        <w:rPr>
          <w:rFonts w:ascii="Times New Roman" w:eastAsia="SimSun"/>
          <w:color w:val="1A2B40"/>
          <w:sz w:val="24"/>
          <w:szCs w:val="24"/>
        </w:rPr>
        <w:t xml:space="preserve">•  Tables: PostgreSQL function: rcerp_today_summary(branch_id, date)</w:t>
      </w:r>
    </w:p>
    <w:p>
      <w:pPr>
        <w:spacing w:line="312"/>
        <w:ind w:left="720"/>
      </w:pPr>
      <w:r>
        <w:rPr>
          <w:rFonts w:ascii="Times New Roman" w:eastAsia="SimSun"/>
          <w:color w:val="1A2B40"/>
          <w:sz w:val="24"/>
          <w:szCs w:val="24"/>
        </w:rPr>
        <w:t xml:space="preserve">•  Calls the rcerp_today_summary() function which returns JSON with: today, mtd, outstanding, growth, pending, top_customers, top_products, ar_aging, branch_revenue sections. Computed entirely within PostgreSQL using CTEs for optimal performance.</w:t>
      </w:r>
    </w:p>
    <w:p>
      <w:pPr>
        <w:pStyle w:val="Heading2"/>
        <w:spacing w:after="120" w:before="240"/>
      </w:pPr>
      <w:bookmarkStart w:id="100038" w:name="_Toc100038"/>
      <w:r>
        <w:rPr>
          <w:rFonts w:ascii="Calibri" w:eastAsia="SimHei"/>
          <w:b/>
          <w:bCs/>
          <w:color w:val="0F2027"/>
          <w:sz w:val="30"/>
          <w:szCs w:val="30"/>
        </w:rPr>
        <w:t xml:space="preserve">7.2 Receivable Aging CTE</w:t>
      </w:r>
      <w:bookmarkEnd w:id="100038"/>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/admin/reports/ar-aging-cte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as_of_date,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?format=csv</w:t>
      </w:r>
    </w:p>
    <w:p>
      <w:pPr>
        <w:spacing w:line="312"/>
        <w:ind w:firstLine="480"/>
        <w:jc w:val="both"/>
      </w:pPr>
      <w:r>
        <w:rPr>
          <w:rFonts w:ascii="Times New Roman" w:eastAsia="SimSun"/>
          <w:color w:val="1A2B40"/>
          <w:sz w:val="24"/>
          <w:szCs w:val="24"/>
        </w:rPr>
        <w:t xml:space="preserve">CTE-based receivable aging with per-customer aging buckets, GL reconciliation, overdue invoice details, and aging-by-branch breakdown. Faster than the PHP-side receivableAging() for large customer bases.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AR Aging CTE</w:t>
      </w:r>
    </w:p>
    <w:p>
      <w:pPr>
        <w:spacing w:line="312"/>
        <w:ind w:left="720"/>
      </w:pPr>
      <w:r>
        <w:rPr>
          <w:rFonts w:ascii="Times New Roman" w:eastAsia="SimSun"/>
          <w:color w:val="1A2B40"/>
          <w:sz w:val="24"/>
          <w:szCs w:val="24"/>
        </w:rPr>
        <w:t xml:space="preserve">•  Tables: PostgreSQL function: rcerp_ar_aging_cte(as_of_date, branch_id)</w:t>
      </w:r>
    </w:p>
    <w:p>
      <w:pPr>
        <w:spacing w:line="312"/>
        <w:ind w:left="720"/>
      </w:pPr>
      <w:r>
        <w:rPr>
          <w:rFonts w:ascii="Times New Roman" w:eastAsia="SimSun"/>
          <w:color w:val="1A2B40"/>
          <w:sz w:val="24"/>
          <w:szCs w:val="24"/>
        </w:rPr>
        <w:t xml:space="preserve">•  Returns JSON with: data (per-customer aging), totals, checks (GL reconciliation), overdue_invoices, aging_by_branch. The SQL window functions compute running balances and aging buckets in a single pass.</w:t>
      </w:r>
    </w:p>
    <w:p>
      <w:pPr>
        <w:pStyle w:val="Heading2"/>
        <w:spacing w:after="120" w:before="240"/>
      </w:pPr>
      <w:bookmarkStart w:id="100039" w:name="_Toc100039"/>
      <w:r>
        <w:rPr>
          <w:rFonts w:ascii="Calibri" w:eastAsia="SimHei"/>
          <w:b/>
          <w:bCs/>
          <w:color w:val="0F2027"/>
          <w:sz w:val="30"/>
          <w:szCs w:val="30"/>
        </w:rPr>
        <w:t xml:space="preserve">7.3 General Ledger CTE</w:t>
      </w:r>
      <w:bookmarkEnd w:id="100039"/>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/admin/reports/general-ledger-cte</w:t>
      </w:r>
    </w:p>
    <w:p>
      <w:pPr>
        <w:spacing w:line="312"/>
      </w:pPr>
      <w:r>
        <w:rPr>
          <w:rFonts w:ascii="Times New Roman" w:eastAsia="SimSun"/>
          <w:b/>
          <w:bCs/>
          <w:color w:val="0F2027"/>
          <w:sz w:val="24"/>
          <w:szCs w:val="24"/>
        </w:rPr>
        <w:t xml:space="preserve">Filters: </w:t>
      </w:r>
      <w:r>
        <w:rPr>
          <w:rFonts w:ascii="Times New Roman" w:eastAsia="SimSun"/>
          <w:color w:val="1A2B40"/>
          <w:sz w:val="24"/>
          <w:szCs w:val="24"/>
        </w:rPr>
        <w:t xml:space="preserve">from_date, to_date, ledger_id (optional), branch_id (optional)</w:t>
      </w:r>
    </w:p>
    <w:p>
      <w:pPr>
        <w:spacing w:line="312"/>
      </w:pPr>
      <w:r>
        <w:rPr>
          <w:rFonts w:ascii="Times New Roman" w:eastAsia="SimSun"/>
          <w:b/>
          <w:bCs/>
          <w:color w:val="0F2027"/>
          <w:sz w:val="24"/>
          <w:szCs w:val="24"/>
        </w:rPr>
        <w:t xml:space="preserve">Export: </w:t>
      </w:r>
      <w:r>
        <w:rPr>
          <w:rFonts w:ascii="Times New Roman" w:eastAsia="SimSun"/>
          <w:color w:val="1A2B40"/>
          <w:sz w:val="24"/>
          <w:szCs w:val="24"/>
        </w:rPr>
        <w:t xml:space="preserve">CSV via ?format=csv</w:t>
      </w:r>
    </w:p>
    <w:p>
      <w:pPr>
        <w:spacing w:line="312"/>
        <w:ind w:firstLine="480"/>
        <w:jc w:val="both"/>
      </w:pPr>
      <w:r>
        <w:rPr>
          <w:rFonts w:ascii="Times New Roman" w:eastAsia="SimSun"/>
          <w:color w:val="1A2B40"/>
          <w:sz w:val="24"/>
          <w:szCs w:val="24"/>
        </w:rPr>
        <w:t xml:space="preserve">CTE-based general ledger with running balance computed via SQL window function (SUM() OVER), avoiding the PHP-side iteration of the non-CTE version. Returns entries with running balance, ledger summary, totals, and balance check.</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General Ledger CTE</w:t>
      </w:r>
    </w:p>
    <w:p>
      <w:pPr>
        <w:spacing w:line="312"/>
        <w:ind w:left="720"/>
      </w:pPr>
      <w:r>
        <w:rPr>
          <w:rFonts w:ascii="Times New Roman" w:eastAsia="SimSun"/>
          <w:color w:val="1A2B40"/>
          <w:sz w:val="24"/>
          <w:szCs w:val="24"/>
        </w:rPr>
        <w:t xml:space="preserve">•  Tables: PostgreSQL function: rcerp_general_ledger_cte(from, to, ledger_id, branch_id)</w:t>
      </w:r>
    </w:p>
    <w:p>
      <w:pPr>
        <w:spacing w:line="312"/>
        <w:ind w:left="720"/>
      </w:pPr>
      <w:r>
        <w:rPr>
          <w:rFonts w:ascii="Times New Roman" w:eastAsia="SimSun"/>
          <w:color w:val="1A2B40"/>
          <w:sz w:val="24"/>
          <w:szCs w:val="24"/>
        </w:rPr>
        <w:t xml:space="preserve">•  Uses SQL SUM() OVER (PARTITION BY ledger_id ORDER BY entry_date, entry_no, line_id) for running balance computation. Returns: data (entries with running_balance), ledger_summary, totals, checks.</w:t>
      </w:r>
    </w:p>
    <w:p>
      <w:pPr>
        <w:pStyle w:val="Heading1"/>
        <w:spacing w:after="120" w:before="360"/>
      </w:pPr>
      <w:bookmarkStart w:id="100040" w:name="_Toc100040"/>
      <w:r>
        <w:rPr>
          <w:rFonts w:ascii="Calibri" w:eastAsia="SimHei"/>
          <w:b/>
          <w:bCs/>
          <w:color w:val="0F2027"/>
          <w:sz w:val="32"/>
          <w:szCs w:val="32"/>
        </w:rPr>
        <w:t xml:space="preserve">8. Additional Report-Adjacent Endpoints</w:t>
      </w:r>
      <w:bookmarkEnd w:id="100040"/>
    </w:p>
    <w:p>
      <w:pPr>
        <w:pStyle w:val="Heading2"/>
        <w:spacing w:after="120" w:before="240"/>
      </w:pPr>
      <w:bookmarkStart w:id="100041" w:name="_Toc100041"/>
      <w:r>
        <w:rPr>
          <w:rFonts w:ascii="Calibri" w:eastAsia="SimHei"/>
          <w:b/>
          <w:bCs/>
          <w:color w:val="0F2027"/>
          <w:sz w:val="30"/>
          <w:szCs w:val="30"/>
        </w:rPr>
        <w:t xml:space="preserve">8.1 User Performance Dashboard</w:t>
      </w:r>
      <w:bookmarkEnd w:id="100041"/>
    </w:p>
    <w:p>
      <w:pPr>
        <w:spacing w:line="312"/>
      </w:pPr>
      <w:r>
        <w:rPr>
          <w:rFonts w:ascii="Times New Roman" w:eastAsia="SimSun"/>
          <w:b/>
          <w:bCs/>
          <w:color w:val="0F2027"/>
          <w:sz w:val="24"/>
          <w:szCs w:val="24"/>
        </w:rPr>
        <w:t xml:space="preserve">URL: </w:t>
      </w:r>
      <w:r>
        <w:rPr>
          <w:rFonts w:ascii="Times New Roman" w:eastAsia="SimSun"/>
          <w:color w:val="1A2B40"/>
          <w:sz w:val="24"/>
          <w:szCs w:val="24"/>
        </w:rPr>
        <w:t xml:space="preserve">/dashboard</w:t>
      </w:r>
    </w:p>
    <w:p>
      <w:pPr>
        <w:spacing w:line="312"/>
        <w:ind w:firstLine="480"/>
        <w:jc w:val="both"/>
      </w:pPr>
      <w:r>
        <w:rPr>
          <w:rFonts w:ascii="Times New Roman" w:eastAsia="SimSun"/>
          <w:color w:val="1A2B40"/>
          <w:sz w:val="24"/>
          <w:szCs w:val="24"/>
        </w:rPr>
        <w:t xml:space="preserve">The main dashboard presents 6 phases of operational metrics: (1) Sales Performance (revenue, invoices, trend), (2) Collections (AR aging, payment modes, return KPIs), (3) Operational (velocity, pipeline, activity), (4) Commission (by salesman), (5) Stock Discipline (accuracy KPIs), (6) Approval Workload (pending approvals for managers). Metrics are cached for 60 seconds (configurable). The AJAX endpoints /dashboard/sales-trend and /dashboard/fragment enable no-reload updates.</w:t>
      </w:r>
    </w:p>
    <w:p>
      <w:pPr>
        <w:spacing w:after="40" w:before="120"/>
      </w:pPr>
      <w:r>
        <w:rPr>
          <w:rFonts w:ascii="Calibri" w:eastAsia="SimHei"/>
          <w:b/>
          <w:bCs/>
          <w:color w:val="D4AF37"/>
          <w:sz w:val="22"/>
          <w:szCs w:val="22"/>
        </w:rPr>
        <w:t xml:space="preserve">📊 Data Source: </w:t>
      </w:r>
      <w:r>
        <w:rPr>
          <w:rFonts w:ascii="Calibri" w:eastAsia="SimHei"/>
          <w:b/>
          <w:bCs/>
          <w:color w:val="0F2027"/>
          <w:sz w:val="22"/>
          <w:szCs w:val="22"/>
        </w:rPr>
        <w:t xml:space="preserve">Dashboard</w:t>
      </w:r>
    </w:p>
    <w:p>
      <w:pPr>
        <w:spacing w:line="312"/>
        <w:ind w:left="720"/>
      </w:pPr>
      <w:r>
        <w:rPr>
          <w:rFonts w:ascii="Times New Roman" w:eastAsia="SimSun"/>
          <w:color w:val="1A2B40"/>
          <w:sz w:val="24"/>
          <w:szCs w:val="24"/>
        </w:rPr>
        <w:t xml:space="preserve">•  Tables: sales_invoices, customer_payments, sales_draft_carts, employees, products, + 6 metric services</w:t>
      </w:r>
    </w:p>
    <w:p>
      <w:pPr>
        <w:spacing w:line="312"/>
        <w:ind w:left="720"/>
      </w:pPr>
      <w:r>
        <w:rPr>
          <w:rFonts w:ascii="Times New Roman" w:eastAsia="SimSun"/>
          <w:color w:val="1A2B40"/>
          <w:sz w:val="24"/>
          <w:szCs w:val="24"/>
        </w:rPr>
        <w:t xml:space="preserve">•  Six specialized services compute metrics: SalesPerformanceMetricsService, CollectionMetricsService, OperationalMetricsService, CommissionMetricsService, StockDisciplineMetricsService, ApprovalWorkloadService. Results cached for 60s. Materialized views (mv_*) are used where available.</w:t>
      </w:r>
    </w:p>
    <w:p>
      <w:pPr>
        <w:pStyle w:val="Heading2"/>
        <w:spacing w:after="120" w:before="240"/>
      </w:pPr>
      <w:bookmarkStart w:id="100042" w:name="_Toc100042"/>
      <w:r>
        <w:rPr>
          <w:rFonts w:ascii="Calibri" w:eastAsia="SimHei"/>
          <w:b/>
          <w:bCs/>
          <w:color w:val="0F2027"/>
          <w:sz w:val="30"/>
          <w:szCs w:val="30"/>
        </w:rPr>
        <w:t xml:space="preserve">8.2 Consolidation Reports</w:t>
      </w:r>
      <w:bookmarkEnd w:id="100042"/>
    </w:p>
    <w:p>
      <w:pPr>
        <w:spacing w:line="312"/>
        <w:ind w:firstLine="480"/>
        <w:jc w:val="both"/>
      </w:pPr>
      <w:r>
        <w:rPr>
          <w:rFonts w:ascii="Times New Roman" w:eastAsia="SimSun"/>
          <w:color w:val="1A2B40"/>
          <w:sz w:val="24"/>
          <w:szCs w:val="24"/>
        </w:rPr>
        <w:t xml:space="preserve">Three consolidation endpoints provide multi-company financial reporting: Consolidated Trial Balance (/admin/consolidation/consolidated-tb), Consolidated Balance Sheet (/admin/consolidation/consolidated-bs), and Consolidated Profit &amp; Loss (/admin/consolidation/consolidated-pnl). These reports combine financial data across companies with intercompany elimination entries applied.</w:t>
      </w:r>
    </w:p>
    <w:p>
      <w:pPr>
        <w:pStyle w:val="Heading2"/>
        <w:spacing w:after="120" w:before="240"/>
      </w:pPr>
      <w:bookmarkStart w:id="100043" w:name="_Toc100043"/>
      <w:r>
        <w:rPr>
          <w:rFonts w:ascii="Calibri" w:eastAsia="SimHei"/>
          <w:b/>
          <w:bCs/>
          <w:color w:val="0F2027"/>
          <w:sz w:val="30"/>
          <w:szCs w:val="30"/>
        </w:rPr>
        <w:t xml:space="preserve">8.3 Dimension Segment Reports</w:t>
      </w:r>
      <w:bookmarkEnd w:id="100043"/>
    </w:p>
    <w:p>
      <w:pPr>
        <w:spacing w:line="312"/>
        <w:ind w:firstLine="480"/>
        <w:jc w:val="both"/>
      </w:pPr>
      <w:r>
        <w:rPr>
          <w:rFonts w:ascii="Times New Roman" w:eastAsia="SimSun"/>
          <w:color w:val="1A2B40"/>
          <w:sz w:val="24"/>
          <w:szCs w:val="24"/>
        </w:rPr>
        <w:t xml:space="preserve">Two dimension segment endpoints provide cost center and dimension-based financial reporting: Segment P&amp;L (/admin/dimensions/segment-pnl) and Segment Balance Sheet (/admin/dimensions/segment-bs). These reports break down financial statements by dimension (cost center, department, project) for segmented performance analysis.</w:t>
      </w:r>
    </w:p>
    <w:p>
      <w:pPr>
        <w:pStyle w:val="Heading1"/>
        <w:spacing w:after="120" w:before="360"/>
      </w:pPr>
      <w:bookmarkStart w:id="100044" w:name="_Toc100044"/>
      <w:r>
        <w:rPr>
          <w:rFonts w:ascii="Calibri" w:eastAsia="SimHei"/>
          <w:b/>
          <w:bCs/>
          <w:color w:val="0F2027"/>
          <w:sz w:val="32"/>
          <w:szCs w:val="32"/>
        </w:rPr>
        <w:t xml:space="preserve">9. Export Infrastructure</w:t>
      </w:r>
      <w:bookmarkEnd w:id="100044"/>
    </w:p>
    <w:p>
      <w:pPr>
        <w:pStyle w:val="Heading2"/>
        <w:spacing w:after="120" w:before="240"/>
      </w:pPr>
      <w:bookmarkStart w:id="100045" w:name="_Toc100045"/>
      <w:r>
        <w:rPr>
          <w:rFonts w:ascii="Calibri" w:eastAsia="SimHei"/>
          <w:b/>
          <w:bCs/>
          <w:color w:val="0F2027"/>
          <w:sz w:val="30"/>
          <w:szCs w:val="30"/>
        </w:rPr>
        <w:t xml:space="preserve">9.1 CSV Export</w:t>
      </w:r>
      <w:bookmarkEnd w:id="100045"/>
    </w:p>
    <w:p>
      <w:pPr>
        <w:spacing w:line="312"/>
        <w:ind w:firstLine="480"/>
        <w:jc w:val="both"/>
      </w:pPr>
      <w:r>
        <w:rPr>
          <w:rFonts w:ascii="Times New Roman" w:eastAsia="SimSun"/>
          <w:color w:val="1A2B40"/>
          <w:sz w:val="24"/>
          <w:szCs w:val="24"/>
        </w:rPr>
        <w:t xml:space="preserve">All CSV exports use the CsvExporter service (registered as singleton), which provides two methods: export() for Eloquent Builder queries with chunked streaming (500 rows per chunk), and exportFromRows() for array/generator data with support for prepend_rows and append_rows (used for multi-section reports like Trial Balance and P&amp;L). All exports prepend UTF-8 BOM bytes for Excel auto-detection and use RFC 4180 compliant formatting.</w:t>
      </w:r>
    </w:p>
    <w:p>
      <w:pPr>
        <w:spacing w:after="60" w:before="120"/>
        <w:jc w:val="center"/>
      </w:pPr>
      <w:r>
        <w:rPr>
          <w:rFonts w:ascii="Times New Roman" w:eastAsia="SimSun"/>
          <w:b/>
          <w:bCs/>
          <w:color w:val="4A6575"/>
          <w:sz w:val="21"/>
          <w:szCs w:val="21"/>
        </w:rPr>
        <w:t xml:space="preserve">Table: Reports with CSV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Report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Export Method</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Sections in CSV</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Trial Balance</w:t>
            </w:r>
          </w:p>
        </w:tc>
        <w:tc>
          <w:tcPr>
            <w:shd w:fill="F5F7FA" w:val="clear"/>
            <w:tcMar>
              <w:top w:type="dxa" w:w="40"/>
              <w:left w:type="dxa" w:w="120"/>
              <w:bottom w:type="dxa" w:w="40"/>
              <w:right w:type="dxa" w:w="120"/>
            </w:tcMar>
          </w:tcPr>
          <w:p>
            <w:r>
              <w:rPr>
                <w:rFonts w:ascii="Times New Roman" w:eastAsia="SimSun"/>
                <w:color w:val="1A2B40"/>
                <w:sz w:val="20"/>
                <w:szCs w:val="20"/>
              </w:rPr>
              <w:t xml:space="preserve">?export=csv</w:t>
            </w:r>
          </w:p>
        </w:tc>
        <w:tc>
          <w:tcPr>
            <w:shd w:fill="F5F7FA" w:val="clear"/>
            <w:tcMar>
              <w:top w:type="dxa" w:w="40"/>
              <w:left w:type="dxa" w:w="120"/>
              <w:bottom w:type="dxa" w:w="40"/>
              <w:right w:type="dxa" w:w="120"/>
            </w:tcMar>
          </w:tcPr>
          <w:p>
            <w:r>
              <w:rPr>
                <w:rFonts w:ascii="Times New Roman" w:eastAsia="SimSun"/>
                <w:color w:val="1A2B40"/>
                <w:sz w:val="20"/>
                <w:szCs w:val="20"/>
              </w:rPr>
              <w:t xml:space="preserve">Title, Header, Data, Totals, Integrity Checks, Sub-ledger Reconciliation</w:t>
            </w:r>
          </w:p>
        </w:tc>
      </w:tr>
      <w:tr>
        <w:tc>
          <w:tcPr>
            <w:tcMar>
              <w:top w:type="dxa" w:w="40"/>
              <w:left w:type="dxa" w:w="120"/>
              <w:bottom w:type="dxa" w:w="40"/>
              <w:right w:type="dxa" w:w="120"/>
            </w:tcMar>
          </w:tcPr>
          <w:p>
            <w:r>
              <w:rPr>
                <w:rFonts w:ascii="Times New Roman" w:eastAsia="SimSun"/>
                <w:color w:val="1A2B40"/>
                <w:sz w:val="20"/>
                <w:szCs w:val="20"/>
              </w:rPr>
              <w:t xml:space="preserve">Profit &amp; Loss</w:t>
            </w:r>
          </w:p>
        </w:tc>
        <w:tc>
          <w:tcPr>
            <w:tcMar>
              <w:top w:type="dxa" w:w="40"/>
              <w:left w:type="dxa" w:w="120"/>
              <w:bottom w:type="dxa" w:w="40"/>
              <w:right w:type="dxa" w:w="120"/>
            </w:tcMar>
          </w:tcPr>
          <w:p>
            <w:r>
              <w:rPr>
                <w:rFonts w:ascii="Times New Roman" w:eastAsia="SimSun"/>
                <w:color w:val="1A2B40"/>
                <w:sz w:val="20"/>
                <w:szCs w:val="20"/>
              </w:rPr>
              <w:t xml:space="preserve">?export=csv</w:t>
            </w:r>
          </w:p>
        </w:tc>
        <w:tc>
          <w:tcPr>
            <w:tcMar>
              <w:top w:type="dxa" w:w="40"/>
              <w:left w:type="dxa" w:w="120"/>
              <w:bottom w:type="dxa" w:w="40"/>
              <w:right w:type="dxa" w:w="120"/>
            </w:tcMar>
          </w:tcPr>
          <w:p>
            <w:r>
              <w:rPr>
                <w:rFonts w:ascii="Times New Roman" w:eastAsia="SimSun"/>
                <w:color w:val="1A2B40"/>
                <w:sz w:val="20"/>
                <w:szCs w:val="20"/>
              </w:rPr>
              <w:t xml:space="preserve">Title, Revenue, COGS, OpEx, Finance Costs, Grand Totals, Margin %</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Balance Sheet</w:t>
            </w:r>
          </w:p>
        </w:tc>
        <w:tc>
          <w:tcPr>
            <w:shd w:fill="F5F7FA" w:val="clear"/>
            <w:tcMar>
              <w:top w:type="dxa" w:w="40"/>
              <w:left w:type="dxa" w:w="120"/>
              <w:bottom w:type="dxa" w:w="40"/>
              <w:right w:type="dxa" w:w="120"/>
            </w:tcMar>
          </w:tcPr>
          <w:p>
            <w:r>
              <w:rPr>
                <w:rFonts w:ascii="Times New Roman" w:eastAsia="SimSun"/>
                <w:color w:val="1A2B40"/>
                <w:sz w:val="20"/>
                <w:szCs w:val="20"/>
              </w:rPr>
              <w:t xml:space="preserve">?export=csv</w:t>
            </w:r>
          </w:p>
        </w:tc>
        <w:tc>
          <w:tcPr>
            <w:shd w:fill="F5F7FA" w:val="clear"/>
            <w:tcMar>
              <w:top w:type="dxa" w:w="40"/>
              <w:left w:type="dxa" w:w="120"/>
              <w:bottom w:type="dxa" w:w="40"/>
              <w:right w:type="dxa" w:w="120"/>
            </w:tcMar>
          </w:tcPr>
          <w:p>
            <w:r>
              <w:rPr>
                <w:rFonts w:ascii="Times New Roman" w:eastAsia="SimSun"/>
                <w:color w:val="1A2B40"/>
                <w:sz w:val="20"/>
                <w:szCs w:val="20"/>
              </w:rPr>
              <w:t xml:space="preserve">Title, Assets, Liabilities, Equity, Balance Check</w:t>
            </w:r>
          </w:p>
        </w:tc>
      </w:tr>
      <w:tr>
        <w:tc>
          <w:tcPr>
            <w:tcMar>
              <w:top w:type="dxa" w:w="40"/>
              <w:left w:type="dxa" w:w="120"/>
              <w:bottom w:type="dxa" w:w="40"/>
              <w:right w:type="dxa" w:w="120"/>
            </w:tcMar>
          </w:tcPr>
          <w:p>
            <w:r>
              <w:rPr>
                <w:rFonts w:ascii="Times New Roman" w:eastAsia="SimSun"/>
                <w:color w:val="1A2B40"/>
                <w:sz w:val="20"/>
                <w:szCs w:val="20"/>
              </w:rPr>
              <w:t xml:space="preserve">Cash Flow</w:t>
            </w:r>
          </w:p>
        </w:tc>
        <w:tc>
          <w:tcPr>
            <w:tcMar>
              <w:top w:type="dxa" w:w="40"/>
              <w:left w:type="dxa" w:w="120"/>
              <w:bottom w:type="dxa" w:w="40"/>
              <w:right w:type="dxa" w:w="120"/>
            </w:tcMar>
          </w:tcPr>
          <w:p>
            <w:r>
              <w:rPr>
                <w:rFonts w:ascii="Times New Roman" w:eastAsia="SimSun"/>
                <w:color w:val="1A2B40"/>
                <w:sz w:val="20"/>
                <w:szCs w:val="20"/>
              </w:rPr>
              <w:t xml:space="preserve">?export=csv</w:t>
            </w:r>
          </w:p>
        </w:tc>
        <w:tc>
          <w:tcPr>
            <w:tcMar>
              <w:top w:type="dxa" w:w="40"/>
              <w:left w:type="dxa" w:w="120"/>
              <w:bottom w:type="dxa" w:w="40"/>
              <w:right w:type="dxa" w:w="120"/>
            </w:tcMar>
          </w:tcPr>
          <w:p>
            <w:r>
              <w:rPr>
                <w:rFonts w:ascii="Times New Roman" w:eastAsia="SimSun"/>
                <w:color w:val="1A2B40"/>
                <w:sz w:val="20"/>
                <w:szCs w:val="20"/>
              </w:rPr>
              <w:t xml:space="preserve">Title, Operating, Investing, Financing, Net Cash, Integrity</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Receivable Aging</w:t>
            </w:r>
          </w:p>
        </w:tc>
        <w:tc>
          <w:tcPr>
            <w:shd w:fill="F5F7FA" w:val="clear"/>
            <w:tcMar>
              <w:top w:type="dxa" w:w="40"/>
              <w:left w:type="dxa" w:w="120"/>
              <w:bottom w:type="dxa" w:w="40"/>
              <w:right w:type="dxa" w:w="120"/>
            </w:tcMar>
          </w:tcPr>
          <w:p>
            <w:r>
              <w:rPr>
                <w:rFonts w:ascii="Times New Roman" w:eastAsia="SimSun"/>
                <w:color w:val="1A2B40"/>
                <w:sz w:val="20"/>
                <w:szCs w:val="20"/>
              </w:rPr>
              <w:t xml:space="preserve">?export=csv</w:t>
            </w:r>
          </w:p>
        </w:tc>
        <w:tc>
          <w:tcPr>
            <w:shd w:fill="F5F7FA" w:val="clear"/>
            <w:tcMar>
              <w:top w:type="dxa" w:w="40"/>
              <w:left w:type="dxa" w:w="120"/>
              <w:bottom w:type="dxa" w:w="40"/>
              <w:right w:type="dxa" w:w="120"/>
            </w:tcMar>
          </w:tcPr>
          <w:p>
            <w:r>
              <w:rPr>
                <w:rFonts w:ascii="Times New Roman" w:eastAsia="SimSun"/>
                <w:color w:val="1A2B40"/>
                <w:sz w:val="20"/>
                <w:szCs w:val="20"/>
              </w:rPr>
              <w:t xml:space="preserve">Per-customer rows with aging buckets + branch code</w:t>
            </w:r>
          </w:p>
        </w:tc>
      </w:tr>
      <w:tr>
        <w:tc>
          <w:tcPr>
            <w:tcMar>
              <w:top w:type="dxa" w:w="40"/>
              <w:left w:type="dxa" w:w="120"/>
              <w:bottom w:type="dxa" w:w="40"/>
              <w:right w:type="dxa" w:w="120"/>
            </w:tcMar>
          </w:tcPr>
          <w:p>
            <w:r>
              <w:rPr>
                <w:rFonts w:ascii="Times New Roman" w:eastAsia="SimSun"/>
                <w:color w:val="1A2B40"/>
                <w:sz w:val="20"/>
                <w:szCs w:val="20"/>
              </w:rPr>
              <w:t xml:space="preserve">Today Summary CTE</w:t>
            </w:r>
          </w:p>
        </w:tc>
        <w:tc>
          <w:tcPr>
            <w:tcMar>
              <w:top w:type="dxa" w:w="40"/>
              <w:left w:type="dxa" w:w="120"/>
              <w:bottom w:type="dxa" w:w="40"/>
              <w:right w:type="dxa" w:w="120"/>
            </w:tcMar>
          </w:tcPr>
          <w:p>
            <w:r>
              <w:rPr>
                <w:rFonts w:ascii="Times New Roman" w:eastAsia="SimSun"/>
                <w:color w:val="1A2B40"/>
                <w:sz w:val="20"/>
                <w:szCs w:val="20"/>
              </w:rPr>
              <w:t xml:space="preserve">?format=csv</w:t>
            </w:r>
          </w:p>
        </w:tc>
        <w:tc>
          <w:tcPr>
            <w:tcMar>
              <w:top w:type="dxa" w:w="40"/>
              <w:left w:type="dxa" w:w="120"/>
              <w:bottom w:type="dxa" w:w="40"/>
              <w:right w:type="dxa" w:w="120"/>
            </w:tcMar>
          </w:tcPr>
          <w:p>
            <w:r>
              <w:rPr>
                <w:rFonts w:ascii="Times New Roman" w:eastAsia="SimSun"/>
                <w:color w:val="1A2B40"/>
                <w:sz w:val="20"/>
                <w:szCs w:val="20"/>
              </w:rPr>
              <w:t xml:space="preserve">Multi-section from CTE function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AR Aging CTE</w:t>
            </w:r>
          </w:p>
        </w:tc>
        <w:tc>
          <w:tcPr>
            <w:shd w:fill="F5F7FA" w:val="clear"/>
            <w:tcMar>
              <w:top w:type="dxa" w:w="40"/>
              <w:left w:type="dxa" w:w="120"/>
              <w:bottom w:type="dxa" w:w="40"/>
              <w:right w:type="dxa" w:w="120"/>
            </w:tcMar>
          </w:tcPr>
          <w:p>
            <w:r>
              <w:rPr>
                <w:rFonts w:ascii="Times New Roman" w:eastAsia="SimSun"/>
                <w:color w:val="1A2B40"/>
                <w:sz w:val="20"/>
                <w:szCs w:val="20"/>
              </w:rPr>
              <w:t xml:space="preserve">?format=csv</w:t>
            </w:r>
          </w:p>
        </w:tc>
        <w:tc>
          <w:tcPr>
            <w:shd w:fill="F5F7FA" w:val="clear"/>
            <w:tcMar>
              <w:top w:type="dxa" w:w="40"/>
              <w:left w:type="dxa" w:w="120"/>
              <w:bottom w:type="dxa" w:w="40"/>
              <w:right w:type="dxa" w:w="120"/>
            </w:tcMar>
          </w:tcPr>
          <w:p>
            <w:r>
              <w:rPr>
                <w:rFonts w:ascii="Times New Roman" w:eastAsia="SimSun"/>
                <w:color w:val="1A2B40"/>
                <w:sz w:val="20"/>
                <w:szCs w:val="20"/>
              </w:rPr>
              <w:t xml:space="preserve">Per-customer aging + GL reconciliation</w:t>
            </w:r>
          </w:p>
        </w:tc>
      </w:tr>
      <w:tr>
        <w:tc>
          <w:tcPr>
            <w:tcMar>
              <w:top w:type="dxa" w:w="40"/>
              <w:left w:type="dxa" w:w="120"/>
              <w:bottom w:type="dxa" w:w="40"/>
              <w:right w:type="dxa" w:w="120"/>
            </w:tcMar>
          </w:tcPr>
          <w:p>
            <w:r>
              <w:rPr>
                <w:rFonts w:ascii="Times New Roman" w:eastAsia="SimSun"/>
                <w:color w:val="1A2B40"/>
                <w:sz w:val="20"/>
                <w:szCs w:val="20"/>
              </w:rPr>
              <w:t xml:space="preserve">General Ledger CTE</w:t>
            </w:r>
          </w:p>
        </w:tc>
        <w:tc>
          <w:tcPr>
            <w:tcMar>
              <w:top w:type="dxa" w:w="40"/>
              <w:left w:type="dxa" w:w="120"/>
              <w:bottom w:type="dxa" w:w="40"/>
              <w:right w:type="dxa" w:w="120"/>
            </w:tcMar>
          </w:tcPr>
          <w:p>
            <w:r>
              <w:rPr>
                <w:rFonts w:ascii="Times New Roman" w:eastAsia="SimSun"/>
                <w:color w:val="1A2B40"/>
                <w:sz w:val="20"/>
                <w:szCs w:val="20"/>
              </w:rPr>
              <w:t xml:space="preserve">?format=csv</w:t>
            </w:r>
          </w:p>
        </w:tc>
        <w:tc>
          <w:tcPr>
            <w:tcMar>
              <w:top w:type="dxa" w:w="40"/>
              <w:left w:type="dxa" w:w="120"/>
              <w:bottom w:type="dxa" w:w="40"/>
              <w:right w:type="dxa" w:w="120"/>
            </w:tcMar>
          </w:tcPr>
          <w:p>
            <w:r>
              <w:rPr>
                <w:rFonts w:ascii="Times New Roman" w:eastAsia="SimSun"/>
                <w:color w:val="1A2B40"/>
                <w:sz w:val="20"/>
                <w:szCs w:val="20"/>
              </w:rPr>
              <w:t xml:space="preserve">Per-journal-line with running balance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Gross Margin CTE</w:t>
            </w:r>
          </w:p>
        </w:tc>
        <w:tc>
          <w:tcPr>
            <w:shd w:fill="F5F7FA" w:val="clear"/>
            <w:tcMar>
              <w:top w:type="dxa" w:w="40"/>
              <w:left w:type="dxa" w:w="120"/>
              <w:bottom w:type="dxa" w:w="40"/>
              <w:right w:type="dxa" w:w="120"/>
            </w:tcMar>
          </w:tcPr>
          <w:p>
            <w:r>
              <w:rPr>
                <w:rFonts w:ascii="Times New Roman" w:eastAsia="SimSun"/>
                <w:color w:val="1A2B40"/>
                <w:sz w:val="20"/>
                <w:szCs w:val="20"/>
              </w:rPr>
              <w:t xml:space="preserve">?format=csv</w:t>
            </w:r>
          </w:p>
        </w:tc>
        <w:tc>
          <w:tcPr>
            <w:shd w:fill="F5F7FA" w:val="clear"/>
            <w:tcMar>
              <w:top w:type="dxa" w:w="40"/>
              <w:left w:type="dxa" w:w="120"/>
              <w:bottom w:type="dxa" w:w="40"/>
              <w:right w:type="dxa" w:w="120"/>
            </w:tcMar>
          </w:tcPr>
          <w:p>
            <w:r>
              <w:rPr>
                <w:rFonts w:ascii="Times New Roman" w:eastAsia="SimSun"/>
                <w:color w:val="1A2B40"/>
                <w:sz w:val="20"/>
                <w:szCs w:val="20"/>
              </w:rPr>
              <w:t xml:space="preserve">Per-invoice + per-product margin</w:t>
            </w:r>
          </w:p>
        </w:tc>
      </w:tr>
      <w:tr>
        <w:tc>
          <w:tcPr>
            <w:tcMar>
              <w:top w:type="dxa" w:w="40"/>
              <w:left w:type="dxa" w:w="120"/>
              <w:bottom w:type="dxa" w:w="40"/>
              <w:right w:type="dxa" w:w="120"/>
            </w:tcMar>
          </w:tcPr>
          <w:p>
            <w:r>
              <w:rPr>
                <w:rFonts w:ascii="Times New Roman" w:eastAsia="SimSun"/>
                <w:color w:val="1A2B40"/>
                <w:sz w:val="20"/>
                <w:szCs w:val="20"/>
              </w:rPr>
              <w:t xml:space="preserve">Stocktake Variance</w:t>
            </w:r>
          </w:p>
        </w:tc>
        <w:tc>
          <w:tcPr>
            <w:tcMar>
              <w:top w:type="dxa" w:w="40"/>
              <w:left w:type="dxa" w:w="120"/>
              <w:bottom w:type="dxa" w:w="40"/>
              <w:right w:type="dxa" w:w="120"/>
            </w:tcMar>
          </w:tcPr>
          <w:p>
            <w:r>
              <w:rPr>
                <w:rFonts w:ascii="Times New Roman" w:eastAsia="SimSun"/>
                <w:color w:val="1A2B40"/>
                <w:sz w:val="20"/>
                <w:szCs w:val="20"/>
              </w:rPr>
              <w:t xml:space="preserve">Separate /export route</w:t>
            </w:r>
          </w:p>
        </w:tc>
        <w:tc>
          <w:tcPr>
            <w:tcMar>
              <w:top w:type="dxa" w:w="40"/>
              <w:left w:type="dxa" w:w="120"/>
              <w:bottom w:type="dxa" w:w="40"/>
              <w:right w:type="dxa" w:w="120"/>
            </w:tcMar>
          </w:tcPr>
          <w:p>
            <w:r>
              <w:rPr>
                <w:rFonts w:ascii="Times New Roman" w:eastAsia="SimSun"/>
                <w:color w:val="1A2B40"/>
                <w:sz w:val="20"/>
                <w:szCs w:val="20"/>
              </w:rPr>
              <w:t xml:space="preserve">Line-level variance detail</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Stocktake Weekly</w:t>
            </w:r>
          </w:p>
        </w:tc>
        <w:tc>
          <w:tcPr>
            <w:shd w:fill="F5F7FA" w:val="clear"/>
            <w:tcMar>
              <w:top w:type="dxa" w:w="40"/>
              <w:left w:type="dxa" w:w="120"/>
              <w:bottom w:type="dxa" w:w="40"/>
              <w:right w:type="dxa" w:w="120"/>
            </w:tcMar>
          </w:tcPr>
          <w:p>
            <w:r>
              <w:rPr>
                <w:rFonts w:ascii="Times New Roman" w:eastAsia="SimSun"/>
                <w:color w:val="1A2B40"/>
                <w:sz w:val="20"/>
                <w:szCs w:val="20"/>
              </w:rPr>
              <w:t xml:space="preserve">Separate /export route</w:t>
            </w:r>
          </w:p>
        </w:tc>
        <w:tc>
          <w:tcPr>
            <w:shd w:fill="F5F7FA" w:val="clear"/>
            <w:tcMar>
              <w:top w:type="dxa" w:w="40"/>
              <w:left w:type="dxa" w:w="120"/>
              <w:bottom w:type="dxa" w:w="40"/>
              <w:right w:type="dxa" w:w="120"/>
            </w:tcMar>
          </w:tcPr>
          <w:p>
            <w:r>
              <w:rPr>
                <w:rFonts w:ascii="Times New Roman" w:eastAsia="SimSun"/>
                <w:color w:val="1A2B40"/>
                <w:sz w:val="20"/>
                <w:szCs w:val="20"/>
              </w:rPr>
              <w:t xml:space="preserve">Per-session summary + top variance SKUs</w:t>
            </w:r>
          </w:p>
        </w:tc>
      </w:tr>
      <w:tr>
        <w:tc>
          <w:tcPr>
            <w:tcMar>
              <w:top w:type="dxa" w:w="40"/>
              <w:left w:type="dxa" w:w="120"/>
              <w:bottom w:type="dxa" w:w="40"/>
              <w:right w:type="dxa" w:w="120"/>
            </w:tcMar>
          </w:tcPr>
          <w:p>
            <w:r>
              <w:rPr>
                <w:rFonts w:ascii="Times New Roman" w:eastAsia="SimSun"/>
                <w:color w:val="1A2B40"/>
                <w:sz w:val="20"/>
                <w:szCs w:val="20"/>
              </w:rPr>
              <w:t xml:space="preserve">Damage Report</w:t>
            </w:r>
          </w:p>
        </w:tc>
        <w:tc>
          <w:tcPr>
            <w:tcMar>
              <w:top w:type="dxa" w:w="40"/>
              <w:left w:type="dxa" w:w="120"/>
              <w:bottom w:type="dxa" w:w="40"/>
              <w:right w:type="dxa" w:w="120"/>
            </w:tcMar>
          </w:tcPr>
          <w:p>
            <w:r>
              <w:rPr>
                <w:rFonts w:ascii="Times New Roman" w:eastAsia="SimSun"/>
                <w:color w:val="1A2B40"/>
                <w:sz w:val="20"/>
                <w:szCs w:val="20"/>
              </w:rPr>
              <w:t xml:space="preserve">Separate /export route</w:t>
            </w:r>
          </w:p>
        </w:tc>
        <w:tc>
          <w:tcPr>
            <w:tcMar>
              <w:top w:type="dxa" w:w="40"/>
              <w:left w:type="dxa" w:w="120"/>
              <w:bottom w:type="dxa" w:w="40"/>
              <w:right w:type="dxa" w:w="120"/>
            </w:tcMar>
          </w:tcPr>
          <w:p>
            <w:r>
              <w:rPr>
                <w:rFonts w:ascii="Times New Roman" w:eastAsia="SimSun"/>
                <w:color w:val="1A2B40"/>
                <w:sz w:val="20"/>
                <w:szCs w:val="20"/>
              </w:rPr>
              <w:t xml:space="preserve">Line-level damage detail (10,000 row cap)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Branch Demand Weekly</w:t>
            </w:r>
          </w:p>
        </w:tc>
        <w:tc>
          <w:tcPr>
            <w:shd w:fill="F5F7FA" w:val="clear"/>
            <w:tcMar>
              <w:top w:type="dxa" w:w="40"/>
              <w:left w:type="dxa" w:w="120"/>
              <w:bottom w:type="dxa" w:w="40"/>
              <w:right w:type="dxa" w:w="120"/>
            </w:tcMar>
          </w:tcPr>
          <w:p>
            <w:r>
              <w:rPr>
                <w:rFonts w:ascii="Times New Roman" w:eastAsia="SimSun"/>
                <w:color w:val="1A2B40"/>
                <w:sz w:val="20"/>
                <w:szCs w:val="20"/>
              </w:rPr>
              <w:t xml:space="preserve">Separate /export route</w:t>
            </w:r>
          </w:p>
        </w:tc>
        <w:tc>
          <w:tcPr>
            <w:shd w:fill="F5F7FA" w:val="clear"/>
            <w:tcMar>
              <w:top w:type="dxa" w:w="40"/>
              <w:left w:type="dxa" w:w="120"/>
              <w:bottom w:type="dxa" w:w="40"/>
              <w:right w:type="dxa" w:w="120"/>
            </w:tcMar>
          </w:tcPr>
          <w:p>
            <w:r>
              <w:rPr>
                <w:rFonts w:ascii="Times New Roman" w:eastAsia="SimSun"/>
                <w:color w:val="1A2B40"/>
                <w:sz w:val="20"/>
                <w:szCs w:val="20"/>
              </w:rPr>
              <w:t xml:space="preserve">23-column daily report</w:t>
            </w:r>
          </w:p>
        </w:tc>
      </w:tr>
      <w:tr>
        <w:tc>
          <w:tcPr>
            <w:tcMar>
              <w:top w:type="dxa" w:w="40"/>
              <w:left w:type="dxa" w:w="120"/>
              <w:bottom w:type="dxa" w:w="40"/>
              <w:right w:type="dxa" w:w="120"/>
            </w:tcMar>
          </w:tcPr>
          <w:p>
            <w:r>
              <w:rPr>
                <w:rFonts w:ascii="Times New Roman" w:eastAsia="SimSun"/>
                <w:color w:val="1A2B40"/>
                <w:sz w:val="20"/>
                <w:szCs w:val="20"/>
              </w:rPr>
              <w:t xml:space="preserve">Budget Variance</w:t>
            </w:r>
          </w:p>
        </w:tc>
        <w:tc>
          <w:tcPr>
            <w:tcMar>
              <w:top w:type="dxa" w:w="40"/>
              <w:left w:type="dxa" w:w="120"/>
              <w:bottom w:type="dxa" w:w="40"/>
              <w:right w:type="dxa" w:w="120"/>
            </w:tcMar>
          </w:tcPr>
          <w:p>
            <w:r>
              <w:rPr>
                <w:rFonts w:ascii="Times New Roman" w:eastAsia="SimSun"/>
                <w:color w:val="1A2B40"/>
                <w:sz w:val="20"/>
                <w:szCs w:val="20"/>
              </w:rPr>
              <w:t xml:space="preserve">/admin/budgets/export</w:t>
            </w:r>
          </w:p>
        </w:tc>
        <w:tc>
          <w:tcPr>
            <w:tcMar>
              <w:top w:type="dxa" w:w="40"/>
              <w:left w:type="dxa" w:w="120"/>
              <w:bottom w:type="dxa" w:w="40"/>
              <w:right w:type="dxa" w:w="120"/>
            </w:tcMar>
          </w:tcPr>
          <w:p>
            <w:r>
              <w:rPr>
                <w:rFonts w:ascii="Times New Roman" w:eastAsia="SimSun"/>
                <w:color w:val="1A2B40"/>
                <w:sz w:val="20"/>
                <w:szCs w:val="20"/>
              </w:rPr>
              <w:t xml:space="preserve">Per-ledger budget vs actual</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Warehouse Transfer Summary</w:t>
            </w:r>
          </w:p>
        </w:tc>
        <w:tc>
          <w:tcPr>
            <w:shd w:fill="F5F7FA" w:val="clear"/>
            <w:tcMar>
              <w:top w:type="dxa" w:w="40"/>
              <w:left w:type="dxa" w:w="120"/>
              <w:bottom w:type="dxa" w:w="40"/>
              <w:right w:type="dxa" w:w="120"/>
            </w:tcMar>
          </w:tcPr>
          <w:p>
            <w:r>
              <w:rPr>
                <w:rFonts w:ascii="Times New Roman" w:eastAsia="SimSun"/>
                <w:color w:val="1A2B40"/>
                <w:sz w:val="20"/>
                <w:szCs w:val="20"/>
              </w:rPr>
              <w:t xml:space="preserve">Separate /export route</w:t>
            </w:r>
          </w:p>
        </w:tc>
        <w:tc>
          <w:tcPr>
            <w:shd w:fill="F5F7FA" w:val="clear"/>
            <w:tcMar>
              <w:top w:type="dxa" w:w="40"/>
              <w:left w:type="dxa" w:w="120"/>
              <w:bottom w:type="dxa" w:w="40"/>
              <w:right w:type="dxa" w:w="120"/>
            </w:tcMar>
          </w:tcPr>
          <w:p>
            <w:r>
              <w:rPr>
                <w:rFonts w:ascii="Times New Roman" w:eastAsia="SimSun"/>
                <w:color w:val="1A2B40"/>
                <w:sz w:val="20"/>
                <w:szCs w:val="20"/>
              </w:rPr>
              <w:t xml:space="preserve">6-section summary</w:t>
            </w:r>
          </w:p>
        </w:tc>
      </w:tr>
    </w:tbl>
    <w:p>
      <w:pPr>
        <w:pStyle w:val="Heading2"/>
        <w:spacing w:after="120" w:before="240"/>
      </w:pPr>
      <w:bookmarkStart w:id="100046" w:name="_Toc100046"/>
      <w:r>
        <w:rPr>
          <w:rFonts w:ascii="Calibri" w:eastAsia="SimHei"/>
          <w:b/>
          <w:bCs/>
          <w:color w:val="0F2027"/>
          <w:sz w:val="30"/>
          <w:szCs w:val="30"/>
        </w:rPr>
        <w:t xml:space="preserve">9.2 Export Security</w:t>
      </w:r>
      <w:bookmarkEnd w:id="100046"/>
    </w:p>
    <w:p>
      <w:pPr>
        <w:spacing w:line="312"/>
        <w:ind w:left="720"/>
      </w:pPr>
      <w:r>
        <w:rPr>
          <w:rFonts w:ascii="Times New Roman" w:eastAsia="SimSun"/>
          <w:color w:val="1A2B40"/>
          <w:sz w:val="24"/>
          <w:szCs w:val="24"/>
        </w:rPr>
        <w:t xml:space="preserve">•  Throttle: 10 exports per minute per user (throttle:10,1 middleware)</w:t>
      </w:r>
    </w:p>
    <w:p>
      <w:pPr>
        <w:spacing w:line="312"/>
        <w:ind w:left="720"/>
      </w:pPr>
      <w:r>
        <w:rPr>
          <w:rFonts w:ascii="Times New Roman" w:eastAsia="SimSun"/>
          <w:color w:val="1A2B40"/>
          <w:sz w:val="24"/>
          <w:szCs w:val="24"/>
        </w:rPr>
        <w:t xml:space="preserve">•  Audit log: Every export writes to export_audit_log table (report type, filters, row count, user, timestamp)</w:t>
      </w:r>
    </w:p>
    <w:p>
      <w:pPr>
        <w:spacing w:line="312"/>
        <w:ind w:left="720"/>
      </w:pPr>
      <w:r>
        <w:rPr>
          <w:rFonts w:ascii="Times New Roman" w:eastAsia="SimSun"/>
          <w:color w:val="1A2B40"/>
          <w:sz w:val="24"/>
          <w:szCs w:val="24"/>
        </w:rPr>
        <w:t xml:space="preserve">•  Date-range cap: 90 days for branch demand, 365 days global via config</w:t>
      </w:r>
    </w:p>
    <w:p>
      <w:pPr>
        <w:spacing w:line="312"/>
        <w:ind w:left="720"/>
      </w:pPr>
      <w:r>
        <w:rPr>
          <w:rFonts w:ascii="Times New Roman" w:eastAsia="SimSun"/>
          <w:color w:val="1A2B40"/>
          <w:sz w:val="24"/>
          <w:szCs w:val="24"/>
        </w:rPr>
        <w:t xml:space="preserve">•  Filename slugification: Str::slug() prevents injection in download filenames</w:t>
      </w:r>
    </w:p>
    <w:p>
      <w:pPr>
        <w:spacing w:line="312"/>
        <w:ind w:left="720"/>
      </w:pPr>
      <w:r>
        <w:rPr>
          <w:rFonts w:ascii="Times New Roman" w:eastAsia="SimSun"/>
          <w:color w:val="1A2B40"/>
          <w:sz w:val="24"/>
          <w:szCs w:val="24"/>
        </w:rPr>
        <w:t xml:space="preserve">•  Fiscal year scoping: Non-superadmin date ranges clamped to current fiscal year</w:t>
      </w:r>
    </w:p>
    <w:p>
      <w:pPr>
        <w:pStyle w:val="Heading2"/>
        <w:spacing w:after="120" w:before="240"/>
      </w:pPr>
      <w:bookmarkStart w:id="100047" w:name="_Toc100047"/>
      <w:r>
        <w:rPr>
          <w:rFonts w:ascii="Calibri" w:eastAsia="SimHei"/>
          <w:b/>
          <w:bCs/>
          <w:color w:val="0F2027"/>
          <w:sz w:val="30"/>
          <w:szCs w:val="30"/>
        </w:rPr>
        <w:t xml:space="preserve">9.3 Materialized Views</w:t>
      </w:r>
      <w:bookmarkEnd w:id="100047"/>
    </w:p>
    <w:p>
      <w:pPr>
        <w:spacing w:line="312"/>
        <w:ind w:firstLine="480"/>
        <w:jc w:val="both"/>
      </w:pPr>
      <w:r>
        <w:rPr>
          <w:rFonts w:ascii="Times New Roman" w:eastAsia="SimSun"/>
          <w:color w:val="1A2B40"/>
          <w:sz w:val="24"/>
          <w:szCs w:val="24"/>
        </w:rPr>
        <w:t xml:space="preserve">Several reports read from PostgreSQL materialized views for performance. These views pre-compute expensive aggregations and are refreshed via refresh_all_report_views(). The REFRESH CONCURRENTLY option (configurable) allows queries to read stale data while the refresh runs, avoiding blocking.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Materialized View</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Used By</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Refresh Method</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mv_ar_aging</w:t>
            </w:r>
          </w:p>
        </w:tc>
        <w:tc>
          <w:tcPr>
            <w:shd w:fill="F5F7FA" w:val="clear"/>
            <w:tcMar>
              <w:top w:type="dxa" w:w="40"/>
              <w:left w:type="dxa" w:w="120"/>
              <w:bottom w:type="dxa" w:w="40"/>
              <w:right w:type="dxa" w:w="120"/>
            </w:tcMar>
          </w:tcPr>
          <w:p>
            <w:r>
              <w:rPr>
                <w:rFonts w:ascii="Times New Roman" w:eastAsia="SimSun"/>
                <w:color w:val="1A2B40"/>
                <w:sz w:val="20"/>
                <w:szCs w:val="20"/>
              </w:rPr>
              <w:t xml:space="preserve">Receivable Aging (today)</w:t>
            </w:r>
          </w:p>
        </w:tc>
        <w:tc>
          <w:tcPr>
            <w:shd w:fill="F5F7FA" w:val="clear"/>
            <w:tcMar>
              <w:top w:type="dxa" w:w="40"/>
              <w:left w:type="dxa" w:w="120"/>
              <w:bottom w:type="dxa" w:w="40"/>
              <w:right w:type="dxa" w:w="120"/>
            </w:tcMar>
          </w:tcPr>
          <w:p>
            <w:r>
              <w:rPr>
                <w:rFonts w:ascii="Times New Roman" w:eastAsia="SimSun"/>
                <w:color w:val="1A2B40"/>
                <w:sz w:val="20"/>
                <w:szCs w:val="20"/>
              </w:rPr>
              <w:t xml:space="preserve">refresh_all_report_views()</w:t>
            </w:r>
          </w:p>
        </w:tc>
      </w:tr>
      <w:tr>
        <w:tc>
          <w:tcPr>
            <w:tcMar>
              <w:top w:type="dxa" w:w="40"/>
              <w:left w:type="dxa" w:w="120"/>
              <w:bottom w:type="dxa" w:w="40"/>
              <w:right w:type="dxa" w:w="120"/>
            </w:tcMar>
          </w:tcPr>
          <w:p>
            <w:r>
              <w:rPr>
                <w:rFonts w:ascii="Times New Roman" w:eastAsia="SimSun"/>
                <w:color w:val="1A2B40"/>
                <w:sz w:val="20"/>
                <w:szCs w:val="20"/>
              </w:rPr>
              <w:t xml:space="preserve">mv_ap_aging</w:t>
            </w:r>
          </w:p>
        </w:tc>
        <w:tc>
          <w:tcPr>
            <w:tcMar>
              <w:top w:type="dxa" w:w="40"/>
              <w:left w:type="dxa" w:w="120"/>
              <w:bottom w:type="dxa" w:w="40"/>
              <w:right w:type="dxa" w:w="120"/>
            </w:tcMar>
          </w:tcPr>
          <w:p>
            <w:r>
              <w:rPr>
                <w:rFonts w:ascii="Times New Roman" w:eastAsia="SimSun"/>
                <w:color w:val="1A2B40"/>
                <w:sz w:val="20"/>
                <w:szCs w:val="20"/>
              </w:rPr>
              <w:t xml:space="preserve">Payable Aging (today)</w:t>
            </w:r>
          </w:p>
        </w:tc>
        <w:tc>
          <w:tcPr>
            <w:tcMar>
              <w:top w:type="dxa" w:w="40"/>
              <w:left w:type="dxa" w:w="120"/>
              <w:bottom w:type="dxa" w:w="40"/>
              <w:right w:type="dxa" w:w="120"/>
            </w:tcMar>
          </w:tcPr>
          <w:p>
            <w:r>
              <w:rPr>
                <w:rFonts w:ascii="Times New Roman" w:eastAsia="SimSun"/>
                <w:color w:val="1A2B40"/>
                <w:sz w:val="20"/>
                <w:szCs w:val="20"/>
              </w:rPr>
              <w:t xml:space="preserve">refresh_all_report_views()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mv_stock_valuation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Stock Valuation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refresh_all_report_views()</w:t>
            </w:r>
          </w:p>
        </w:tc>
      </w:tr>
      <w:tr>
        <w:tc>
          <w:tcPr>
            <w:tcMar>
              <w:top w:type="dxa" w:w="40"/>
              <w:left w:type="dxa" w:w="120"/>
              <w:bottom w:type="dxa" w:w="40"/>
              <w:right w:type="dxa" w:w="120"/>
            </w:tcMar>
          </w:tcPr>
          <w:p>
            <w:r>
              <w:rPr>
                <w:rFonts w:ascii="Times New Roman" w:eastAsia="SimSun"/>
                <w:color w:val="1A2B40"/>
                <w:sz w:val="20"/>
                <w:szCs w:val="20"/>
              </w:rPr>
              <w:t xml:space="preserve">mv_branch_intercompany</w:t>
            </w:r>
          </w:p>
        </w:tc>
        <w:tc>
          <w:tcPr>
            <w:tcMar>
              <w:top w:type="dxa" w:w="40"/>
              <w:left w:type="dxa" w:w="120"/>
              <w:bottom w:type="dxa" w:w="40"/>
              <w:right w:type="dxa" w:w="120"/>
            </w:tcMar>
          </w:tcPr>
          <w:p>
            <w:r>
              <w:rPr>
                <w:rFonts w:ascii="Times New Roman" w:eastAsia="SimSun"/>
                <w:color w:val="1A2B40"/>
                <w:sz w:val="20"/>
                <w:szCs w:val="20"/>
              </w:rPr>
              <w:t xml:space="preserve">Branch Intercompany Ledger</w:t>
            </w:r>
          </w:p>
        </w:tc>
        <w:tc>
          <w:tcPr>
            <w:tcMar>
              <w:top w:type="dxa" w:w="40"/>
              <w:left w:type="dxa" w:w="120"/>
              <w:bottom w:type="dxa" w:w="40"/>
              <w:right w:type="dxa" w:w="120"/>
            </w:tcMar>
          </w:tcPr>
          <w:p>
            <w:r>
              <w:rPr>
                <w:rFonts w:ascii="Times New Roman" w:eastAsia="SimSun"/>
                <w:color w:val="1A2B40"/>
                <w:sz w:val="20"/>
                <w:szCs w:val="20"/>
              </w:rPr>
              <w:t xml:space="preserve">refresh_all_report_views()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mv_journal_entry_summary</w:t>
            </w:r>
          </w:p>
        </w:tc>
        <w:tc>
          <w:tcPr>
            <w:shd w:fill="F5F7FA" w:val="clear"/>
            <w:tcMar>
              <w:top w:type="dxa" w:w="40"/>
              <w:left w:type="dxa" w:w="120"/>
              <w:bottom w:type="dxa" w:w="40"/>
              <w:right w:type="dxa" w:w="120"/>
            </w:tcMar>
          </w:tcPr>
          <w:p>
            <w:r>
              <w:rPr>
                <w:rFonts w:ascii="Times New Roman" w:eastAsia="SimSun"/>
                <w:color w:val="1A2B40"/>
                <w:sz w:val="20"/>
                <w:szCs w:val="20"/>
              </w:rPr>
              <w:t xml:space="preserve">Journal Entries</w:t>
            </w:r>
          </w:p>
        </w:tc>
        <w:tc>
          <w:tcPr>
            <w:shd w:fill="F5F7FA" w:val="clear"/>
            <w:tcMar>
              <w:top w:type="dxa" w:w="40"/>
              <w:left w:type="dxa" w:w="120"/>
              <w:bottom w:type="dxa" w:w="40"/>
              <w:right w:type="dxa" w:w="120"/>
            </w:tcMar>
          </w:tcPr>
          <w:p>
            <w:r>
              <w:rPr>
                <w:rFonts w:ascii="Times New Roman" w:eastAsia="SimSun"/>
                <w:color w:val="1A2B40"/>
                <w:sz w:val="20"/>
                <w:szCs w:val="20"/>
              </w:rPr>
              <w:t xml:space="preserve">refresh_all_report_views()</w:t>
            </w:r>
          </w:p>
        </w:tc>
      </w:tr>
      <w:tr>
        <w:tc>
          <w:tcPr>
            <w:tcMar>
              <w:top w:type="dxa" w:w="40"/>
              <w:left w:type="dxa" w:w="120"/>
              <w:bottom w:type="dxa" w:w="40"/>
              <w:right w:type="dxa" w:w="120"/>
            </w:tcMar>
          </w:tcPr>
          <w:p>
            <w:r>
              <w:rPr>
                <w:rFonts w:ascii="Times New Roman" w:eastAsia="SimSun"/>
                <w:color w:val="1A2B40"/>
                <w:sz w:val="20"/>
                <w:szCs w:val="20"/>
              </w:rPr>
              <w:t xml:space="preserve">mv_product_abc_classification</w:t>
            </w:r>
          </w:p>
        </w:tc>
        <w:tc>
          <w:tcPr>
            <w:tcMar>
              <w:top w:type="dxa" w:w="40"/>
              <w:left w:type="dxa" w:w="120"/>
              <w:bottom w:type="dxa" w:w="40"/>
              <w:right w:type="dxa" w:w="120"/>
            </w:tcMar>
          </w:tcPr>
          <w:p>
            <w:r>
              <w:rPr>
                <w:rFonts w:ascii="Times New Roman" w:eastAsia="SimSun"/>
                <w:color w:val="1A2B40"/>
                <w:sz w:val="20"/>
                <w:szCs w:val="20"/>
              </w:rPr>
              <w:t xml:space="preserve">ABC Classification</w:t>
            </w:r>
          </w:p>
        </w:tc>
        <w:tc>
          <w:tcPr>
            <w:tcMar>
              <w:top w:type="dxa" w:w="40"/>
              <w:left w:type="dxa" w:w="120"/>
              <w:bottom w:type="dxa" w:w="40"/>
              <w:right w:type="dxa" w:w="120"/>
            </w:tcMar>
          </w:tcPr>
          <w:p>
            <w:r>
              <w:rPr>
                <w:rFonts w:ascii="Times New Roman" w:eastAsia="SimSun"/>
                <w:color w:val="1A2B40"/>
                <w:sz w:val="20"/>
                <w:szCs w:val="20"/>
              </w:rPr>
              <w:t xml:space="preserve">AbcClassificationService::refresh()</w:t>
            </w:r>
          </w:p>
        </w:tc>
      </w:tr>
    </w:tbl>
    <w:p>
      <w:pPr>
        <w:pStyle w:val="Heading1"/>
        <w:spacing w:after="120" w:before="360"/>
      </w:pPr>
      <w:bookmarkStart w:id="100048" w:name="_Toc100048"/>
      <w:r>
        <w:rPr>
          <w:rFonts w:ascii="Calibri" w:eastAsia="SimHei"/>
          <w:b/>
          <w:bCs/>
          <w:color w:val="0F2027"/>
          <w:sz w:val="32"/>
          <w:szCs w:val="32"/>
        </w:rPr>
        <w:t xml:space="preserve">10. Security Model</w:t>
      </w:r>
      <w:bookmarkEnd w:id="100048"/>
    </w:p>
    <w:p>
      <w:pPr>
        <w:pStyle w:val="Heading2"/>
        <w:spacing w:after="120" w:before="240"/>
      </w:pPr>
      <w:bookmarkStart w:id="100049" w:name="_Toc100049"/>
      <w:r>
        <w:rPr>
          <w:rFonts w:ascii="Calibri" w:eastAsia="SimHei"/>
          <w:b/>
          <w:bCs/>
          <w:color w:val="0F2027"/>
          <w:sz w:val="30"/>
          <w:szCs w:val="30"/>
        </w:rPr>
        <w:t xml:space="preserve">10.1 Route-Level Access Control</w:t>
      </w:r>
      <w:bookmarkEnd w:id="10004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Route Group</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Middleware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Roles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/admin/reports/*</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 (Superadmin via Gate::before)</w:t>
            </w:r>
          </w:p>
        </w:tc>
      </w:tr>
      <w:tr>
        <w:tc>
          <w:tcPr>
            <w:tcMar>
              <w:top w:type="dxa" w:w="40"/>
              <w:left w:type="dxa" w:w="120"/>
              <w:bottom w:type="dxa" w:w="40"/>
              <w:right w:type="dxa" w:w="120"/>
            </w:tcMar>
          </w:tcPr>
          <w:p>
            <w:r>
              <w:rPr>
                <w:rFonts w:ascii="Times New Roman" w:eastAsia="SimSun"/>
                <w:color w:val="1A2B40"/>
                <w:sz w:val="20"/>
                <w:szCs w:val="20"/>
              </w:rPr>
              <w:t xml:space="preserve">/admin/warehouse-transfers/summary</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c>
          <w:tcPr>
            <w:tcMar>
              <w:top w:type="dxa" w:w="40"/>
              <w:left w:type="dxa" w:w="120"/>
              <w:bottom w:type="dxa" w:w="40"/>
              <w:right w:type="dxa" w:w="120"/>
            </w:tcMar>
          </w:tcPr>
          <w:p>
            <w:r>
              <w:rPr>
                <w:rFonts w:ascii="Times New Roman" w:eastAsia="SimSun"/>
                <w:color w:val="1A2B40"/>
                <w:sz w:val="20"/>
                <w:szCs w:val="20"/>
              </w:rPr>
              <w:t xml:space="preserve">Same as above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/admin/stock-take/abc-report</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Same as above</w:t>
            </w:r>
          </w:p>
        </w:tc>
      </w:tr>
      <w:tr>
        <w:tc>
          <w:tcPr>
            <w:tcMar>
              <w:top w:type="dxa" w:w="40"/>
              <w:left w:type="dxa" w:w="120"/>
              <w:bottom w:type="dxa" w:w="40"/>
              <w:right w:type="dxa" w:w="120"/>
            </w:tcMar>
          </w:tcPr>
          <w:p>
            <w:r>
              <w:rPr>
                <w:rFonts w:ascii="Times New Roman" w:eastAsia="SimSun"/>
                <w:color w:val="1A2B40"/>
                <w:sz w:val="20"/>
                <w:szCs w:val="20"/>
              </w:rPr>
              <w:t xml:space="preserve">/admin/budgets/variance</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c>
          <w:tcPr>
            <w:tcMar>
              <w:top w:type="dxa" w:w="40"/>
              <w:left w:type="dxa" w:w="120"/>
              <w:bottom w:type="dxa" w:w="40"/>
              <w:right w:type="dxa" w:w="120"/>
            </w:tcMar>
          </w:tcPr>
          <w:p>
            <w:r>
              <w:rPr>
                <w:rFonts w:ascii="Times New Roman" w:eastAsia="SimSun"/>
                <w:color w:val="1A2B40"/>
                <w:sz w:val="20"/>
                <w:szCs w:val="20"/>
              </w:rPr>
              <w:t xml:space="preserve">Same as above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/admin/branch-demands/weekly-report</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Same as above</w:t>
            </w:r>
          </w:p>
        </w:tc>
      </w:tr>
      <w:tr>
        <w:tc>
          <w:tcPr>
            <w:tcMar>
              <w:top w:type="dxa" w:w="40"/>
              <w:left w:type="dxa" w:w="120"/>
              <w:bottom w:type="dxa" w:w="40"/>
              <w:right w:type="dxa" w:w="120"/>
            </w:tcMar>
          </w:tcPr>
          <w:p>
            <w:r>
              <w:rPr>
                <w:rFonts w:ascii="Times New Roman" w:eastAsia="SimSun"/>
                <w:color w:val="1A2B40"/>
                <w:sz w:val="20"/>
                <w:szCs w:val="20"/>
              </w:rPr>
              <w:t xml:space="preserve">/admin/purchase-audit</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c>
          <w:tcPr>
            <w:tcMar>
              <w:top w:type="dxa" w:w="40"/>
              <w:left w:type="dxa" w:w="120"/>
              <w:bottom w:type="dxa" w:w="40"/>
              <w:right w:type="dxa" w:w="120"/>
            </w:tcMar>
          </w:tcPr>
          <w:p>
            <w:r>
              <w:rPr>
                <w:rFonts w:ascii="Times New Roman" w:eastAsia="SimSun"/>
                <w:color w:val="1A2B40"/>
                <w:sz w:val="20"/>
                <w:szCs w:val="20"/>
              </w:rPr>
              <w:t xml:space="preserve">Same as above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/admin/reconciliation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Same as above</w:t>
            </w:r>
          </w:p>
        </w:tc>
      </w:tr>
      <w:tr>
        <w:tc>
          <w:tcPr>
            <w:tcMar>
              <w:top w:type="dxa" w:w="40"/>
              <w:left w:type="dxa" w:w="120"/>
              <w:bottom w:type="dxa" w:w="40"/>
              <w:right w:type="dxa" w:w="120"/>
            </w:tcMar>
          </w:tcPr>
          <w:p>
            <w:r>
              <w:rPr>
                <w:rFonts w:ascii="Times New Roman" w:eastAsia="SimSun"/>
                <w:color w:val="1A2B40"/>
                <w:sz w:val="20"/>
                <w:szCs w:val="20"/>
              </w:rPr>
              <w:t xml:space="preserve">/admin/consolidation/*</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c>
          <w:tcPr>
            <w:tcMar>
              <w:top w:type="dxa" w:w="40"/>
              <w:left w:type="dxa" w:w="120"/>
              <w:bottom w:type="dxa" w:w="40"/>
              <w:right w:type="dxa" w:w="120"/>
            </w:tcMar>
          </w:tcPr>
          <w:p>
            <w:r>
              <w:rPr>
                <w:rFonts w:ascii="Times New Roman" w:eastAsia="SimSun"/>
                <w:color w:val="1A2B40"/>
                <w:sz w:val="20"/>
                <w:szCs w:val="20"/>
              </w:rPr>
              <w:t xml:space="preserve">Same as above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/admin/dimensions/segment-*</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Same as above</w:t>
            </w:r>
          </w:p>
        </w:tc>
      </w:tr>
      <w:tr>
        <w:tc>
          <w:tcPr>
            <w:tcMar>
              <w:top w:type="dxa" w:w="40"/>
              <w:left w:type="dxa" w:w="120"/>
              <w:bottom w:type="dxa" w:w="40"/>
              <w:right w:type="dxa" w:w="120"/>
            </w:tcMar>
          </w:tcPr>
          <w:p>
            <w:r>
              <w:rPr>
                <w:rFonts w:ascii="Times New Roman" w:eastAsia="SimSun"/>
                <w:color w:val="1A2B40"/>
                <w:sz w:val="20"/>
                <w:szCs w:val="20"/>
              </w:rPr>
              <w:t xml:space="preserve">/dashboard</w:t>
            </w:r>
          </w:p>
        </w:tc>
        <w:tc>
          <w:tcPr>
            <w:tcMar>
              <w:top w:type="dxa" w:w="40"/>
              <w:left w:type="dxa" w:w="120"/>
              <w:bottom w:type="dxa" w:w="40"/>
              <w:right w:type="dxa" w:w="120"/>
            </w:tcMar>
          </w:tcPr>
          <w:p>
            <w:r>
              <w:rPr>
                <w:rFonts w:ascii="Times New Roman" w:eastAsia="SimSun"/>
                <w:color w:val="1A2B40"/>
                <w:sz w:val="20"/>
                <w:szCs w:val="20"/>
              </w:rPr>
              <w:t xml:space="preserve">auth</w:t>
            </w:r>
          </w:p>
        </w:tc>
        <w:tc>
          <w:tcPr>
            <w:tcMar>
              <w:top w:type="dxa" w:w="40"/>
              <w:left w:type="dxa" w:w="120"/>
              <w:bottom w:type="dxa" w:w="40"/>
              <w:right w:type="dxa" w:w="120"/>
            </w:tcMar>
          </w:tcPr>
          <w:p>
            <w:r>
              <w:rPr>
                <w:rFonts w:ascii="Times New Roman" w:eastAsia="SimSun"/>
                <w:color w:val="1A2B40"/>
                <w:sz w:val="20"/>
                <w:szCs w:val="20"/>
              </w:rPr>
              <w:t xml:space="preserve">All authenticated users</w:t>
            </w:r>
          </w:p>
        </w:tc>
      </w:tr>
    </w:tbl>
    <w:p>
      <w:pPr>
        <w:pStyle w:val="Heading2"/>
        <w:spacing w:after="120" w:before="240"/>
      </w:pPr>
      <w:bookmarkStart w:id="100050" w:name="_Toc100050"/>
      <w:r>
        <w:rPr>
          <w:rFonts w:ascii="Calibri" w:eastAsia="SimHei"/>
          <w:b/>
          <w:bCs/>
          <w:color w:val="0F2027"/>
          <w:sz w:val="30"/>
          <w:szCs w:val="30"/>
        </w:rPr>
        <w:t xml:space="preserve">10.2 Data-Level Isolation</w:t>
      </w:r>
      <w:bookmarkEnd w:id="100050"/>
    </w:p>
    <w:p>
      <w:pPr>
        <w:spacing w:line="312"/>
        <w:ind w:left="720"/>
      </w:pPr>
      <w:r>
        <w:rPr>
          <w:rFonts w:ascii="Times New Roman" w:eastAsia="SimSun"/>
          <w:color w:val="1A2B40"/>
          <w:sz w:val="24"/>
          <w:szCs w:val="24"/>
        </w:rPr>
        <w:t xml:space="preserve">•  Branch isolation: Non-admin users see only their session branch_id data via resolveBranchScope()</w:t>
      </w:r>
    </w:p>
    <w:p>
      <w:pPr>
        <w:spacing w:line="312"/>
        <w:ind w:left="720"/>
      </w:pPr>
      <w:r>
        <w:rPr>
          <w:rFonts w:ascii="Times New Roman" w:eastAsia="SimSun"/>
          <w:color w:val="1A2B40"/>
          <w:sz w:val="24"/>
          <w:szCs w:val="24"/>
        </w:rPr>
        <w:t xml:space="preserve">•  Fiscal year scoping: Non-superadmin date ranges clamped to current fiscal year via resolveFiscalScope()</w:t>
      </w:r>
    </w:p>
    <w:p>
      <w:pPr>
        <w:spacing w:line="312"/>
        <w:ind w:left="720"/>
      </w:pPr>
      <w:r>
        <w:rPr>
          <w:rFonts w:ascii="Times New Roman" w:eastAsia="SimSun"/>
          <w:color w:val="1A2B40"/>
          <w:sz w:val="24"/>
          <w:szCs w:val="24"/>
        </w:rPr>
        <w:t xml:space="preserve">•  BranchScope global scope: Eloquent models auto-filter by branch_id for non-admins</w:t>
      </w:r>
    </w:p>
    <w:p>
      <w:pPr>
        <w:spacing w:line="312"/>
        <w:ind w:left="720"/>
      </w:pPr>
      <w:r>
        <w:rPr>
          <w:rFonts w:ascii="Times New Roman" w:eastAsia="SimSun"/>
          <w:color w:val="1A2B40"/>
          <w:sz w:val="24"/>
          <w:szCs w:val="24"/>
        </w:rPr>
        <w:t xml:space="preserve">•  Export throttle: 10 exports per minute per user</w:t>
      </w:r>
    </w:p>
    <w:p>
      <w:pPr>
        <w:spacing w:line="312"/>
        <w:ind w:left="720"/>
      </w:pPr>
      <w:r>
        <w:rPr>
          <w:rFonts w:ascii="Times New Roman" w:eastAsia="SimSun"/>
          <w:color w:val="1A2B40"/>
          <w:sz w:val="24"/>
          <w:szCs w:val="24"/>
        </w:rPr>
        <w:t xml:space="preserve">•  Export audit: Every CSV export logged to export_audit_log with user, filters, and row count</w:t>
      </w:r>
    </w:p>
    <w:p>
      <w:pPr>
        <w:pStyle w:val="Heading1"/>
        <w:spacing w:after="120" w:before="360"/>
      </w:pPr>
      <w:bookmarkStart w:id="100051" w:name="_Toc100051"/>
      <w:r>
        <w:rPr>
          <w:rFonts w:ascii="Calibri" w:eastAsia="SimHei"/>
          <w:b/>
          <w:bCs/>
          <w:color w:val="0F2027"/>
          <w:sz w:val="32"/>
          <w:szCs w:val="32"/>
        </w:rPr>
        <w:t xml:space="preserve">11. File Reference</w:t>
      </w:r>
      <w:bookmarkEnd w:id="10005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Component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File Path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ReportController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app/Http/Controllers/Admin/ReportController.php</w:t>
            </w:r>
          </w:p>
        </w:tc>
      </w:tr>
      <w:tr>
        <w:tc>
          <w:tcPr>
            <w:tcMar>
              <w:top w:type="dxa" w:w="40"/>
              <w:left w:type="dxa" w:w="120"/>
              <w:bottom w:type="dxa" w:w="40"/>
              <w:right w:type="dxa" w:w="120"/>
            </w:tcMar>
          </w:tcPr>
          <w:p>
            <w:r>
              <w:rPr>
                <w:rFonts w:ascii="Times New Roman" w:eastAsia="SimSun"/>
                <w:color w:val="1A2B40"/>
                <w:sz w:val="20"/>
                <w:szCs w:val="20"/>
              </w:rPr>
              <w:t xml:space="preserve">ReportsCatalog</w:t>
            </w:r>
          </w:p>
        </w:tc>
        <w:tc>
          <w:tcPr>
            <w:tcMar>
              <w:top w:type="dxa" w:w="40"/>
              <w:left w:type="dxa" w:w="120"/>
              <w:bottom w:type="dxa" w:w="40"/>
              <w:right w:type="dxa" w:w="120"/>
            </w:tcMar>
          </w:tcPr>
          <w:p>
            <w:r>
              <w:rPr>
                <w:rFonts w:ascii="Times New Roman" w:eastAsia="SimSun"/>
                <w:color w:val="1A2B40"/>
                <w:sz w:val="20"/>
                <w:szCs w:val="20"/>
              </w:rPr>
              <w:t xml:space="preserve">app/Helpers/ReportsCatalog.php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ReportService</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app/Services/Reports/ReportService.php</w:t>
            </w:r>
          </w:p>
        </w:tc>
      </w:tr>
      <w:tr>
        <w:tc>
          <w:tcPr>
            <w:tcMar>
              <w:top w:type="dxa" w:w="40"/>
              <w:left w:type="dxa" w:w="120"/>
              <w:bottom w:type="dxa" w:w="40"/>
              <w:right w:type="dxa" w:w="120"/>
            </w:tcMar>
          </w:tcPr>
          <w:p>
            <w:r>
              <w:rPr>
                <w:rFonts w:ascii="Times New Roman" w:eastAsia="SimSun"/>
                <w:color w:val="1A2B40"/>
                <w:sz w:val="20"/>
                <w:szCs w:val="20"/>
              </w:rPr>
              <w:t xml:space="preserve">CteReportService</w:t>
            </w:r>
          </w:p>
        </w:tc>
        <w:tc>
          <w:tcPr>
            <w:tcMar>
              <w:top w:type="dxa" w:w="40"/>
              <w:left w:type="dxa" w:w="120"/>
              <w:bottom w:type="dxa" w:w="40"/>
              <w:right w:type="dxa" w:w="120"/>
            </w:tcMar>
          </w:tcPr>
          <w:p>
            <w:r>
              <w:rPr>
                <w:rFonts w:ascii="Times New Roman" w:eastAsia="SimSun"/>
                <w:color w:val="1A2B40"/>
                <w:sz w:val="20"/>
                <w:szCs w:val="20"/>
              </w:rPr>
              <w:t xml:space="preserve">app/Services/Reports/CteReportService.php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DamageReportService</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app/Services/Reports/DamageReportService.php</w:t>
            </w:r>
          </w:p>
        </w:tc>
      </w:tr>
      <w:tr>
        <w:tc>
          <w:tcPr>
            <w:tcMar>
              <w:top w:type="dxa" w:w="40"/>
              <w:left w:type="dxa" w:w="120"/>
              <w:bottom w:type="dxa" w:w="40"/>
              <w:right w:type="dxa" w:w="120"/>
            </w:tcMar>
          </w:tcPr>
          <w:p>
            <w:r>
              <w:rPr>
                <w:rFonts w:ascii="Times New Roman" w:eastAsia="SimSun"/>
                <w:color w:val="1A2B40"/>
                <w:sz w:val="20"/>
                <w:szCs w:val="20"/>
              </w:rPr>
              <w:t xml:space="preserve">SalesFunnelController</w:t>
            </w:r>
          </w:p>
        </w:tc>
        <w:tc>
          <w:tcPr>
            <w:tcMar>
              <w:top w:type="dxa" w:w="40"/>
              <w:left w:type="dxa" w:w="120"/>
              <w:bottom w:type="dxa" w:w="40"/>
              <w:right w:type="dxa" w:w="120"/>
            </w:tcMar>
          </w:tcPr>
          <w:p>
            <w:r>
              <w:rPr>
                <w:rFonts w:ascii="Times New Roman" w:eastAsia="SimSun"/>
                <w:color w:val="1A2B40"/>
                <w:sz w:val="20"/>
                <w:szCs w:val="20"/>
              </w:rPr>
              <w:t xml:space="preserve">app/Http/Controllers/Admin/SalesFunnelController.php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CustomerPerformanceController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app/Http/Controllers/Admin/CustomerPerformanceController.php</w:t>
            </w:r>
          </w:p>
        </w:tc>
      </w:tr>
      <w:tr>
        <w:tc>
          <w:tcPr>
            <w:tcMar>
              <w:top w:type="dxa" w:w="40"/>
              <w:left w:type="dxa" w:w="120"/>
              <w:bottom w:type="dxa" w:w="40"/>
              <w:right w:type="dxa" w:w="120"/>
            </w:tcMar>
          </w:tcPr>
          <w:p>
            <w:r>
              <w:rPr>
                <w:rFonts w:ascii="Times New Roman" w:eastAsia="SimSun"/>
                <w:color w:val="1A2B40"/>
                <w:sz w:val="20"/>
                <w:szCs w:val="20"/>
              </w:rPr>
              <w:t xml:space="preserve">BranchDemandReportController</w:t>
            </w:r>
          </w:p>
        </w:tc>
        <w:tc>
          <w:tcPr>
            <w:tcMar>
              <w:top w:type="dxa" w:w="40"/>
              <w:left w:type="dxa" w:w="120"/>
              <w:bottom w:type="dxa" w:w="40"/>
              <w:right w:type="dxa" w:w="120"/>
            </w:tcMar>
          </w:tcPr>
          <w:p>
            <w:r>
              <w:rPr>
                <w:rFonts w:ascii="Times New Roman" w:eastAsia="SimSun"/>
                <w:color w:val="1A2B40"/>
                <w:sz w:val="20"/>
                <w:szCs w:val="20"/>
              </w:rPr>
              <w:t xml:space="preserve">app/Http/Controllers/Admin/BranchDemandReportController.php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PurchaseAuditController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app/Http/Controllers/Admin/PurchaseAuditController.php</w:t>
            </w:r>
          </w:p>
        </w:tc>
      </w:tr>
      <w:tr>
        <w:tc>
          <w:tcPr>
            <w:tcMar>
              <w:top w:type="dxa" w:w="40"/>
              <w:left w:type="dxa" w:w="120"/>
              <w:bottom w:type="dxa" w:w="40"/>
              <w:right w:type="dxa" w:w="120"/>
            </w:tcMar>
          </w:tcPr>
          <w:p>
            <w:r>
              <w:rPr>
                <w:rFonts w:ascii="Times New Roman" w:eastAsia="SimSun"/>
                <w:color w:val="1A2B40"/>
                <w:sz w:val="20"/>
                <w:szCs w:val="20"/>
              </w:rPr>
              <w:t xml:space="preserve">BudgetController</w:t>
            </w:r>
          </w:p>
        </w:tc>
        <w:tc>
          <w:tcPr>
            <w:tcMar>
              <w:top w:type="dxa" w:w="40"/>
              <w:left w:type="dxa" w:w="120"/>
              <w:bottom w:type="dxa" w:w="40"/>
              <w:right w:type="dxa" w:w="120"/>
            </w:tcMar>
          </w:tcPr>
          <w:p>
            <w:r>
              <w:rPr>
                <w:rFonts w:ascii="Times New Roman" w:eastAsia="SimSun"/>
                <w:color w:val="1A2B40"/>
                <w:sz w:val="20"/>
                <w:szCs w:val="20"/>
              </w:rPr>
              <w:t xml:space="preserve">app/Http/Controllers/Admin/BudgetController.php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StockTakeController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app/Http/Controllers/Admin/StockTakeController.php</w:t>
            </w:r>
          </w:p>
        </w:tc>
      </w:tr>
      <w:tr>
        <w:tc>
          <w:tcPr>
            <w:tcMar>
              <w:top w:type="dxa" w:w="40"/>
              <w:left w:type="dxa" w:w="120"/>
              <w:bottom w:type="dxa" w:w="40"/>
              <w:right w:type="dxa" w:w="120"/>
            </w:tcMar>
          </w:tcPr>
          <w:p>
            <w:r>
              <w:rPr>
                <w:rFonts w:ascii="Times New Roman" w:eastAsia="SimSun"/>
                <w:color w:val="1A2B40"/>
                <w:sz w:val="20"/>
                <w:szCs w:val="20"/>
              </w:rPr>
              <w:t xml:space="preserve">WarehouseTransferController</w:t>
            </w:r>
          </w:p>
        </w:tc>
        <w:tc>
          <w:tcPr>
            <w:tcMar>
              <w:top w:type="dxa" w:w="40"/>
              <w:left w:type="dxa" w:w="120"/>
              <w:bottom w:type="dxa" w:w="40"/>
              <w:right w:type="dxa" w:w="120"/>
            </w:tcMar>
          </w:tcPr>
          <w:p>
            <w:r>
              <w:rPr>
                <w:rFonts w:ascii="Times New Roman" w:eastAsia="SimSun"/>
                <w:color w:val="1A2B40"/>
                <w:sz w:val="20"/>
                <w:szCs w:val="20"/>
              </w:rPr>
              <w:t xml:space="preserve">app/Http/Controllers/Admin/WarehouseTransferController.php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ReconciliationController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app/Http/Controllers/Admin/ReconciliationController.php</w:t>
            </w:r>
          </w:p>
        </w:tc>
      </w:tr>
      <w:tr>
        <w:tc>
          <w:tcPr>
            <w:tcMar>
              <w:top w:type="dxa" w:w="40"/>
              <w:left w:type="dxa" w:w="120"/>
              <w:bottom w:type="dxa" w:w="40"/>
              <w:right w:type="dxa" w:w="120"/>
            </w:tcMar>
          </w:tcPr>
          <w:p>
            <w:r>
              <w:rPr>
                <w:rFonts w:ascii="Times New Roman" w:eastAsia="SimSun"/>
                <w:color w:val="1A2B40"/>
                <w:sz w:val="20"/>
                <w:szCs w:val="20"/>
              </w:rPr>
              <w:t xml:space="preserve">ConsolidationController</w:t>
            </w:r>
          </w:p>
        </w:tc>
        <w:tc>
          <w:tcPr>
            <w:tcMar>
              <w:top w:type="dxa" w:w="40"/>
              <w:left w:type="dxa" w:w="120"/>
              <w:bottom w:type="dxa" w:w="40"/>
              <w:right w:type="dxa" w:w="120"/>
            </w:tcMar>
          </w:tcPr>
          <w:p>
            <w:r>
              <w:rPr>
                <w:rFonts w:ascii="Times New Roman" w:eastAsia="SimSun"/>
                <w:color w:val="1A2B40"/>
                <w:sz w:val="20"/>
                <w:szCs w:val="20"/>
              </w:rPr>
              <w:t xml:space="preserve">app/Http/Controllers/Admin/ConsolidationController.php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DimensionController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app/Http/Controllers/Admin/DimensionController.php</w:t>
            </w:r>
          </w:p>
        </w:tc>
      </w:tr>
      <w:tr>
        <w:tc>
          <w:tcPr>
            <w:tcMar>
              <w:top w:type="dxa" w:w="40"/>
              <w:left w:type="dxa" w:w="120"/>
              <w:bottom w:type="dxa" w:w="40"/>
              <w:right w:type="dxa" w:w="120"/>
            </w:tcMar>
          </w:tcPr>
          <w:p>
            <w:r>
              <w:rPr>
                <w:rFonts w:ascii="Times New Roman" w:eastAsia="SimSun"/>
                <w:color w:val="1A2B40"/>
                <w:sz w:val="20"/>
                <w:szCs w:val="20"/>
              </w:rPr>
              <w:t xml:space="preserve">UserPerformanceDashboardController</w:t>
            </w:r>
          </w:p>
        </w:tc>
        <w:tc>
          <w:tcPr>
            <w:tcMar>
              <w:top w:type="dxa" w:w="40"/>
              <w:left w:type="dxa" w:w="120"/>
              <w:bottom w:type="dxa" w:w="40"/>
              <w:right w:type="dxa" w:w="120"/>
            </w:tcMar>
          </w:tcPr>
          <w:p>
            <w:r>
              <w:rPr>
                <w:rFonts w:ascii="Times New Roman" w:eastAsia="SimSun"/>
                <w:color w:val="1A2B40"/>
                <w:sz w:val="20"/>
                <w:szCs w:val="20"/>
              </w:rPr>
              <w:t xml:space="preserve">app/Http/Controllers/UserPerformanceDashboardController.php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CsvExporter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app/Services/Export/CsvExporter.php</w:t>
            </w:r>
          </w:p>
        </w:tc>
      </w:tr>
      <w:tr>
        <w:tc>
          <w:tcPr>
            <w:tcMar>
              <w:top w:type="dxa" w:w="40"/>
              <w:left w:type="dxa" w:w="120"/>
              <w:bottom w:type="dxa" w:w="40"/>
              <w:right w:type="dxa" w:w="120"/>
            </w:tcMar>
          </w:tcPr>
          <w:p>
            <w:r>
              <w:rPr>
                <w:rFonts w:ascii="Times New Roman" w:eastAsia="SimSun"/>
                <w:color w:val="1A2B40"/>
                <w:sz w:val="20"/>
                <w:szCs w:val="20"/>
              </w:rPr>
              <w:t xml:space="preserve">SalesAuditService</w:t>
            </w:r>
          </w:p>
        </w:tc>
        <w:tc>
          <w:tcPr>
            <w:tcMar>
              <w:top w:type="dxa" w:w="40"/>
              <w:left w:type="dxa" w:w="120"/>
              <w:bottom w:type="dxa" w:w="40"/>
              <w:right w:type="dxa" w:w="120"/>
            </w:tcMar>
          </w:tcPr>
          <w:p>
            <w:r>
              <w:rPr>
                <w:rFonts w:ascii="Times New Roman" w:eastAsia="SimSun"/>
                <w:color w:val="1A2B40"/>
                <w:sz w:val="20"/>
                <w:szCs w:val="20"/>
              </w:rPr>
              <w:t xml:space="preserve">app/Services/Sales/SalesAuditService.php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PurchaseAuditService</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app/Services/Purchase/PurchaseAuditService.php</w:t>
            </w:r>
          </w:p>
        </w:tc>
      </w:tr>
      <w:tr>
        <w:tc>
          <w:tcPr>
            <w:tcMar>
              <w:top w:type="dxa" w:w="40"/>
              <w:left w:type="dxa" w:w="120"/>
              <w:bottom w:type="dxa" w:w="40"/>
              <w:right w:type="dxa" w:w="120"/>
            </w:tcMar>
          </w:tcPr>
          <w:p>
            <w:r>
              <w:rPr>
                <w:rFonts w:ascii="Times New Roman" w:eastAsia="SimSun"/>
                <w:color w:val="1A2B40"/>
                <w:sz w:val="20"/>
                <w:szCs w:val="20"/>
              </w:rPr>
              <w:t xml:space="preserve">Report Config</w:t>
            </w:r>
          </w:p>
        </w:tc>
        <w:tc>
          <w:tcPr>
            <w:tcMar>
              <w:top w:type="dxa" w:w="40"/>
              <w:left w:type="dxa" w:w="120"/>
              <w:bottom w:type="dxa" w:w="40"/>
              <w:right w:type="dxa" w:w="120"/>
            </w:tcMar>
          </w:tcPr>
          <w:p>
            <w:r>
              <w:rPr>
                <w:rFonts w:ascii="Times New Roman" w:eastAsia="SimSun"/>
                <w:color w:val="1A2B40"/>
                <w:sz w:val="20"/>
                <w:szCs w:val="20"/>
              </w:rPr>
              <w:t xml:space="preserve">config/reports.php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Blade Views</w:t>
            </w:r>
          </w:p>
        </w:tc>
        <w:tc>
          <w:tcPr>
            <w:shd w:fill="F5F7FA" w:val="clear"/>
            <w:tcMar>
              <w:top w:type="dxa" w:w="40"/>
              <w:left w:type="dxa" w:w="120"/>
              <w:bottom w:type="dxa" w:w="40"/>
              <w:right w:type="dxa" w:w="120"/>
            </w:tcMar>
          </w:tcPr>
          <w:p>
            <w:r>
              <w:rPr>
                <w:rFonts w:ascii="Times New Roman" w:eastAsia="SimSun"/>
                <w:color w:val="1A2B40"/>
                <w:sz w:val="20"/>
                <w:szCs w:val="20"/>
              </w:rPr>
              <w:t xml:space="preserve">resources/views/admin/reports/ (30 files)</w:t>
            </w:r>
          </w:p>
        </w:tc>
      </w:tr>
    </w:tbl>
    <w:sectPr>
      <w:headerReference w:type="default" r:id="rId8"/>
      <w:footerReference w:type="default" r:id="rId9"/>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t xml:space="preserve">Page </w:t>
    </w:r>
    <w:r>
      <w:rPr>
        <w:color w:val="4A6575"/>
        <w:sz w:val="18"/>
        <w:szCs w:val="18"/>
      </w:rPr>
      <w:fldChar w:fldCharType="begin"/>
      <w:instrText xml:space="preserve">PAGE</w:instrText>
      <w:fldChar w:fldCharType="separate"/>
      <w:fldChar w:fldCharType="end"/>
    </w:r>
    <w:r>
      <w:rPr>
        <w:color w:val="4A6575"/>
        <w:sz w:val="18"/>
        <w:szCs w:val="18"/>
      </w:rPr>
      <w:t xml:space="preserve"> of </w:t>
    </w:r>
    <w:r>
      <w:rPr>
        <w:color w:val="4A6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6575"/>
        <w:sz w:val="16"/>
        <w:szCs w:val="16"/>
      </w:rPr>
      <w:t xml:space="preserve">RC-ERP Reports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2026-08-13T12:02:26.892Z</dcterms:created>
  <dcterms:modified xsi:type="dcterms:W3CDTF">2026-08-13T12:02:26.892Z</dcterms:modified>
</cp:coreProperties>
</file>

<file path=docProps/custom.xml><?xml version="1.0" encoding="utf-8"?>
<Properties xmlns="http://schemas.openxmlformats.org/officeDocument/2006/custom-properties" xmlns:vt="http://schemas.openxmlformats.org/officeDocument/2006/docPropsVTypes"/>
</file>