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62F23" w:val="clear"/>
          </w:tcPr>
          <w:p>
            <w:pPr>
              <w:spacing w:before="3200"/>
            </w:pPr>
          </w:p>
          <w:p>
            <w:pPr>
              <w:pBdr>
                <w:bottom w:val="single" w:color="10B981" w:sz="6" w:space="8"/>
              </w:pBdr>
              <w:spacing w:after="500" w:line="360" w:lineRule="atLeast"/>
              <w:ind w:left="1200" w:right="800"/>
            </w:pPr>
            <w:r>
              <w:rPr>
                <w:rFonts w:ascii="Calibri"/>
                <w:b/>
                <w:bCs/>
                <w:color w:val="10B981"/>
                <w:spacing w:val="40"/>
                <w:sz w:val="18"/>
                <w:szCs w:val="18"/>
              </w:rPr>
              <w:t xml:space="preserve">P R O D U C T   S P E C   /   J U L Y   2 0 2 6</w:t>
            </w:r>
          </w:p>
          <w:p>
            <w:pPr>
              <w:spacing w:after="100" w:line="828" w:lineRule="atLeast"/>
              <w:ind w:left="1200"/>
            </w:pPr>
            <w:r>
              <w:rPr>
                <w:rFonts w:ascii="Arial"/>
                <w:b/>
                <w:bCs/>
                <w:color w:val="FFFFFF"/>
                <w:sz w:val="72"/>
                <w:szCs w:val="72"/>
              </w:rPr>
              <w:t xml:space="preserve">Stock Count Day</w:t>
            </w:r>
          </w:p>
          <w:p>
            <w:pPr>
              <w:spacing w:after="320" w:line="828" w:lineRule="atLeast"/>
              <w:ind w:left="1200"/>
            </w:pPr>
            <w:r>
              <w:rPr>
                <w:rFonts w:ascii="Arial"/>
                <w:b/>
                <w:bCs/>
                <w:color w:val="FFFFFF"/>
                <w:sz w:val="72"/>
                <w:szCs w:val="72"/>
              </w:rPr>
              <w:t xml:space="preserve">Enhancement Plan</w:t>
            </w:r>
          </w:p>
          <w:p>
            <w:pPr>
              <w:spacing w:after="240" w:line="360" w:lineRule="atLeast"/>
              <w:ind w:left="1200"/>
            </w:pPr>
            <w:r>
              <w:rPr>
                <w:rFonts w:ascii="Arial"/>
                <w:color w:val="A7E3C6"/>
                <w:sz w:val="26"/>
                <w:szCs w:val="26"/>
              </w:rPr>
              <w:t xml:space="preserve">8 features to make monthly stock counts faster, smarter, and audit-ready</w:t>
            </w:r>
          </w:p>
          <w:p>
            <w:pPr>
              <w:spacing w:after="900" w:line="320" w:lineRule="atLeast"/>
              <w:ind w:left="1200"/>
            </w:pPr>
            <w:r>
              <w:rPr>
                <w:rFonts w:ascii="Arial"/>
                <w:i/>
                <w:iCs/>
                <w:color w:val="E8F5EE"/>
                <w:sz w:val="22"/>
                <w:szCs w:val="22"/>
              </w:rPr>
              <w:t xml:space="preserve">Phased rollout: 5 phases, each independently shippable</w:t>
            </w:r>
          </w:p>
          <w:p>
            <w:pPr>
              <w:pBdr>
                <w:left w:val="single" w:color="10B981" w:sz="8" w:space="12"/>
              </w:pBdr>
              <w:spacing w:after="100" w:line="320"/>
              <w:ind w:left="1400"/>
            </w:pPr>
            <w:r>
              <w:rPr>
                <w:rFonts w:ascii="Arial"/>
                <w:color w:val="E8F5EE"/>
                <w:sz w:val="22"/>
                <w:szCs w:val="22"/>
              </w:rPr>
              <w:t xml:space="preserve">Module: Pharmacy → Stock Count Day (SCD)</w:t>
            </w:r>
          </w:p>
          <w:p>
            <w:pPr>
              <w:pBdr>
                <w:left w:val="single" w:color="10B981" w:sz="8" w:space="12"/>
              </w:pBdr>
              <w:spacing w:after="100" w:line="320"/>
              <w:ind w:left="1400"/>
            </w:pPr>
            <w:r>
              <w:rPr>
                <w:rFonts w:ascii="Arial"/>
                <w:color w:val="E8F5EE"/>
                <w:sz w:val="22"/>
                <w:szCs w:val="22"/>
              </w:rPr>
              <w:t xml:space="preserve">Features planned: 8 (7 from audit + 1 smart zone inheritance)</w:t>
            </w:r>
          </w:p>
          <w:p>
            <w:pPr>
              <w:pBdr>
                <w:left w:val="single" w:color="10B981" w:sz="8" w:space="12"/>
              </w:pBdr>
              <w:spacing w:after="100" w:line="320"/>
              <w:ind w:left="1400"/>
            </w:pPr>
            <w:r>
              <w:rPr>
                <w:rFonts w:ascii="Arial"/>
                <w:color w:val="E8F5EE"/>
                <w:sz w:val="22"/>
                <w:szCs w:val="22"/>
              </w:rPr>
              <w:t xml:space="preserve">Phases: 5 (P1 — P5), each ~1–2 implementation sessions</w:t>
            </w:r>
          </w:p>
          <w:p>
            <w:pPr>
              <w:pBdr>
                <w:left w:val="single" w:color="10B981" w:sz="8" w:space="12"/>
              </w:pBdr>
              <w:spacing w:after="100" w:line="320"/>
              <w:ind w:left="1400"/>
            </w:pPr>
            <w:r>
              <w:rPr>
                <w:rFonts w:ascii="Arial"/>
                <w:color w:val="E8F5EE"/>
                <w:sz w:val="22"/>
                <w:szCs w:val="22"/>
              </w:rPr>
              <w:t xml:space="preserve">Tracking file: PROJECT_CONTEXT.md §16 (added after this spec)</w:t>
            </w:r>
          </w:p>
          <w:p>
            <w:pPr>
              <w:spacing w:before="2200"/>
            </w:pPr>
          </w:p>
          <w:p>
            <w:pPr>
              <w:pBdr>
                <w:top w:val="single" w:color="10B981" w:sz="2" w:space="8"/>
              </w:pBdr>
              <w:spacing w:before="200" w:line="320"/>
              <w:ind w:left="1200" w:right="800"/>
            </w:pPr>
            <w:r>
              <w:rPr>
                <w:rFonts w:ascii="Arial"/>
                <w:color w:val="9CA3AF"/>
                <w:sz w:val="16"/>
                <w:szCs w:val="16"/>
              </w:rPr>
              <w:t xml:space="preserve">Prepared by: Super Z</w:t>
            </w:r>
            <w:r>
              <w:rPr>
                <w:color w:val="9CA3AF"/>
                <w:sz w:val="16"/>
                <w:szCs w:val="16"/>
              </w:rPr>
              <w:t xml:space="preserve">                                        </w:t>
            </w:r>
            <w:r>
              <w:rPr>
                <w:rFonts w:ascii="Arial"/>
                <w:color w:val="9CA3AF"/>
                <w:sz w:val="16"/>
                <w:szCs w:val="16"/>
              </w:rPr>
              <w:t xml:space="preserve">Confidential — Internal Use</w:t>
            </w:r>
          </w:p>
        </w:tc>
      </w:tr>
    </w:tbl>
    <w:p>
      <w:pPr>
        <w:sectPr>
          <w:type w:val="nextPage"/>
          <w:pgSz w:w="11906" w:h="16838" w:orient="portrait"/>
          <w:pgMar w:top="0" w:right="0" w:bottom="0" w:left="0" w:header="708" w:footer="708" w:gutter="0"/>
          <w:pgNumType/>
          <w:docGrid w:linePitch="360"/>
        </w:sectPr>
      </w:pPr>
    </w:p>
    <w:p>
      <w:pPr>
        <w:spacing w:after="200" w:before="200"/>
      </w:pPr>
      <w:r>
        <w:rPr>
          <w:rFonts w:ascii="Calibri"/>
          <w:b/>
          <w:bCs/>
          <w:color w:val="064E3B"/>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12"/>
            <w:ind w:left="720"/>
            <w:tabs>
              <w:tab w:val="right" w:leader="dot" w:pos="9026"/>
            </w:tabs>
            <w:spacing w:before="120" w:after="60"/>
          </w:pPr>
          <w:hyperlink w:anchor="_Toc100001" w:history="1">
            <w:r>
              <w:rPr>
                <w:rStyle w:val="Hyperlink"/>
              </w:rPr>
              <w:t>What this plan delivers</w:t>
            </w:r>
            <w:r>
              <w:tab/>
            </w:r>
            <w:r>
              <w:fldChar w:fldCharType="begin"/>
            </w:r>
            <w:r>
              <w:instrText xml:space="preserve"> PAGEREF _Toc100001 \h </w:instrText>
            </w:r>
            <w:r>
              <w:fldChar w:fldCharType="separate"/>
            </w:r>
            <w:r>
              <w:t>1</w:t>
            </w:r>
            <w:r>
              <w:fldChar w:fldCharType="end"/>
            </w:r>
          </w:hyperlink>
        </w:p>
        <w:p>
          <w:pPr>
            <w:pStyle w:val="12"/>
            <w:ind w:left="720"/>
            <w:tabs>
              <w:tab w:val="right" w:leader="dot" w:pos="9026"/>
            </w:tabs>
            <w:spacing w:before="120" w:after="60"/>
          </w:pPr>
          <w:hyperlink w:anchor="_Toc100002" w:history="1">
            <w:r>
              <w:rPr>
                <w:rStyle w:val="Hyperlink"/>
              </w:rPr>
              <w:t>Phase overview</w:t>
            </w:r>
            <w:r>
              <w:tab/>
            </w:r>
            <w:r>
              <w:fldChar w:fldCharType="begin"/>
            </w:r>
            <w:r>
              <w:instrText xml:space="preserve"> PAGEREF _Toc100002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2. Current State &amp; Gap Analysis</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2.1 What SCD does today</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2.2 The eight gaps</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2.3 The zone-assignment problem (founder's proposal)</w:t>
            </w:r>
            <w:r>
              <w:tab/>
            </w:r>
            <w:r>
              <w:fldChar w:fldCharType="begin"/>
            </w:r>
            <w:r>
              <w:instrText xml:space="preserve"> PAGEREF _Toc100006 \h </w:instrText>
            </w:r>
            <w:r>
              <w:fldChar w:fldCharType="separate"/>
            </w:r>
            <w:r>
              <w:t>4</w:t>
            </w:r>
            <w:r>
              <w:fldChar w:fldCharType="end"/>
            </w:r>
          </w:hyperlink>
        </w:p>
        <w:p>
          <w:pPr>
            <w:pStyle w:val="9"/>
            <w:tabs>
              <w:tab w:val="right" w:leader="dot" w:pos="9026"/>
            </w:tabs>
            <w:spacing w:before="120" w:after="60"/>
          </w:pPr>
          <w:hyperlink w:anchor="_Toc100007" w:history="1">
            <w:r>
              <w:rPr>
                <w:rStyle w:val="Hyperlink"/>
              </w:rPr>
              <w:t>3. Phase 1 — Onboarding &amp; Resume Count UX</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3.1 Rationale</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3.2 Scope</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3.3 Schema changes</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3.4 API changes</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3.5 UI changes</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3.6 Acceptance criteria</w:t>
            </w:r>
            <w:r>
              <w:tab/>
            </w:r>
            <w:r>
              <w:fldChar w:fldCharType="begin"/>
            </w:r>
            <w:r>
              <w:instrText xml:space="preserve"> PAGEREF _Toc100013 \h </w:instrText>
            </w:r>
            <w:r>
              <w:fldChar w:fldCharType="separate"/>
            </w:r>
            <w:r>
              <w:t>7</w:t>
            </w:r>
            <w:r>
              <w:fldChar w:fldCharType="end"/>
            </w:r>
          </w:hyperlink>
        </w:p>
        <w:p>
          <w:pPr>
            <w:pStyle w:val="9"/>
            <w:tabs>
              <w:tab w:val="right" w:leader="dot" w:pos="9026"/>
            </w:tabs>
            <w:spacing w:before="120" w:after="60"/>
          </w:pPr>
          <w:hyperlink w:anchor="_Toc100014" w:history="1">
            <w:r>
              <w:rPr>
                <w:rStyle w:val="Hyperlink"/>
              </w:rPr>
              <w:t>4. Phase 2 — Variance Search, Filter &amp; Reason Capture</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4.1 Rationale</w:t>
            </w:r>
            <w:r>
              <w:tab/>
            </w:r>
            <w:r>
              <w:fldChar w:fldCharType="begin"/>
            </w:r>
            <w:r>
              <w:instrText xml:space="preserve"> PAGEREF _Toc100015 \h </w:instrText>
            </w:r>
            <w:r>
              <w:fldChar w:fldCharType="separate"/>
            </w:r>
            <w:r>
              <w:t>8</w:t>
            </w:r>
            <w:r>
              <w:fldChar w:fldCharType="end"/>
            </w:r>
          </w:hyperlink>
        </w:p>
        <w:p>
          <w:pPr>
            <w:pStyle w:val="11"/>
            <w:ind w:left="360"/>
            <w:tabs>
              <w:tab w:val="right" w:leader="dot" w:pos="9026"/>
            </w:tabs>
            <w:spacing w:before="120" w:after="60"/>
          </w:pPr>
          <w:hyperlink w:anchor="_Toc100016" w:history="1">
            <w:r>
              <w:rPr>
                <w:rStyle w:val="Hyperlink"/>
              </w:rPr>
              <w:t>4.2 Scope</w:t>
            </w:r>
            <w:r>
              <w:tab/>
            </w:r>
            <w:r>
              <w:fldChar w:fldCharType="begin"/>
            </w:r>
            <w:r>
              <w:instrText xml:space="preserve"> PAGEREF _Toc100016 \h </w:instrText>
            </w:r>
            <w:r>
              <w:fldChar w:fldCharType="separate"/>
            </w:r>
            <w:r>
              <w:t>9</w:t>
            </w:r>
            <w:r>
              <w:fldChar w:fldCharType="end"/>
            </w:r>
          </w:hyperlink>
        </w:p>
        <w:p>
          <w:pPr>
            <w:pStyle w:val="11"/>
            <w:ind w:left="360"/>
            <w:tabs>
              <w:tab w:val="right" w:leader="dot" w:pos="9026"/>
            </w:tabs>
            <w:spacing w:before="120" w:after="60"/>
          </w:pPr>
          <w:hyperlink w:anchor="_Toc100017" w:history="1">
            <w:r>
              <w:rPr>
                <w:rStyle w:val="Hyperlink"/>
              </w:rPr>
              <w:t>4.3 Schema changes</w:t>
            </w:r>
            <w:r>
              <w:tab/>
            </w:r>
            <w:r>
              <w:fldChar w:fldCharType="begin"/>
            </w:r>
            <w:r>
              <w:instrText xml:space="preserve"> PAGEREF _Toc100017 \h </w:instrText>
            </w:r>
            <w:r>
              <w:fldChar w:fldCharType="separate"/>
            </w:r>
            <w:r>
              <w:t>9</w:t>
            </w:r>
            <w:r>
              <w:fldChar w:fldCharType="end"/>
            </w:r>
          </w:hyperlink>
        </w:p>
        <w:p>
          <w:pPr>
            <w:pStyle w:val="11"/>
            <w:ind w:left="360"/>
            <w:tabs>
              <w:tab w:val="right" w:leader="dot" w:pos="9026"/>
            </w:tabs>
            <w:spacing w:before="120" w:after="60"/>
          </w:pPr>
          <w:hyperlink w:anchor="_Toc100018" w:history="1">
            <w:r>
              <w:rPr>
                <w:rStyle w:val="Hyperlink"/>
              </w:rPr>
              <w:t>4.4 API changes</w:t>
            </w:r>
            <w:r>
              <w:tab/>
            </w:r>
            <w:r>
              <w:fldChar w:fldCharType="begin"/>
            </w:r>
            <w:r>
              <w:instrText xml:space="preserve"> PAGEREF _Toc100018 \h </w:instrText>
            </w:r>
            <w:r>
              <w:fldChar w:fldCharType="separate"/>
            </w:r>
            <w:r>
              <w:t>10</w:t>
            </w:r>
            <w:r>
              <w:fldChar w:fldCharType="end"/>
            </w:r>
          </w:hyperlink>
        </w:p>
        <w:p>
          <w:pPr>
            <w:pStyle w:val="11"/>
            <w:ind w:left="360"/>
            <w:tabs>
              <w:tab w:val="right" w:leader="dot" w:pos="9026"/>
            </w:tabs>
            <w:spacing w:before="120" w:after="60"/>
          </w:pPr>
          <w:hyperlink w:anchor="_Toc100019" w:history="1">
            <w:r>
              <w:rPr>
                <w:rStyle w:val="Hyperlink"/>
              </w:rPr>
              <w:t>4.5 UI changes</w:t>
            </w:r>
            <w:r>
              <w:tab/>
            </w:r>
            <w:r>
              <w:fldChar w:fldCharType="begin"/>
            </w:r>
            <w:r>
              <w:instrText xml:space="preserve"> PAGEREF _Toc100019 \h </w:instrText>
            </w:r>
            <w:r>
              <w:fldChar w:fldCharType="separate"/>
            </w:r>
            <w:r>
              <w:t>10</w:t>
            </w:r>
            <w:r>
              <w:fldChar w:fldCharType="end"/>
            </w:r>
          </w:hyperlink>
        </w:p>
        <w:p>
          <w:pPr>
            <w:pStyle w:val="11"/>
            <w:ind w:left="360"/>
            <w:tabs>
              <w:tab w:val="right" w:leader="dot" w:pos="9026"/>
            </w:tabs>
            <w:spacing w:before="120" w:after="60"/>
          </w:pPr>
          <w:hyperlink w:anchor="_Toc100020" w:history="1">
            <w:r>
              <w:rPr>
                <w:rStyle w:val="Hyperlink"/>
              </w:rPr>
              <w:t>4.6 Acceptance criteria</w:t>
            </w:r>
            <w:r>
              <w:tab/>
            </w:r>
            <w:r>
              <w:fldChar w:fldCharType="begin"/>
            </w:r>
            <w:r>
              <w:instrText xml:space="preserve"> PAGEREF _Toc100020 \h </w:instrText>
            </w:r>
            <w:r>
              <w:fldChar w:fldCharType="separate"/>
            </w:r>
            <w:r>
              <w:t>11</w:t>
            </w:r>
            <w:r>
              <w:fldChar w:fldCharType="end"/>
            </w:r>
          </w:hyperlink>
        </w:p>
        <w:p>
          <w:pPr>
            <w:pStyle w:val="9"/>
            <w:tabs>
              <w:tab w:val="right" w:leader="dot" w:pos="9026"/>
            </w:tabs>
            <w:spacing w:before="120" w:after="60"/>
          </w:pPr>
          <w:hyperlink w:anchor="_Toc100021" w:history="1">
            <w:r>
              <w:rPr>
                <w:rStyle w:val="Hyperlink"/>
              </w:rPr>
              <w:t>5. Phase 3 — Smart Zone Inheritance &amp; Counting-Time Assignment</w:t>
            </w:r>
            <w:r>
              <w:tab/>
            </w:r>
            <w:r>
              <w:fldChar w:fldCharType="begin"/>
            </w:r>
            <w:r>
              <w:instrText xml:space="preserve"> PAGEREF _Toc100021 \h </w:instrText>
            </w:r>
            <w:r>
              <w:fldChar w:fldCharType="separate"/>
            </w:r>
            <w:r>
              <w:t>12</w:t>
            </w:r>
            <w:r>
              <w:fldChar w:fldCharType="end"/>
            </w:r>
          </w:hyperlink>
        </w:p>
        <w:p>
          <w:pPr>
            <w:pStyle w:val="11"/>
            <w:ind w:left="360"/>
            <w:tabs>
              <w:tab w:val="right" w:leader="dot" w:pos="9026"/>
            </w:tabs>
            <w:spacing w:before="120" w:after="60"/>
          </w:pPr>
          <w:hyperlink w:anchor="_Toc100022" w:history="1">
            <w:r>
              <w:rPr>
                <w:rStyle w:val="Hyperlink"/>
              </w:rPr>
              <w:t>5.1 Rationale</w:t>
            </w:r>
            <w:r>
              <w:tab/>
            </w:r>
            <w:r>
              <w:fldChar w:fldCharType="begin"/>
            </w:r>
            <w:r>
              <w:instrText xml:space="preserve"> PAGEREF _Toc100022 \h </w:instrText>
            </w:r>
            <w:r>
              <w:fldChar w:fldCharType="separate"/>
            </w:r>
            <w:r>
              <w:t>12</w:t>
            </w:r>
            <w:r>
              <w:fldChar w:fldCharType="end"/>
            </w:r>
          </w:hyperlink>
        </w:p>
        <w:p>
          <w:pPr>
            <w:pStyle w:val="11"/>
            <w:ind w:left="360"/>
            <w:tabs>
              <w:tab w:val="right" w:leader="dot" w:pos="9026"/>
            </w:tabs>
            <w:spacing w:before="120" w:after="60"/>
          </w:pPr>
          <w:hyperlink w:anchor="_Toc100023" w:history="1">
            <w:r>
              <w:rPr>
                <w:rStyle w:val="Hyperlink"/>
              </w:rPr>
              <w:t>5.2 Scope</w:t>
            </w:r>
            <w:r>
              <w:tab/>
            </w:r>
            <w:r>
              <w:fldChar w:fldCharType="begin"/>
            </w:r>
            <w:r>
              <w:instrText xml:space="preserve"> PAGEREF _Toc100023 \h </w:instrText>
            </w:r>
            <w:r>
              <w:fldChar w:fldCharType="separate"/>
            </w:r>
            <w:r>
              <w:t>12</w:t>
            </w:r>
            <w:r>
              <w:fldChar w:fldCharType="end"/>
            </w:r>
          </w:hyperlink>
        </w:p>
        <w:p>
          <w:pPr>
            <w:pStyle w:val="11"/>
            <w:ind w:left="360"/>
            <w:tabs>
              <w:tab w:val="right" w:leader="dot" w:pos="9026"/>
            </w:tabs>
            <w:spacing w:before="120" w:after="60"/>
          </w:pPr>
          <w:hyperlink w:anchor="_Toc100024" w:history="1">
            <w:r>
              <w:rPr>
                <w:rStyle w:val="Hyperlink"/>
              </w:rPr>
              <w:t>5.3 Schema changes</w:t>
            </w:r>
            <w:r>
              <w:tab/>
            </w:r>
            <w:r>
              <w:fldChar w:fldCharType="begin"/>
            </w:r>
            <w:r>
              <w:instrText xml:space="preserve"> PAGEREF _Toc100024 \h </w:instrText>
            </w:r>
            <w:r>
              <w:fldChar w:fldCharType="separate"/>
            </w:r>
            <w:r>
              <w:t>13</w:t>
            </w:r>
            <w:r>
              <w:fldChar w:fldCharType="end"/>
            </w:r>
          </w:hyperlink>
        </w:p>
        <w:p>
          <w:pPr>
            <w:pStyle w:val="11"/>
            <w:ind w:left="360"/>
            <w:tabs>
              <w:tab w:val="right" w:leader="dot" w:pos="9026"/>
            </w:tabs>
            <w:spacing w:before="120" w:after="60"/>
          </w:pPr>
          <w:hyperlink w:anchor="_Toc100025" w:history="1">
            <w:r>
              <w:rPr>
                <w:rStyle w:val="Hyperlink"/>
              </w:rPr>
              <w:t>5.4 API changes</w:t>
            </w:r>
            <w:r>
              <w:tab/>
            </w:r>
            <w:r>
              <w:fldChar w:fldCharType="begin"/>
            </w:r>
            <w:r>
              <w:instrText xml:space="preserve"> PAGEREF _Toc100025 \h </w:instrText>
            </w:r>
            <w:r>
              <w:fldChar w:fldCharType="separate"/>
            </w:r>
            <w:r>
              <w:t>14</w:t>
            </w:r>
            <w:r>
              <w:fldChar w:fldCharType="end"/>
            </w:r>
          </w:hyperlink>
        </w:p>
        <w:p>
          <w:pPr>
            <w:pStyle w:val="11"/>
            <w:ind w:left="360"/>
            <w:tabs>
              <w:tab w:val="right" w:leader="dot" w:pos="9026"/>
            </w:tabs>
            <w:spacing w:before="120" w:after="60"/>
          </w:pPr>
          <w:hyperlink w:anchor="_Toc100026" w:history="1">
            <w:r>
              <w:rPr>
                <w:rStyle w:val="Hyperlink"/>
              </w:rPr>
              <w:t>5.5 UI changes</w:t>
            </w:r>
            <w:r>
              <w:tab/>
            </w:r>
            <w:r>
              <w:fldChar w:fldCharType="begin"/>
            </w:r>
            <w:r>
              <w:instrText xml:space="preserve"> PAGEREF _Toc100026 \h </w:instrText>
            </w:r>
            <w:r>
              <w:fldChar w:fldCharType="separate"/>
            </w:r>
            <w:r>
              <w:t>14</w:t>
            </w:r>
            <w:r>
              <w:fldChar w:fldCharType="end"/>
            </w:r>
          </w:hyperlink>
        </w:p>
        <w:p>
          <w:pPr>
            <w:pStyle w:val="11"/>
            <w:ind w:left="360"/>
            <w:tabs>
              <w:tab w:val="right" w:leader="dot" w:pos="9026"/>
            </w:tabs>
            <w:spacing w:before="120" w:after="60"/>
          </w:pPr>
          <w:hyperlink w:anchor="_Toc100027" w:history="1">
            <w:r>
              <w:rPr>
                <w:rStyle w:val="Hyperlink"/>
              </w:rPr>
              <w:t>5.6 Acceptance criteria</w:t>
            </w:r>
            <w:r>
              <w:tab/>
            </w:r>
            <w:r>
              <w:fldChar w:fldCharType="begin"/>
            </w:r>
            <w:r>
              <w:instrText xml:space="preserve"> PAGEREF _Toc100027 \h </w:instrText>
            </w:r>
            <w:r>
              <w:fldChar w:fldCharType="separate"/>
            </w:r>
            <w:r>
              <w:t>15</w:t>
            </w:r>
            <w:r>
              <w:fldChar w:fldCharType="end"/>
            </w:r>
          </w:hyperlink>
        </w:p>
        <w:p>
          <w:pPr>
            <w:pStyle w:val="9"/>
            <w:tabs>
              <w:tab w:val="right" w:leader="dot" w:pos="9026"/>
            </w:tabs>
            <w:spacing w:before="120" w:after="60"/>
          </w:pPr>
          <w:hyperlink w:anchor="_Toc100028" w:history="1">
            <w:r>
              <w:rPr>
                <w:rStyle w:val="Hyperlink"/>
              </w:rPr>
              <w:t>6. Phase 4 — Export &amp; History Detail View</w:t>
            </w:r>
            <w:r>
              <w:tab/>
            </w:r>
            <w:r>
              <w:fldChar w:fldCharType="begin"/>
            </w:r>
            <w:r>
              <w:instrText xml:space="preserve"> PAGEREF _Toc100028 \h </w:instrText>
            </w:r>
            <w:r>
              <w:fldChar w:fldCharType="separate"/>
            </w:r>
            <w:r>
              <w:t>16</w:t>
            </w:r>
            <w:r>
              <w:fldChar w:fldCharType="end"/>
            </w:r>
          </w:hyperlink>
        </w:p>
        <w:p>
          <w:pPr>
            <w:pStyle w:val="11"/>
            <w:ind w:left="360"/>
            <w:tabs>
              <w:tab w:val="right" w:leader="dot" w:pos="9026"/>
            </w:tabs>
            <w:spacing w:before="120" w:after="60"/>
          </w:pPr>
          <w:hyperlink w:anchor="_Toc100029" w:history="1">
            <w:r>
              <w:rPr>
                <w:rStyle w:val="Hyperlink"/>
              </w:rPr>
              <w:t>6.1 Rationale</w:t>
            </w:r>
            <w:r>
              <w:tab/>
            </w:r>
            <w:r>
              <w:fldChar w:fldCharType="begin"/>
            </w:r>
            <w:r>
              <w:instrText xml:space="preserve"> PAGEREF _Toc100029 \h </w:instrText>
            </w:r>
            <w:r>
              <w:fldChar w:fldCharType="separate"/>
            </w:r>
            <w:r>
              <w:t>16</w:t>
            </w:r>
            <w:r>
              <w:fldChar w:fldCharType="end"/>
            </w:r>
          </w:hyperlink>
        </w:p>
        <w:p>
          <w:pPr>
            <w:pStyle w:val="11"/>
            <w:ind w:left="360"/>
            <w:tabs>
              <w:tab w:val="right" w:leader="dot" w:pos="9026"/>
            </w:tabs>
            <w:spacing w:before="120" w:after="60"/>
          </w:pPr>
          <w:hyperlink w:anchor="_Toc100030" w:history="1">
            <w:r>
              <w:rPr>
                <w:rStyle w:val="Hyperlink"/>
              </w:rPr>
              <w:t>6.2 Scope</w:t>
            </w:r>
            <w:r>
              <w:tab/>
            </w:r>
            <w:r>
              <w:fldChar w:fldCharType="begin"/>
            </w:r>
            <w:r>
              <w:instrText xml:space="preserve"> PAGEREF _Toc100030 \h </w:instrText>
            </w:r>
            <w:r>
              <w:fldChar w:fldCharType="separate"/>
            </w:r>
            <w:r>
              <w:t>16</w:t>
            </w:r>
            <w:r>
              <w:fldChar w:fldCharType="end"/>
            </w:r>
          </w:hyperlink>
        </w:p>
        <w:p>
          <w:pPr>
            <w:pStyle w:val="11"/>
            <w:ind w:left="360"/>
            <w:tabs>
              <w:tab w:val="right" w:leader="dot" w:pos="9026"/>
            </w:tabs>
            <w:spacing w:before="120" w:after="60"/>
          </w:pPr>
          <w:hyperlink w:anchor="_Toc100031" w:history="1">
            <w:r>
              <w:rPr>
                <w:rStyle w:val="Hyperlink"/>
              </w:rPr>
              <w:t>6.3 Schema changes</w:t>
            </w:r>
            <w:r>
              <w:tab/>
            </w:r>
            <w:r>
              <w:fldChar w:fldCharType="begin"/>
            </w:r>
            <w:r>
              <w:instrText xml:space="preserve"> PAGEREF _Toc100031 \h </w:instrText>
            </w:r>
            <w:r>
              <w:fldChar w:fldCharType="separate"/>
            </w:r>
            <w:r>
              <w:t>17</w:t>
            </w:r>
            <w:r>
              <w:fldChar w:fldCharType="end"/>
            </w:r>
          </w:hyperlink>
        </w:p>
        <w:p>
          <w:pPr>
            <w:pStyle w:val="11"/>
            <w:ind w:left="360"/>
            <w:tabs>
              <w:tab w:val="right" w:leader="dot" w:pos="9026"/>
            </w:tabs>
            <w:spacing w:before="120" w:after="60"/>
          </w:pPr>
          <w:hyperlink w:anchor="_Toc100032" w:history="1">
            <w:r>
              <w:rPr>
                <w:rStyle w:val="Hyperlink"/>
              </w:rPr>
              <w:t>6.4 API changes</w:t>
            </w:r>
            <w:r>
              <w:tab/>
            </w:r>
            <w:r>
              <w:fldChar w:fldCharType="begin"/>
            </w:r>
            <w:r>
              <w:instrText xml:space="preserve"> PAGEREF _Toc100032 \h </w:instrText>
            </w:r>
            <w:r>
              <w:fldChar w:fldCharType="separate"/>
            </w:r>
            <w:r>
              <w:t>17</w:t>
            </w:r>
            <w:r>
              <w:fldChar w:fldCharType="end"/>
            </w:r>
          </w:hyperlink>
        </w:p>
        <w:p>
          <w:pPr>
            <w:pStyle w:val="11"/>
            <w:ind w:left="360"/>
            <w:tabs>
              <w:tab w:val="right" w:leader="dot" w:pos="9026"/>
            </w:tabs>
            <w:spacing w:before="120" w:after="60"/>
          </w:pPr>
          <w:hyperlink w:anchor="_Toc100033" w:history="1">
            <w:r>
              <w:rPr>
                <w:rStyle w:val="Hyperlink"/>
              </w:rPr>
              <w:t>6.5 UI changes</w:t>
            </w:r>
            <w:r>
              <w:tab/>
            </w:r>
            <w:r>
              <w:fldChar w:fldCharType="begin"/>
            </w:r>
            <w:r>
              <w:instrText xml:space="preserve"> PAGEREF _Toc100033 \h </w:instrText>
            </w:r>
            <w:r>
              <w:fldChar w:fldCharType="separate"/>
            </w:r>
            <w:r>
              <w:t>18</w:t>
            </w:r>
            <w:r>
              <w:fldChar w:fldCharType="end"/>
            </w:r>
          </w:hyperlink>
        </w:p>
        <w:p>
          <w:pPr>
            <w:pStyle w:val="11"/>
            <w:ind w:left="360"/>
            <w:tabs>
              <w:tab w:val="right" w:leader="dot" w:pos="9026"/>
            </w:tabs>
            <w:spacing w:before="120" w:after="60"/>
          </w:pPr>
          <w:hyperlink w:anchor="_Toc100034" w:history="1">
            <w:r>
              <w:rPr>
                <w:rStyle w:val="Hyperlink"/>
              </w:rPr>
              <w:t>6.6 Acceptance criteria</w:t>
            </w:r>
            <w:r>
              <w:tab/>
            </w:r>
            <w:r>
              <w:fldChar w:fldCharType="begin"/>
            </w:r>
            <w:r>
              <w:instrText xml:space="preserve"> PAGEREF _Toc100034 \h </w:instrText>
            </w:r>
            <w:r>
              <w:fldChar w:fldCharType="separate"/>
            </w:r>
            <w:r>
              <w:t>18</w:t>
            </w:r>
            <w:r>
              <w:fldChar w:fldCharType="end"/>
            </w:r>
          </w:hyperlink>
        </w:p>
        <w:p>
          <w:pPr>
            <w:pStyle w:val="9"/>
            <w:tabs>
              <w:tab w:val="right" w:leader="dot" w:pos="9026"/>
            </w:tabs>
            <w:spacing w:before="120" w:after="60"/>
          </w:pPr>
          <w:hyperlink w:anchor="_Toc100035" w:history="1">
            <w:r>
              <w:rPr>
                <w:rStyle w:val="Hyperlink"/>
              </w:rPr>
              <w:t>7. Phase 5 — Scheduled Monthly Reminders</w:t>
            </w:r>
            <w:r>
              <w:tab/>
            </w:r>
            <w:r>
              <w:fldChar w:fldCharType="begin"/>
            </w:r>
            <w:r>
              <w:instrText xml:space="preserve"> PAGEREF _Toc100035 \h </w:instrText>
            </w:r>
            <w:r>
              <w:fldChar w:fldCharType="separate"/>
            </w:r>
            <w:r>
              <w:t>20</w:t>
            </w:r>
            <w:r>
              <w:fldChar w:fldCharType="end"/>
            </w:r>
          </w:hyperlink>
        </w:p>
        <w:p>
          <w:pPr>
            <w:pStyle w:val="11"/>
            <w:ind w:left="360"/>
            <w:tabs>
              <w:tab w:val="right" w:leader="dot" w:pos="9026"/>
            </w:tabs>
            <w:spacing w:before="120" w:after="60"/>
          </w:pPr>
          <w:hyperlink w:anchor="_Toc100036" w:history="1">
            <w:r>
              <w:rPr>
                <w:rStyle w:val="Hyperlink"/>
              </w:rPr>
              <w:t>7.1 Rationale</w:t>
            </w:r>
            <w:r>
              <w:tab/>
            </w:r>
            <w:r>
              <w:fldChar w:fldCharType="begin"/>
            </w:r>
            <w:r>
              <w:instrText xml:space="preserve"> PAGEREF _Toc100036 \h </w:instrText>
            </w:r>
            <w:r>
              <w:fldChar w:fldCharType="separate"/>
            </w:r>
            <w:r>
              <w:t>20</w:t>
            </w:r>
            <w:r>
              <w:fldChar w:fldCharType="end"/>
            </w:r>
          </w:hyperlink>
        </w:p>
        <w:p>
          <w:pPr>
            <w:pStyle w:val="11"/>
            <w:ind w:left="360"/>
            <w:tabs>
              <w:tab w:val="right" w:leader="dot" w:pos="9026"/>
            </w:tabs>
            <w:spacing w:before="120" w:after="60"/>
          </w:pPr>
          <w:hyperlink w:anchor="_Toc100037" w:history="1">
            <w:r>
              <w:rPr>
                <w:rStyle w:val="Hyperlink"/>
              </w:rPr>
              <w:t>7.2 Scope</w:t>
            </w:r>
            <w:r>
              <w:tab/>
            </w:r>
            <w:r>
              <w:fldChar w:fldCharType="begin"/>
            </w:r>
            <w:r>
              <w:instrText xml:space="preserve"> PAGEREF _Toc100037 \h </w:instrText>
            </w:r>
            <w:r>
              <w:fldChar w:fldCharType="separate"/>
            </w:r>
            <w:r>
              <w:t>20</w:t>
            </w:r>
            <w:r>
              <w:fldChar w:fldCharType="end"/>
            </w:r>
          </w:hyperlink>
        </w:p>
        <w:p>
          <w:pPr>
            <w:pStyle w:val="11"/>
            <w:ind w:left="360"/>
            <w:tabs>
              <w:tab w:val="right" w:leader="dot" w:pos="9026"/>
            </w:tabs>
            <w:spacing w:before="120" w:after="60"/>
          </w:pPr>
          <w:hyperlink w:anchor="_Toc100038" w:history="1">
            <w:r>
              <w:rPr>
                <w:rStyle w:val="Hyperlink"/>
              </w:rPr>
              <w:t>7.3 Schema changes</w:t>
            </w:r>
            <w:r>
              <w:tab/>
            </w:r>
            <w:r>
              <w:fldChar w:fldCharType="begin"/>
            </w:r>
            <w:r>
              <w:instrText xml:space="preserve"> PAGEREF _Toc100038 \h </w:instrText>
            </w:r>
            <w:r>
              <w:fldChar w:fldCharType="separate"/>
            </w:r>
            <w:r>
              <w:t>20</w:t>
            </w:r>
            <w:r>
              <w:fldChar w:fldCharType="end"/>
            </w:r>
          </w:hyperlink>
        </w:p>
        <w:p>
          <w:pPr>
            <w:pStyle w:val="11"/>
            <w:ind w:left="360"/>
            <w:tabs>
              <w:tab w:val="right" w:leader="dot" w:pos="9026"/>
            </w:tabs>
            <w:spacing w:before="120" w:after="60"/>
          </w:pPr>
          <w:hyperlink w:anchor="_Toc100039" w:history="1">
            <w:r>
              <w:rPr>
                <w:rStyle w:val="Hyperlink"/>
              </w:rPr>
              <w:t>7.4 API + cron changes</w:t>
            </w:r>
            <w:r>
              <w:tab/>
            </w:r>
            <w:r>
              <w:fldChar w:fldCharType="begin"/>
            </w:r>
            <w:r>
              <w:instrText xml:space="preserve"> PAGEREF _Toc100039 \h </w:instrText>
            </w:r>
            <w:r>
              <w:fldChar w:fldCharType="separate"/>
            </w:r>
            <w:r>
              <w:t>21</w:t>
            </w:r>
            <w:r>
              <w:fldChar w:fldCharType="end"/>
            </w:r>
          </w:hyperlink>
        </w:p>
        <w:p>
          <w:pPr>
            <w:pStyle w:val="11"/>
            <w:ind w:left="360"/>
            <w:tabs>
              <w:tab w:val="right" w:leader="dot" w:pos="9026"/>
            </w:tabs>
            <w:spacing w:before="120" w:after="60"/>
          </w:pPr>
          <w:hyperlink w:anchor="_Toc100040" w:history="1">
            <w:r>
              <w:rPr>
                <w:rStyle w:val="Hyperlink"/>
              </w:rPr>
              <w:t>7.5 UI changes</w:t>
            </w:r>
            <w:r>
              <w:tab/>
            </w:r>
            <w:r>
              <w:fldChar w:fldCharType="begin"/>
            </w:r>
            <w:r>
              <w:instrText xml:space="preserve"> PAGEREF _Toc100040 \h </w:instrText>
            </w:r>
            <w:r>
              <w:fldChar w:fldCharType="separate"/>
            </w:r>
            <w:r>
              <w:t>21</w:t>
            </w:r>
            <w:r>
              <w:fldChar w:fldCharType="end"/>
            </w:r>
          </w:hyperlink>
        </w:p>
        <w:p>
          <w:pPr>
            <w:pStyle w:val="11"/>
            <w:ind w:left="360"/>
            <w:tabs>
              <w:tab w:val="right" w:leader="dot" w:pos="9026"/>
            </w:tabs>
            <w:spacing w:before="120" w:after="60"/>
          </w:pPr>
          <w:hyperlink w:anchor="_Toc100041" w:history="1">
            <w:r>
              <w:rPr>
                <w:rStyle w:val="Hyperlink"/>
              </w:rPr>
              <w:t>7.6 Acceptance criteria</w:t>
            </w:r>
            <w:r>
              <w:tab/>
            </w:r>
            <w:r>
              <w:fldChar w:fldCharType="begin"/>
            </w:r>
            <w:r>
              <w:instrText xml:space="preserve"> PAGEREF _Toc100041 \h </w:instrText>
            </w:r>
            <w:r>
              <w:fldChar w:fldCharType="separate"/>
            </w:r>
            <w:r>
              <w:t>22</w:t>
            </w:r>
            <w:r>
              <w:fldChar w:fldCharType="end"/>
            </w:r>
          </w:hyperlink>
        </w:p>
        <w:p>
          <w:pPr>
            <w:pStyle w:val="9"/>
            <w:tabs>
              <w:tab w:val="right" w:leader="dot" w:pos="9026"/>
            </w:tabs>
            <w:spacing w:before="120" w:after="60"/>
          </w:pPr>
          <w:hyperlink w:anchor="_Toc100042" w:history="1">
            <w:r>
              <w:rPr>
                <w:rStyle w:val="Hyperlink"/>
              </w:rPr>
              <w:t>8. Implementation Tracking</w:t>
            </w:r>
            <w:r>
              <w:tab/>
            </w:r>
            <w:r>
              <w:fldChar w:fldCharType="begin"/>
            </w:r>
            <w:r>
              <w:instrText xml:space="preserve"> PAGEREF _Toc100042 \h </w:instrText>
            </w:r>
            <w:r>
              <w:fldChar w:fldCharType="separate"/>
            </w:r>
            <w:r>
              <w:t>23</w:t>
            </w:r>
            <w:r>
              <w:fldChar w:fldCharType="end"/>
            </w:r>
          </w:hyperlink>
        </w:p>
        <w:p>
          <w:pPr>
            <w:pStyle w:val="11"/>
            <w:ind w:left="360"/>
            <w:tabs>
              <w:tab w:val="right" w:leader="dot" w:pos="9026"/>
            </w:tabs>
            <w:spacing w:before="120" w:after="60"/>
          </w:pPr>
          <w:hyperlink w:anchor="_Toc100043" w:history="1">
            <w:r>
              <w:rPr>
                <w:rStyle w:val="Hyperlink"/>
              </w:rPr>
              <w:t>8.1 Phase status</w:t>
            </w:r>
            <w:r>
              <w:tab/>
            </w:r>
            <w:r>
              <w:fldChar w:fldCharType="begin"/>
            </w:r>
            <w:r>
              <w:instrText xml:space="preserve"> PAGEREF _Toc100043 \h </w:instrText>
            </w:r>
            <w:r>
              <w:fldChar w:fldCharType="separate"/>
            </w:r>
            <w:r>
              <w:t>23</w:t>
            </w:r>
            <w:r>
              <w:fldChar w:fldCharType="end"/>
            </w:r>
          </w:hyperlink>
        </w:p>
        <w:p>
          <w:pPr>
            <w:pStyle w:val="11"/>
            <w:ind w:left="360"/>
            <w:tabs>
              <w:tab w:val="right" w:leader="dot" w:pos="9026"/>
            </w:tabs>
            <w:spacing w:before="120" w:after="60"/>
          </w:pPr>
          <w:hyperlink w:anchor="_Toc100044" w:history="1">
            <w:r>
              <w:rPr>
                <w:rStyle w:val="Hyperlink"/>
              </w:rPr>
              <w:t>8.2 Worklog protocol</w:t>
            </w:r>
            <w:r>
              <w:tab/>
            </w:r>
            <w:r>
              <w:fldChar w:fldCharType="begin"/>
            </w:r>
            <w:r>
              <w:instrText xml:space="preserve"> PAGEREF _Toc100044 \h </w:instrText>
            </w:r>
            <w:r>
              <w:fldChar w:fldCharType="separate"/>
            </w:r>
            <w:r>
              <w:t>23</w:t>
            </w:r>
            <w:r>
              <w:fldChar w:fldCharType="end"/>
            </w:r>
          </w:hyperlink>
        </w:p>
        <w:p>
          <w:pPr>
            <w:pStyle w:val="11"/>
            <w:ind w:left="360"/>
            <w:tabs>
              <w:tab w:val="right" w:leader="dot" w:pos="9026"/>
            </w:tabs>
            <w:spacing w:before="120" w:after="60"/>
          </w:pPr>
          <w:hyperlink w:anchor="_Toc100045" w:history="1">
            <w:r>
              <w:rPr>
                <w:rStyle w:val="Hyperlink"/>
              </w:rPr>
              <w:t>8.3 Commit + tag convention</w:t>
            </w:r>
            <w:r>
              <w:tab/>
            </w:r>
            <w:r>
              <w:fldChar w:fldCharType="begin"/>
            </w:r>
            <w:r>
              <w:instrText xml:space="preserve"> PAGEREF _Toc100045 \h </w:instrText>
            </w:r>
            <w:r>
              <w:fldChar w:fldCharType="separate"/>
            </w:r>
            <w:r>
              <w:t>24</w:t>
            </w:r>
            <w:r>
              <w:fldChar w:fldCharType="end"/>
            </w:r>
          </w:hyperlink>
        </w:p>
        <w:p>
          <w:pPr>
            <w:pStyle w:val="11"/>
            <w:ind w:left="360"/>
            <w:tabs>
              <w:tab w:val="right" w:leader="dot" w:pos="9026"/>
            </w:tabs>
            <w:spacing w:before="120" w:after="60"/>
          </w:pPr>
          <w:hyperlink w:anchor="_Toc100046" w:history="1">
            <w:r>
              <w:rPr>
                <w:rStyle w:val="Hyperlink"/>
              </w:rPr>
              <w:t>8.4 Sequencing dependencies</w:t>
            </w:r>
            <w:r>
              <w:tab/>
            </w:r>
            <w:r>
              <w:fldChar w:fldCharType="begin"/>
            </w:r>
            <w:r>
              <w:instrText xml:space="preserve"> PAGEREF _Toc100046 \h </w:instrText>
            </w:r>
            <w:r>
              <w:fldChar w:fldCharType="separate"/>
            </w:r>
            <w:r>
              <w:t>24</w:t>
            </w:r>
            <w:r>
              <w:fldChar w:fldCharType="end"/>
            </w:r>
          </w:hyperlink>
        </w:p>
        <w:p>
          <w:pPr>
            <w:pStyle w:val="11"/>
            <w:ind w:left="360"/>
            <w:tabs>
              <w:tab w:val="right" w:leader="dot" w:pos="9026"/>
            </w:tabs>
            <w:spacing w:before="120" w:after="60"/>
          </w:pPr>
          <w:hyperlink w:anchor="_Toc100047" w:history="1">
            <w:r>
              <w:rPr>
                <w:rStyle w:val="Hyperlink"/>
              </w:rPr>
              <w:t>8.5 Estimated total effort</w:t>
            </w:r>
            <w:r>
              <w:tab/>
            </w:r>
            <w:r>
              <w:fldChar w:fldCharType="begin"/>
            </w:r>
            <w:r>
              <w:instrText xml:space="preserve"> PAGEREF _Toc100047 \h </w:instrText>
            </w:r>
            <w:r>
              <w:fldChar w:fldCharType="separate"/>
            </w:r>
            <w:r>
              <w:t>25</w:t>
            </w:r>
            <w:r>
              <w:fldChar w:fldCharType="end"/>
            </w:r>
          </w:hyperlink>
        </w:p>
        <w:p>
          <w:r>
            <w:fldChar w:fldCharType="end"/>
          </w:r>
        </w:p>
      </w:sdtContent>
    </w:sdt>
    <w:p>
      <w:r>
        <w:br w:type="page"/>
      </w:r>
    </w:p>
    <w:p>
      <w:pPr>
        <w:pStyle w:val="Heading1"/>
        <w:spacing w:after="200" w:before="360" w:line="312"/>
      </w:pPr>
      <w:bookmarkStart w:id="100000" w:name="_Toc100000"/>
      <w:r>
        <w:rPr>
          <w:rFonts w:ascii="Calibri" w:eastAsia="Microsoft YaHei"/>
          <w:b/>
          <w:bCs/>
          <w:color w:val="064E3B"/>
          <w:sz w:val="32"/>
          <w:szCs w:val="32"/>
        </w:rPr>
        <w:t xml:space="preserve">1. Executive Summary</w:t>
      </w:r>
      <w:bookmarkEnd w:id="100000"/>
    </w:p>
    <w:p>
      <w:pPr>
        <w:spacing w:after="120" w:before="0" w:line="312"/>
        <w:ind w:firstLine="0"/>
        <w:jc w:val="both"/>
      </w:pPr>
      <w:r>
        <w:rPr>
          <w:rFonts w:ascii="Calibri" w:eastAsia="Microsoft YaHei"/>
          <w:color w:val="1F2937"/>
          <w:sz w:val="22"/>
          <w:szCs w:val="22"/>
        </w:rPr>
        <w:t xml:space="preserve">Stock Count Day (SCD) is the pharmacy's monthly compliance ritual: physically count every medicine, compare to system stock, and record variances. The current implementation delivers the core flow — zones, multi-zone counting, shelf-scanner integration, variance review, and apply-to-inventory — but an audit against real pharmacy workflows surfaced eight gaps that limit adoption and auditability.</w:t>
      </w:r>
    </w:p>
    <w:p>
      <w:pPr>
        <w:spacing w:after="120" w:before="0" w:line="312"/>
        <w:ind w:firstLine="0"/>
        <w:jc w:val="both"/>
      </w:pPr>
      <w:r>
        <w:rPr>
          <w:rFonts w:ascii="Calibri" w:eastAsia="Microsoft YaHei"/>
          <w:color w:val="1F2937"/>
          <w:sz w:val="22"/>
          <w:szCs w:val="22"/>
        </w:rPr>
        <w:t xml:space="preserve">This document specifies a phased plan to close those gaps. Each phase is independently shippable: a pharmacy can adopt P1 (onboarding) without waiting for P3 (smart zones), and the platform remains backward-compatible at every step. The features are sequenced by user-impact-to-effort ratio — onboarding and resume-UX first (highest frustration, lowest effort), then variance UX, then the larger smart-zone investment, then export and reminders as polish.</w:t>
      </w:r>
    </w:p>
    <w:p>
      <w:pPr>
        <w:pStyle w:val="Heading3"/>
        <w:spacing w:after="100" w:before="220" w:line="312"/>
      </w:pPr>
      <w:bookmarkStart w:id="100001" w:name="_Toc100001"/>
      <w:r>
        <w:rPr>
          <w:rFonts w:ascii="Calibri" w:eastAsia="Microsoft YaHei"/>
          <w:b/>
          <w:bCs/>
          <w:color w:val="064E3B"/>
          <w:sz w:val="24"/>
          <w:szCs w:val="24"/>
        </w:rPr>
        <w:t xml:space="preserve">What this plan delivers</w:t>
      </w:r>
      <w:bookmarkEnd w:id="100001"/>
    </w:p>
    <w:p>
      <w:pPr>
        <w:pStyle w:val="ListParagraph"/>
        <w:numPr>
          <w:ilvl w:val="0"/>
          <w:numId w:val="1"/>
        </w:numPr>
        <w:spacing w:after="80" w:line="312"/>
      </w:pPr>
      <w:r>
        <w:rPr>
          <w:rFonts w:ascii="Calibri" w:eastAsia="Microsoft YaHei"/>
          <w:color w:val="1F2937"/>
          <w:sz w:val="22"/>
          <w:szCs w:val="22"/>
        </w:rPr>
        <w:t xml:space="preserve">A first-time user can understand why SCD matters and set up zones in under 2 minutes (P1).</w:t>
      </w:r>
    </w:p>
    <w:p>
      <w:pPr>
        <w:pStyle w:val="ListParagraph"/>
        <w:numPr>
          <w:ilvl w:val="0"/>
          <w:numId w:val="1"/>
        </w:numPr>
        <w:spacing w:after="80" w:line="312"/>
      </w:pPr>
      <w:r>
        <w:rPr>
          <w:rFonts w:ascii="Calibri" w:eastAsia="Microsoft YaHei"/>
          <w:color w:val="1F2937"/>
          <w:sz w:val="22"/>
          <w:szCs w:val="22"/>
        </w:rPr>
        <w:t xml:space="preserve">A counter who leaves mid-zone can resume exactly where they stopped — no re-counting (P1).</w:t>
      </w:r>
    </w:p>
    <w:p>
      <w:pPr>
        <w:pStyle w:val="ListParagraph"/>
        <w:numPr>
          <w:ilvl w:val="0"/>
          <w:numId w:val="1"/>
        </w:numPr>
        <w:spacing w:after="80" w:line="312"/>
      </w:pPr>
      <w:r>
        <w:rPr>
          <w:rFonts w:ascii="Calibri" w:eastAsia="Microsoft YaHei"/>
          <w:color w:val="1F2937"/>
          <w:sz w:val="22"/>
          <w:szCs w:val="22"/>
        </w:rPr>
        <w:t xml:space="preserve">A pharmacy with 500+ products can find mismatches in seconds via search and filter (P2).</w:t>
      </w:r>
    </w:p>
    <w:p>
      <w:pPr>
        <w:pStyle w:val="ListParagraph"/>
        <w:numPr>
          <w:ilvl w:val="0"/>
          <w:numId w:val="1"/>
        </w:numPr>
        <w:spacing w:after="80" w:line="312"/>
      </w:pPr>
      <w:r>
        <w:rPr>
          <w:rFonts w:ascii="Calibri" w:eastAsia="Microsoft YaHei"/>
          <w:color w:val="1F2937"/>
          <w:sz w:val="22"/>
          <w:szCs w:val="22"/>
        </w:rPr>
        <w:t xml:space="preserve">Every variance carries a reason code (theft, damage, data error, expired, other) for audit trail (P2).</w:t>
      </w:r>
    </w:p>
    <w:p>
      <w:pPr>
        <w:pStyle w:val="ListParagraph"/>
        <w:numPr>
          <w:ilvl w:val="0"/>
          <w:numId w:val="1"/>
        </w:numPr>
        <w:spacing w:after="80" w:line="312"/>
      </w:pPr>
      <w:r>
        <w:rPr>
          <w:rFonts w:ascii="Calibri" w:eastAsia="Microsoft YaHei"/>
          <w:color w:val="1F2937"/>
          <w:sz w:val="22"/>
          <w:szCs w:val="22"/>
        </w:rPr>
        <w:t xml:space="preserve">Zone assignments auto-inherit from the previous SCD, eliminating the largest setup burden (P3).</w:t>
      </w:r>
    </w:p>
    <w:p>
      <w:pPr>
        <w:pStyle w:val="ListParagraph"/>
        <w:numPr>
          <w:ilvl w:val="0"/>
          <w:numId w:val="1"/>
        </w:numPr>
        <w:spacing w:after="80" w:line="312"/>
      </w:pPr>
      <w:r>
        <w:rPr>
          <w:rFonts w:ascii="Calibri" w:eastAsia="Microsoft YaHei"/>
          <w:color w:val="1F2937"/>
          <w:sz w:val="22"/>
          <w:szCs w:val="22"/>
        </w:rPr>
        <w:t xml:space="preserve">During counting, staff can add an unscanned product in two taps via a searchable directory (P3).</w:t>
      </w:r>
    </w:p>
    <w:p>
      <w:pPr>
        <w:pStyle w:val="ListParagraph"/>
        <w:numPr>
          <w:ilvl w:val="0"/>
          <w:numId w:val="1"/>
        </w:numPr>
        <w:spacing w:after="80" w:line="312"/>
      </w:pPr>
      <w:r>
        <w:rPr>
          <w:rFonts w:ascii="Calibri" w:eastAsia="Microsoft YaHei"/>
          <w:color w:val="1F2937"/>
          <w:sz w:val="22"/>
          <w:szCs w:val="22"/>
        </w:rPr>
        <w:t xml:space="preserve">Count sheets and variance reports export to PDF and Excel for regulators and accountants (P4).</w:t>
      </w:r>
    </w:p>
    <w:p>
      <w:pPr>
        <w:pStyle w:val="ListParagraph"/>
        <w:numPr>
          <w:ilvl w:val="0"/>
          <w:numId w:val="1"/>
        </w:numPr>
        <w:spacing w:after="80" w:line="312"/>
      </w:pPr>
      <w:r>
        <w:rPr>
          <w:rFonts w:ascii="Calibri" w:eastAsia="Microsoft YaHei"/>
          <w:color w:val="1F2937"/>
          <w:sz w:val="22"/>
          <w:szCs w:val="22"/>
        </w:rPr>
        <w:t xml:space="preserve">Past SCDs are fully browsable — tap any history row to see its variances and counts (P4).</w:t>
      </w:r>
    </w:p>
    <w:p>
      <w:pPr>
        <w:pStyle w:val="ListParagraph"/>
        <w:numPr>
          <w:ilvl w:val="0"/>
          <w:numId w:val="1"/>
        </w:numPr>
        <w:spacing w:after="80" w:line="312"/>
      </w:pPr>
      <w:r>
        <w:rPr>
          <w:rFonts w:ascii="Calibri" w:eastAsia="Microsoft YaHei"/>
          <w:color w:val="1F2937"/>
          <w:sz w:val="22"/>
          <w:szCs w:val="22"/>
        </w:rPr>
        <w:t xml:space="preserve">A monthly reminder nudges managers who haven't run SCD yet (P5).</w:t>
      </w:r>
    </w:p>
    <w:p>
      <w:pPr>
        <w:pStyle w:val="Heading3"/>
        <w:spacing w:after="100" w:before="220" w:line="312"/>
      </w:pPr>
      <w:bookmarkStart w:id="100002" w:name="_Toc100002"/>
      <w:r>
        <w:rPr>
          <w:rFonts w:ascii="Calibri" w:eastAsia="Microsoft YaHei"/>
          <w:b/>
          <w:bCs/>
          <w:color w:val="064E3B"/>
          <w:sz w:val="24"/>
          <w:szCs w:val="24"/>
        </w:rPr>
        <w:t xml:space="preserve">Phase overview</w:t>
      </w:r>
      <w:bookmarkEnd w:id="100002"/>
    </w:p>
    <w:p>
      <w:pPr>
        <w:keepNext/>
        <w:spacing w:after="100" w:before="200"/>
        <w:jc w:val="left"/>
      </w:pPr>
      <w:r>
        <w:rPr>
          <w:rFonts w:ascii="Calibri" w:eastAsia="Microsoft YaHei"/>
          <w:b/>
          <w:bCs/>
          <w:color w:val="064E3B"/>
          <w:sz w:val="21"/>
          <w:szCs w:val="21"/>
        </w:rPr>
        <w:t xml:space="preserve">Table 1: Phase overview — themes, features, effort, and tracking status</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gridCol w:w="100"/>
      </w:tblGrid>
      <w:tr>
        <w:trPr>
          <w:cantSplit/>
          <w:tblHeader/>
        </w:trPr>
        <w:tc>
          <w:tcPr>
            <w:tcW w:type="pct" w:w="1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Phase</w:t>
            </w:r>
          </w:p>
        </w:tc>
        <w:tc>
          <w:tcPr>
            <w:tcW w:type="pct" w:w="2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Theme</w:t>
            </w:r>
          </w:p>
        </w:tc>
        <w:tc>
          <w:tcPr>
            <w:tcW w:type="pct" w:w="3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Features</w:t>
            </w:r>
          </w:p>
        </w:tc>
        <w:tc>
          <w:tcPr>
            <w:tcW w:type="pct" w:w="17%"/>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Effort</w:t>
            </w:r>
          </w:p>
        </w:tc>
        <w:tc>
          <w:tcPr>
            <w:tcW w:type="pct" w:w="1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Status</w:t>
            </w:r>
          </w:p>
        </w:tc>
      </w:tr>
      <w:tr>
        <w:trPr>
          <w:cantSplit/>
        </w:trPr>
        <w:tc>
          <w:tcPr>
            <w:tcW w:type="pct" w:w="10%"/>
            <w:shd w:fill="F0FDF4" w:val="clear"/>
            <w:tcMar>
              <w:top w:type="dxa" w:w="100"/>
              <w:left w:type="dxa" w:w="120"/>
              <w:bottom w:type="dxa" w:w="100"/>
              <w:right w:type="dxa" w:w="120"/>
            </w:tcMar>
          </w:tcPr>
          <w:p>
            <w:pPr>
              <w:spacing w:line="280"/>
              <w:jc w:val="left"/>
            </w:pPr>
            <w:r>
              <w:rPr>
                <w:rFonts w:ascii="Calibri" w:eastAsia="Microsoft YaHei"/>
                <w:b/>
                <w:bCs/>
                <w:color w:val="1F2937"/>
                <w:sz w:val="20"/>
                <w:szCs w:val="20"/>
              </w:rPr>
              <w:t xml:space="preserve">P1</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Onboarding &amp; Resume</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Empty state, resume count UX</w:t>
            </w:r>
          </w:p>
        </w:tc>
        <w:tc>
          <w:tcPr>
            <w:tcW w:type="pct" w:w="17%"/>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 session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Pending</w:t>
            </w:r>
          </w:p>
        </w:tc>
      </w:tr>
      <w:tr>
        <w:trPr>
          <w:cantSplit/>
        </w:trPr>
        <w:tc>
          <w:tcPr>
            <w:tcW w:type="pct" w:w="10%"/>
            <w:shd w:fill="F0FDF4" w:val="clear"/>
            <w:tcMar>
              <w:top w:type="dxa" w:w="100"/>
              <w:left w:type="dxa" w:w="120"/>
              <w:bottom w:type="dxa" w:w="100"/>
              <w:right w:type="dxa" w:w="120"/>
            </w:tcMar>
          </w:tcPr>
          <w:p>
            <w:pPr>
              <w:spacing w:line="280"/>
              <w:jc w:val="left"/>
            </w:pPr>
            <w:r>
              <w:rPr>
                <w:rFonts w:ascii="Calibri" w:eastAsia="Microsoft YaHei"/>
                <w:b/>
                <w:bCs/>
                <w:color w:val="1F2937"/>
                <w:sz w:val="20"/>
                <w:szCs w:val="20"/>
              </w:rPr>
              <w:t xml:space="preserve">P2</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Variance UX</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Search/filter, reason capture</w:t>
            </w:r>
          </w:p>
        </w:tc>
        <w:tc>
          <w:tcPr>
            <w:tcW w:type="pct" w:w="17%"/>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 session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Pending</w:t>
            </w:r>
          </w:p>
        </w:tc>
      </w:tr>
      <w:tr>
        <w:trPr>
          <w:cantSplit/>
        </w:trPr>
        <w:tc>
          <w:tcPr>
            <w:tcW w:type="pct" w:w="10%"/>
            <w:shd w:fill="F0FDF4" w:val="clear"/>
            <w:tcMar>
              <w:top w:type="dxa" w:w="100"/>
              <w:left w:type="dxa" w:w="120"/>
              <w:bottom w:type="dxa" w:w="100"/>
              <w:right w:type="dxa" w:w="120"/>
            </w:tcMar>
          </w:tcPr>
          <w:p>
            <w:pPr>
              <w:spacing w:line="280"/>
              <w:jc w:val="left"/>
            </w:pPr>
            <w:r>
              <w:rPr>
                <w:rFonts w:ascii="Calibri" w:eastAsia="Microsoft YaHei"/>
                <w:b/>
                <w:bCs/>
                <w:color w:val="1F2937"/>
                <w:sz w:val="20"/>
                <w:szCs w:val="20"/>
              </w:rPr>
              <w:t xml:space="preserve">P3</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Smart Zones</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Zone inheritance + scan-to-assign + manual add</w:t>
            </w:r>
          </w:p>
        </w:tc>
        <w:tc>
          <w:tcPr>
            <w:tcW w:type="pct" w:w="17%"/>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 sessions</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Pending</w:t>
            </w:r>
          </w:p>
        </w:tc>
      </w:tr>
      <w:tr>
        <w:trPr>
          <w:cantSplit/>
        </w:trPr>
        <w:tc>
          <w:tcPr>
            <w:tcW w:type="pct" w:w="10%"/>
            <w:shd w:fill="F0FDF4" w:val="clear"/>
            <w:tcMar>
              <w:top w:type="dxa" w:w="100"/>
              <w:left w:type="dxa" w:w="120"/>
              <w:bottom w:type="dxa" w:w="100"/>
              <w:right w:type="dxa" w:w="120"/>
            </w:tcMar>
          </w:tcPr>
          <w:p>
            <w:pPr>
              <w:spacing w:line="280"/>
              <w:jc w:val="left"/>
            </w:pPr>
            <w:r>
              <w:rPr>
                <w:rFonts w:ascii="Calibri" w:eastAsia="Microsoft YaHei"/>
                <w:b/>
                <w:bCs/>
                <w:color w:val="1F2937"/>
                <w:sz w:val="20"/>
                <w:szCs w:val="20"/>
              </w:rPr>
              <w:t xml:space="preserve">P4</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Export &amp; History</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PDF/Excel export, history detail view</w:t>
            </w:r>
          </w:p>
        </w:tc>
        <w:tc>
          <w:tcPr>
            <w:tcW w:type="pct" w:w="17%"/>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 session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Pending</w:t>
            </w:r>
          </w:p>
        </w:tc>
      </w:tr>
      <w:tr>
        <w:trPr>
          <w:cantSplit/>
        </w:trPr>
        <w:tc>
          <w:tcPr>
            <w:tcW w:type="pct" w:w="10%"/>
            <w:shd w:fill="F0FDF4" w:val="clear"/>
            <w:tcMar>
              <w:top w:type="dxa" w:w="100"/>
              <w:left w:type="dxa" w:w="120"/>
              <w:bottom w:type="dxa" w:w="100"/>
              <w:right w:type="dxa" w:w="120"/>
            </w:tcMar>
          </w:tcPr>
          <w:p>
            <w:pPr>
              <w:spacing w:line="280"/>
              <w:jc w:val="left"/>
            </w:pPr>
            <w:r>
              <w:rPr>
                <w:rFonts w:ascii="Calibri" w:eastAsia="Microsoft YaHei"/>
                <w:b/>
                <w:bCs/>
                <w:color w:val="1F2937"/>
                <w:sz w:val="20"/>
                <w:szCs w:val="20"/>
              </w:rPr>
              <w:t xml:space="preserve">P5</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Reminders</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Scheduled monthly nudge</w:t>
            </w:r>
          </w:p>
        </w:tc>
        <w:tc>
          <w:tcPr>
            <w:tcW w:type="pct" w:w="17%"/>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 session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Pending</w:t>
            </w:r>
          </w:p>
        </w:tc>
      </w:tr>
    </w:tbl>
    <w:p>
      <w:pPr>
        <w:spacing w:after="240" w:before="0" w:line="240"/>
      </w:pPr>
      <w:r>
        <w:t xml:space="preserve"/>
      </w:r>
    </w:p>
    <w:p>
      <w:pPr>
        <w:pBdr>
          <w:left w:val="single" w:color="8B5CF6" w:sz="18" w:space="12"/>
        </w:pBdr>
        <w:spacing w:after="160" w:before="160" w:line="312"/>
        <w:ind w:left="240"/>
      </w:pPr>
      <w:r>
        <w:rPr>
          <w:rFonts w:ascii="Calibri" w:eastAsia="Microsoft YaHei"/>
          <w:i/>
          <w:iCs/>
          <w:color w:val="1F2937"/>
          <w:sz w:val="22"/>
          <w:szCs w:val="22"/>
        </w:rPr>
        <w:t xml:space="preserve">Tracking: After this spec is approved, a new §16 is added to PROJECT_CONTEXT.md. Each phase gets a status row that is updated as work completes. The worklog.md receives one entry per phase using the Task ID pattern scd-enhance-p1 through scd-enhance-p5.</w:t>
      </w:r>
    </w:p>
    <w:p>
      <w:r>
        <w:br w:type="page"/>
      </w:r>
    </w:p>
    <w:p>
      <w:pPr>
        <w:pStyle w:val="Heading1"/>
        <w:spacing w:after="200" w:before="360" w:line="312"/>
      </w:pPr>
      <w:bookmarkStart w:id="100003" w:name="_Toc100003"/>
      <w:r>
        <w:rPr>
          <w:rFonts w:ascii="Calibri" w:eastAsia="Microsoft YaHei"/>
          <w:b/>
          <w:bCs/>
          <w:color w:val="064E3B"/>
          <w:sz w:val="32"/>
          <w:szCs w:val="32"/>
        </w:rPr>
        <w:t xml:space="preserve">2. Current State &amp; Gap Analysis</w:t>
      </w:r>
      <w:bookmarkEnd w:id="100003"/>
    </w:p>
    <w:p>
      <w:pPr>
        <w:pStyle w:val="Heading2"/>
        <w:spacing w:after="140" w:before="280" w:line="312"/>
      </w:pPr>
      <w:bookmarkStart w:id="100004" w:name="_Toc100004"/>
      <w:r>
        <w:rPr>
          <w:rFonts w:ascii="Calibri" w:eastAsia="Microsoft YaHei"/>
          <w:b/>
          <w:bCs/>
          <w:color w:val="064E3B"/>
          <w:sz w:val="28"/>
          <w:szCs w:val="28"/>
        </w:rPr>
        <w:t xml:space="preserve">2.1 What SCD does today</w:t>
      </w:r>
      <w:bookmarkEnd w:id="100004"/>
    </w:p>
    <w:p>
      <w:pPr>
        <w:spacing w:after="120" w:before="0" w:line="312"/>
        <w:ind w:firstLine="0"/>
        <w:jc w:val="both"/>
      </w:pPr>
      <w:r>
        <w:rPr>
          <w:rFonts w:ascii="Calibri" w:eastAsia="Microsoft YaHei"/>
          <w:color w:val="1F2937"/>
          <w:sz w:val="22"/>
          <w:szCs w:val="22"/>
        </w:rPr>
        <w:t xml:space="preserve">The SCD module lives at src/modules/pharmacy/components/StockCountDayHub.tsx (1,011 lines) and exposes a four-screen flow: Hub → Setup Zones → Start Count Day → Zone Counting → Variance Review → Apply. It is backed by four Prisma models (StockCountDay, StockCountZoneSession, StockCountProductSummary, StockCountLine) and four API routes under /api/businesses/[id]/stock-count-day/.</w:t>
      </w:r>
    </w:p>
    <w:p>
      <w:pPr>
        <w:spacing w:after="120" w:before="0" w:line="312"/>
        <w:ind w:firstLine="0"/>
        <w:jc w:val="both"/>
      </w:pPr>
      <w:r>
        <w:rPr>
          <w:rFonts w:ascii="Calibri" w:eastAsia="Microsoft YaHei"/>
          <w:color w:val="1F2937"/>
          <w:sz w:val="22"/>
          <w:szCs w:val="22"/>
        </w:rPr>
        <w:t xml:space="preserve">The current implementation's strengths are: sales continue during the count (systemQtyAtStart minus soldDuringScd gives the expected-now figure), multi-zone awareness (counters see what was counted in other zones for the same product), shelf-scanner AI integration, and a variance-review gate before stock is applied. These strengths are preserved by every phase in this plan.</w:t>
      </w:r>
    </w:p>
    <w:p>
      <w:pPr>
        <w:pStyle w:val="Heading2"/>
        <w:spacing w:after="140" w:before="280" w:line="312"/>
      </w:pPr>
      <w:bookmarkStart w:id="100005" w:name="_Toc100005"/>
      <w:r>
        <w:rPr>
          <w:rFonts w:ascii="Calibri" w:eastAsia="Microsoft YaHei"/>
          <w:b/>
          <w:bCs/>
          <w:color w:val="064E3B"/>
          <w:sz w:val="28"/>
          <w:szCs w:val="28"/>
        </w:rPr>
        <w:t xml:space="preserve">2.2 The eight gaps</w:t>
      </w:r>
      <w:bookmarkEnd w:id="100005"/>
    </w:p>
    <w:p>
      <w:pPr>
        <w:spacing w:after="120" w:before="0" w:line="312"/>
        <w:ind w:firstLine="0"/>
        <w:jc w:val="both"/>
      </w:pPr>
      <w:r>
        <w:rPr>
          <w:rFonts w:ascii="Calibri" w:eastAsia="Microsoft YaHei"/>
          <w:color w:val="1F2937"/>
          <w:sz w:val="22"/>
          <w:szCs w:val="22"/>
        </w:rPr>
        <w:t xml:space="preserve">The following gaps were identified by auditing the current UI against a real pharmacy's monthly count workflow. Each gap is restated here with its user-impact severity and the phase that closes it.</w:t>
      </w:r>
    </w:p>
    <w:p>
      <w:pPr>
        <w:keepNext/>
        <w:spacing w:after="100" w:before="200"/>
        <w:jc w:val="left"/>
      </w:pPr>
      <w:r>
        <w:rPr>
          <w:rFonts w:ascii="Calibri" w:eastAsia="Microsoft YaHei"/>
          <w:b/>
          <w:bCs/>
          <w:color w:val="064E3B"/>
          <w:sz w:val="21"/>
          <w:szCs w:val="21"/>
        </w:rPr>
        <w:t xml:space="preserve">Table 2: Gap analysis with severity and resolving phase</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gridCol w:w="100"/>
      </w:tblGrid>
      <w:tr>
        <w:trPr>
          <w:cantSplit/>
          <w:tblHeader/>
        </w:trPr>
        <w:tc>
          <w:tcPr>
            <w:tcW w:type="pct" w:w="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w:t>
            </w:r>
          </w:p>
        </w:tc>
        <w:tc>
          <w:tcPr>
            <w:tcW w:type="pct" w:w="3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Gap</w:t>
            </w:r>
          </w:p>
        </w:tc>
        <w:tc>
          <w:tcPr>
            <w:tcW w:type="pct" w:w="3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User impact</w:t>
            </w:r>
          </w:p>
        </w:tc>
        <w:tc>
          <w:tcPr>
            <w:tcW w:type="pct" w:w="14%"/>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Severity</w:t>
            </w:r>
          </w:p>
        </w:tc>
        <w:tc>
          <w:tcPr>
            <w:tcW w:type="pct" w:w="1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Phase</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 empty state explaining why SCD matters</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First-time users skip SCD entirely</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High</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P1</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 resume-count UX after navigating away</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Counters re-count from scratch</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High</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P1</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Variance review has no search/filter</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500+ products = unworkable scroll</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High</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P2</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 reason-for-variance capture</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Audit trail incomplete for regulators</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High</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P2</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 export (PDF/Excel)</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Cannot share count with accountant/regulator</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Medium</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P4</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6</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 scheduled reminders</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Pharmacies forget to run monthly count</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Medium</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P5</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7</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History is read-only (no detail view)</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Cannot investigate past variances</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Medium</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P4</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8</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Zone assignment is a huge manual task</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Adoption blocker for new pharmacies</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Critical</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P3</w:t>
            </w:r>
          </w:p>
        </w:tc>
      </w:tr>
    </w:tbl>
    <w:p>
      <w:pPr>
        <w:spacing w:after="200" w:before="0" w:line="240"/>
      </w:pPr>
      <w:r>
        <w:t xml:space="preserve"/>
      </w:r>
    </w:p>
    <w:p>
      <w:pPr>
        <w:pStyle w:val="Heading2"/>
        <w:spacing w:after="140" w:before="280" w:line="312"/>
      </w:pPr>
      <w:bookmarkStart w:id="100006" w:name="_Toc100006"/>
      <w:r>
        <w:rPr>
          <w:rFonts w:ascii="Calibri" w:eastAsia="Microsoft YaHei"/>
          <w:b/>
          <w:bCs/>
          <w:color w:val="064E3B"/>
          <w:sz w:val="28"/>
          <w:szCs w:val="28"/>
        </w:rPr>
        <w:t xml:space="preserve">2.3 The zone-assignment problem (founder's proposal)</w:t>
      </w:r>
      <w:bookmarkEnd w:id="100006"/>
    </w:p>
    <w:p>
      <w:pPr>
        <w:spacing w:after="120" w:before="0" w:line="312"/>
        <w:ind w:firstLine="0"/>
        <w:jc w:val="both"/>
      </w:pPr>
      <w:r>
        <w:rPr>
          <w:rFonts w:ascii="Calibri" w:eastAsia="Microsoft YaHei"/>
          <w:color w:val="1F2937"/>
          <w:sz w:val="22"/>
          <w:szCs w:val="22"/>
        </w:rPr>
        <w:t xml:space="preserve">Gap #8 deserves special attention because it is the largest adoption blocker. Today, before a pharmacy can run its first SCD, a manager must manually assign every product to one or more storage zones via the ZoneBulkAssign component. For a pharmacy with 500 products across 4 zones, that is 2,000 potential assignment operations — a multi-hour task that most pharmacies will abandon.</w:t>
      </w:r>
    </w:p>
    <w:p>
      <w:pPr>
        <w:spacing w:after="120" w:before="0" w:line="312"/>
        <w:ind w:firstLine="0"/>
        <w:jc w:val="both"/>
      </w:pPr>
      <w:r>
        <w:rPr>
          <w:rFonts w:ascii="Calibri" w:eastAsia="Microsoft YaHei"/>
          <w:color w:val="1F2937"/>
          <w:sz w:val="22"/>
          <w:szCs w:val="22"/>
        </w:rPr>
        <w:t xml:space="preserve">The founder proposed a two-pronged solution that this plan adopts as Phase 3. First, if the pharmacy has run a previous SCD, the zone assignments from that SCD are inherited automatically — the manager only adjusts deltas. Second, when a counter scans a zone and finishes counting, every product they counted is automatically assigned to that zone for future SCDs. This means the first SCD is a one-time setup cost, and every subsequent SCD gets progressively smarter as the system learns which products live where.</w:t>
      </w:r>
    </w:p>
    <w:p>
      <w:pPr>
        <w:pBdr>
          <w:left w:val="single" w:color="8B5CF6" w:sz="18" w:space="12"/>
        </w:pBdr>
        <w:spacing w:after="160" w:before="160" w:line="312"/>
        <w:ind w:left="240"/>
      </w:pPr>
      <w:r>
        <w:rPr>
          <w:rFonts w:ascii="Calibri" w:eastAsia="Microsoft YaHei"/>
          <w:i/>
          <w:iCs/>
          <w:color w:val="1F2937"/>
          <w:sz w:val="22"/>
          <w:szCs w:val="22"/>
        </w:rPr>
        <w:t xml:space="preserve">Founder's intuition confirmed: yes, this is a good idea. It converts zone assignment from a 'set up everything before you start' task into a 'the system learns as you count' workflow — a classic shift from upfront cost to incremental cost that dramatically improves first-time adoption.</w:t>
      </w:r>
    </w:p>
    <w:p>
      <w:r>
        <w:br w:type="page"/>
      </w:r>
    </w:p>
    <w:p>
      <w:pPr>
        <w:pStyle w:val="Heading1"/>
        <w:spacing w:after="200" w:before="360" w:line="312"/>
      </w:pPr>
      <w:bookmarkStart w:id="100007" w:name="_Toc100007"/>
      <w:r>
        <w:rPr>
          <w:rFonts w:ascii="Calibri" w:eastAsia="Microsoft YaHei"/>
          <w:b/>
          <w:bCs/>
          <w:color w:val="064E3B"/>
          <w:sz w:val="32"/>
          <w:szCs w:val="32"/>
        </w:rPr>
        <w:t xml:space="preserve">3. Phase 1 — Onboarding &amp; Resume Count UX</w:t>
      </w:r>
      <w:bookmarkEnd w:id="100007"/>
    </w:p>
    <w:p>
      <w:pPr>
        <w:pStyle w:val="Heading2"/>
        <w:spacing w:after="140" w:before="280" w:line="312"/>
      </w:pPr>
      <w:bookmarkStart w:id="100008" w:name="_Toc100008"/>
      <w:r>
        <w:rPr>
          <w:rFonts w:ascii="Calibri" w:eastAsia="Microsoft YaHei"/>
          <w:b/>
          <w:bCs/>
          <w:color w:val="064E3B"/>
          <w:sz w:val="28"/>
          <w:szCs w:val="28"/>
        </w:rPr>
        <w:t xml:space="preserve">3.1 Rationale</w:t>
      </w:r>
      <w:bookmarkEnd w:id="100008"/>
    </w:p>
    <w:p>
      <w:pPr>
        <w:spacing w:after="120" w:before="0" w:line="312"/>
        <w:ind w:firstLine="0"/>
        <w:jc w:val="both"/>
      </w:pPr>
      <w:r>
        <w:rPr>
          <w:rFonts w:ascii="Calibri" w:eastAsia="Microsoft YaHei"/>
          <w:color w:val="1F2937"/>
          <w:sz w:val="22"/>
          <w:szCs w:val="22"/>
        </w:rPr>
        <w:t xml:space="preserve">Two of the eight gaps share a common root cause: the SCD hub assumes the user already knows what SCD is and never gets interrupted mid-count. Phase 1 closes both gaps with minimal schema change — the work is almost entirely in the UI layer. This makes P1 the fastest phase to ship and the one with the highest frustration reduction per hour of engineering.</w:t>
      </w:r>
    </w:p>
    <w:p>
      <w:pPr>
        <w:pStyle w:val="Heading2"/>
        <w:spacing w:after="140" w:before="280" w:line="312"/>
      </w:pPr>
      <w:bookmarkStart w:id="100009" w:name="_Toc100009"/>
      <w:r>
        <w:rPr>
          <w:rFonts w:ascii="Calibri" w:eastAsia="Microsoft YaHei"/>
          <w:b/>
          <w:bCs/>
          <w:color w:val="064E3B"/>
          <w:sz w:val="28"/>
          <w:szCs w:val="28"/>
        </w:rPr>
        <w:t xml:space="preserve">3.2 Scope</w:t>
      </w:r>
      <w:bookmarkEnd w:id="100009"/>
    </w:p>
    <w:p>
      <w:pPr>
        <w:pBdr>
          <w:left w:val="single" w:color="10B981" w:sz="24" w:space="12"/>
        </w:pBdr>
        <w:spacing w:after="80" w:before="160" w:line="312"/>
        <w:ind w:left="240"/>
      </w:pPr>
      <w:r>
        <w:rPr>
          <w:rFonts w:ascii="Calibri"/>
          <w:b/>
          <w:bCs/>
          <w:color w:val="10B981"/>
          <w:spacing w:val="30"/>
          <w:sz w:val="16"/>
          <w:szCs w:val="16"/>
        </w:rPr>
        <w:t xml:space="preserve">FEATURE 1.1</w:t>
      </w:r>
      <w:r>
        <w:rPr>
          <w:color w:val="6B7280"/>
          <w:sz w:val="18"/>
          <w:szCs w:val="18"/>
        </w:rPr>
        <w:t xml:space="preserve">  —  </w:t>
      </w:r>
      <w:r>
        <w:rPr>
          <w:rFonts w:ascii="Calibri"/>
          <w:b/>
          <w:bCs/>
          <w:color w:val="064E3B"/>
          <w:sz w:val="22"/>
          <w:szCs w:val="22"/>
        </w:rPr>
        <w:t xml:space="preserve">First-time empty state with 'why SCD matters' explainer</w:t>
      </w:r>
    </w:p>
    <w:p>
      <w:pPr>
        <w:spacing w:after="120" w:before="0" w:line="312"/>
        <w:ind w:firstLine="0"/>
        <w:jc w:val="both"/>
      </w:pPr>
      <w:r>
        <w:rPr>
          <w:rFonts w:ascii="Calibri" w:eastAsia="Microsoft YaHei"/>
          <w:color w:val="1F2937"/>
          <w:sz w:val="22"/>
          <w:szCs w:val="22"/>
        </w:rPr>
        <w:t xml:space="preserve">When a pharmacy has zero zones AND zero past SCDs, the hub replaces the current 'Manage zones' button with a full-screen onboarding card. The card has three sections: (a) a headline explaining the compliance and theft-detection value of monthly counts, (b) a 3-step visual walkthrough (set up zones → count each zone → apply to inventory), and (c) a single primary CTA 'Set up your first zone'. Tapping the CTA opens the existing setup-zones screen.</w:t>
      </w:r>
    </w:p>
    <w:p>
      <w:pPr>
        <w:spacing w:after="120" w:before="0" w:line="312"/>
        <w:ind w:firstLine="0"/>
        <w:jc w:val="both"/>
      </w:pPr>
      <w:r>
        <w:rPr>
          <w:rFonts w:ascii="Calibri" w:eastAsia="Microsoft YaHei"/>
          <w:color w:val="1F2937"/>
          <w:sz w:val="22"/>
          <w:szCs w:val="22"/>
        </w:rPr>
        <w:t xml:space="preserve">Implementation: a new component ScdOnboardingCard.tsx rendered conditionally in StockCountDayHub.tsx when zones.length === 0 &amp;&amp; history.length === 0. No schema or API change. The explainer copy is bilingual (English + Bangla) to match the existing app pattern.</w:t>
      </w:r>
    </w:p>
    <w:p>
      <w:pPr>
        <w:pBdr>
          <w:left w:val="single" w:color="10B981" w:sz="24" w:space="12"/>
        </w:pBdr>
        <w:spacing w:after="80" w:before="160" w:line="312"/>
        <w:ind w:left="240"/>
      </w:pPr>
      <w:r>
        <w:rPr>
          <w:rFonts w:ascii="Calibri"/>
          <w:b/>
          <w:bCs/>
          <w:color w:val="10B981"/>
          <w:spacing w:val="30"/>
          <w:sz w:val="16"/>
          <w:szCs w:val="16"/>
        </w:rPr>
        <w:t xml:space="preserve">FEATURE 1.2</w:t>
      </w:r>
      <w:r>
        <w:rPr>
          <w:color w:val="6B7280"/>
          <w:sz w:val="18"/>
          <w:szCs w:val="18"/>
        </w:rPr>
        <w:t xml:space="preserve">  —  </w:t>
      </w:r>
      <w:r>
        <w:rPr>
          <w:rFonts w:ascii="Calibri"/>
          <w:b/>
          <w:bCs/>
          <w:color w:val="064E3B"/>
          <w:sz w:val="22"/>
          <w:szCs w:val="22"/>
        </w:rPr>
        <w:t xml:space="preserve">Resume count UX — auto-return to in-progress zone</w:t>
      </w:r>
    </w:p>
    <w:p>
      <w:pPr>
        <w:spacing w:after="120" w:before="0" w:line="312"/>
        <w:ind w:firstLine="0"/>
        <w:jc w:val="both"/>
      </w:pPr>
      <w:r>
        <w:rPr>
          <w:rFonts w:ascii="Calibri" w:eastAsia="Microsoft YaHei"/>
          <w:color w:val="1F2937"/>
          <w:sz w:val="22"/>
          <w:szCs w:val="22"/>
        </w:rPr>
        <w:t xml:space="preserve">When a counter navigates away from a zone-count screen (e.g. taps the back button, switches tabs, or closes the browser) while a zone session is in 'counting' status, the next time they open SCD the hub detects the in-progress session and shows a prominent 'Resume counting {zone name}' banner at the top. Tapping it reloads the exact zone-count screen with all previously entered quantities preserved (they are already persisted in StockCountLine.countedQty).</w:t>
      </w:r>
    </w:p>
    <w:p>
      <w:pPr>
        <w:spacing w:after="120" w:before="0" w:line="312"/>
        <w:ind w:firstLine="0"/>
        <w:jc w:val="both"/>
      </w:pPr>
      <w:r>
        <w:rPr>
          <w:rFonts w:ascii="Calibri" w:eastAsia="Microsoft YaHei"/>
          <w:color w:val="1F2937"/>
          <w:sz w:val="22"/>
          <w:szCs w:val="22"/>
        </w:rPr>
        <w:t xml:space="preserve">Implementation: the existing GET /api/businesses/[id]/stock-count-day endpoint already returns the active SCD with its zoneSessions. The hub adds a check: if any zoneSession has status 'counting', render the resume banner. No schema change; one small API enhancement to include zoneSession.lineCount in the response so the banner can show '12 of 50 products counted'.</w:t>
      </w:r>
    </w:p>
    <w:p>
      <w:pPr>
        <w:pStyle w:val="Heading2"/>
        <w:spacing w:after="140" w:before="280" w:line="312"/>
      </w:pPr>
      <w:bookmarkStart w:id="100010" w:name="_Toc100010"/>
      <w:r>
        <w:rPr>
          <w:rFonts w:ascii="Calibri" w:eastAsia="Microsoft YaHei"/>
          <w:b/>
          <w:bCs/>
          <w:color w:val="064E3B"/>
          <w:sz w:val="28"/>
          <w:szCs w:val="28"/>
        </w:rPr>
        <w:t xml:space="preserve">3.3 Schema changes</w:t>
      </w:r>
      <w:bookmarkEnd w:id="100010"/>
    </w:p>
    <w:p>
      <w:pPr>
        <w:spacing w:after="120" w:before="0" w:line="312"/>
        <w:ind w:firstLine="0"/>
        <w:jc w:val="both"/>
      </w:pPr>
      <w:r>
        <w:rPr>
          <w:rFonts w:ascii="Calibri" w:eastAsia="Microsoft YaHei"/>
          <w:color w:val="1F2937"/>
          <w:sz w:val="22"/>
          <w:szCs w:val="22"/>
        </w:rPr>
        <w:t xml:space="preserve">None. Both features use existing models and fields.</w:t>
      </w:r>
    </w:p>
    <w:p>
      <w:pPr>
        <w:pStyle w:val="Heading2"/>
        <w:spacing w:after="140" w:before="280" w:line="312"/>
      </w:pPr>
      <w:bookmarkStart w:id="100011" w:name="_Toc100011"/>
      <w:r>
        <w:rPr>
          <w:rFonts w:ascii="Calibri" w:eastAsia="Microsoft YaHei"/>
          <w:b/>
          <w:bCs/>
          <w:color w:val="064E3B"/>
          <w:sz w:val="28"/>
          <w:szCs w:val="28"/>
        </w:rPr>
        <w:t xml:space="preserve">3.4 API changes</w:t>
      </w:r>
      <w:bookmarkEnd w:id="100011"/>
    </w:p>
    <w:p>
      <w:pPr>
        <w:keepNext/>
        <w:spacing w:after="100" w:before="200"/>
        <w:jc w:val="left"/>
      </w:pPr>
      <w:r>
        <w:rPr>
          <w:rFonts w:ascii="Calibri" w:eastAsia="Microsoft YaHei"/>
          <w:b/>
          <w:bCs/>
          <w:color w:val="064E3B"/>
          <w:sz w:val="21"/>
          <w:szCs w:val="21"/>
        </w:rPr>
        <w:t xml:space="preserve">Table 3: P1 API changes</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tblGrid>
      <w:tr>
        <w:trPr>
          <w:cantSplit/>
          <w:tblHeader/>
        </w:trPr>
        <w:tc>
          <w:tcPr>
            <w:tcW w:type="pct" w:w="4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Route</w:t>
            </w:r>
          </w:p>
        </w:tc>
        <w:tc>
          <w:tcPr>
            <w:tcW w:type="pct" w:w="3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Change</w:t>
            </w:r>
          </w:p>
        </w:tc>
        <w:tc>
          <w:tcPr>
            <w:tcW w:type="pct" w:w="2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Reason</w:t>
            </w:r>
          </w:p>
        </w:tc>
      </w:tr>
      <w:tr>
        <w:trPr>
          <w:cantSplit/>
        </w:trPr>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GET /stock-count-day</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Add zoneSession.lineCount + zoneSession.lastCountedAt to response</w:t>
            </w:r>
          </w:p>
        </w:tc>
        <w:tc>
          <w:tcPr>
            <w:tcW w:type="pct" w:w="2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Resume banner shows progress without an extra fetch</w:t>
            </w:r>
          </w:p>
        </w:tc>
      </w:tr>
    </w:tbl>
    <w:p>
      <w:pPr>
        <w:spacing w:after="160" w:before="0" w:line="240"/>
      </w:pPr>
      <w:r>
        <w:t xml:space="preserve"/>
      </w:r>
    </w:p>
    <w:p>
      <w:pPr>
        <w:pStyle w:val="Heading2"/>
        <w:spacing w:after="140" w:before="280" w:line="312"/>
      </w:pPr>
      <w:bookmarkStart w:id="100012" w:name="_Toc100012"/>
      <w:r>
        <w:rPr>
          <w:rFonts w:ascii="Calibri" w:eastAsia="Microsoft YaHei"/>
          <w:b/>
          <w:bCs/>
          <w:color w:val="064E3B"/>
          <w:sz w:val="28"/>
          <w:szCs w:val="28"/>
        </w:rPr>
        <w:t xml:space="preserve">3.5 UI changes</w:t>
      </w:r>
      <w:bookmarkEnd w:id="100012"/>
    </w:p>
    <w:p>
      <w:pPr>
        <w:pStyle w:val="ListParagraph"/>
        <w:numPr>
          <w:ilvl w:val="0"/>
          <w:numId w:val="1"/>
        </w:numPr>
        <w:spacing w:after="80" w:line="312"/>
      </w:pPr>
      <w:r>
        <w:rPr>
          <w:rFonts w:ascii="Calibri" w:eastAsia="Microsoft YaHei"/>
          <w:color w:val="1F2937"/>
          <w:sz w:val="22"/>
          <w:szCs w:val="22"/>
        </w:rPr>
        <w:t xml:space="preserve">New file: src/modules/pharmacy/components/scd/ScdOnboardingCard.tsx (~80 lines)</w:t>
      </w:r>
    </w:p>
    <w:p>
      <w:pPr>
        <w:pStyle w:val="ListParagraph"/>
        <w:numPr>
          <w:ilvl w:val="0"/>
          <w:numId w:val="1"/>
        </w:numPr>
        <w:spacing w:after="80" w:line="312"/>
      </w:pPr>
      <w:r>
        <w:rPr>
          <w:rFonts w:ascii="Calibri" w:eastAsia="Microsoft YaHei"/>
          <w:color w:val="1F2937"/>
          <w:sz w:val="22"/>
          <w:szCs w:val="22"/>
        </w:rPr>
        <w:t xml:space="preserve">Modify: StockCountDayHub.tsx — render ScdOnboardingCard when zones.length === 0 &amp;&amp; history.length === 0</w:t>
      </w:r>
    </w:p>
    <w:p>
      <w:pPr>
        <w:pStyle w:val="ListParagraph"/>
        <w:numPr>
          <w:ilvl w:val="0"/>
          <w:numId w:val="1"/>
        </w:numPr>
        <w:spacing w:after="80" w:line="312"/>
      </w:pPr>
      <w:r>
        <w:rPr>
          <w:rFonts w:ascii="Calibri" w:eastAsia="Microsoft YaHei"/>
          <w:color w:val="1F2937"/>
          <w:sz w:val="22"/>
          <w:szCs w:val="22"/>
        </w:rPr>
        <w:t xml:space="preserve">Modify: StockCountDayHub.tsx — add 'Resume counting' banner when any zoneSession.status === 'counting'</w:t>
      </w:r>
    </w:p>
    <w:p>
      <w:pPr>
        <w:pStyle w:val="ListParagraph"/>
        <w:numPr>
          <w:ilvl w:val="0"/>
          <w:numId w:val="1"/>
        </w:numPr>
        <w:spacing w:after="80" w:line="312"/>
      </w:pPr>
      <w:r>
        <w:rPr>
          <w:rFonts w:ascii="Calibri" w:eastAsia="Microsoft YaHei"/>
          <w:color w:val="1F2937"/>
          <w:sz w:val="22"/>
          <w:szCs w:val="22"/>
        </w:rPr>
        <w:t xml:space="preserve">Modify: BottomNav.tsx — 'stock-count-day' view already in inventory-hub group (added in prior commit)</w:t>
      </w:r>
    </w:p>
    <w:p>
      <w:pPr>
        <w:pStyle w:val="Heading2"/>
        <w:spacing w:after="140" w:before="280" w:line="312"/>
      </w:pPr>
      <w:bookmarkStart w:id="100013" w:name="_Toc100013"/>
      <w:r>
        <w:rPr>
          <w:rFonts w:ascii="Calibri" w:eastAsia="Microsoft YaHei"/>
          <w:b/>
          <w:bCs/>
          <w:color w:val="064E3B"/>
          <w:sz w:val="28"/>
          <w:szCs w:val="28"/>
        </w:rPr>
        <w:t xml:space="preserve">3.6 Acceptance criteria</w:t>
      </w:r>
      <w:bookmarkEnd w:id="100013"/>
    </w:p>
    <w:p>
      <w:pPr>
        <w:spacing w:after="80" w:before="0" w:line="312"/>
        <w:ind w:left="360" w:hanging="240"/>
      </w:pPr>
      <w:r>
        <w:rPr>
          <w:b/>
          <w:bCs/>
          <w:color w:val="10B981"/>
          <w:sz w:val="22"/>
          <w:szCs w:val="22"/>
        </w:rPr>
        <w:t xml:space="preserve">☐  </w:t>
      </w:r>
      <w:r>
        <w:rPr>
          <w:rFonts w:ascii="Calibri"/>
          <w:color w:val="1F2937"/>
          <w:sz w:val="22"/>
          <w:szCs w:val="22"/>
        </w:rPr>
        <w:t xml:space="preserve">First-time pharmacy (0 zones, 0 history) sees the onboarding card, not the empty 'Manage zones' button</w:t>
      </w:r>
    </w:p>
    <w:p>
      <w:pPr>
        <w:spacing w:after="80" w:before="0" w:line="312"/>
        <w:ind w:left="360" w:hanging="240"/>
      </w:pPr>
      <w:r>
        <w:rPr>
          <w:b/>
          <w:bCs/>
          <w:color w:val="10B981"/>
          <w:sz w:val="22"/>
          <w:szCs w:val="22"/>
        </w:rPr>
        <w:t xml:space="preserve">☐  </w:t>
      </w:r>
      <w:r>
        <w:rPr>
          <w:rFonts w:ascii="Calibri"/>
          <w:color w:val="1F2937"/>
          <w:sz w:val="22"/>
          <w:szCs w:val="22"/>
        </w:rPr>
        <w:t xml:space="preserve">Onboarding card explains why SCD matters in 2 sentences or fewer</w:t>
      </w:r>
    </w:p>
    <w:p>
      <w:pPr>
        <w:spacing w:after="80" w:before="0" w:line="312"/>
        <w:ind w:left="360" w:hanging="240"/>
      </w:pPr>
      <w:r>
        <w:rPr>
          <w:b/>
          <w:bCs/>
          <w:color w:val="10B981"/>
          <w:sz w:val="22"/>
          <w:szCs w:val="22"/>
        </w:rPr>
        <w:t xml:space="preserve">☐  </w:t>
      </w:r>
      <w:r>
        <w:rPr>
          <w:rFonts w:ascii="Calibri"/>
          <w:color w:val="1F2937"/>
          <w:sz w:val="22"/>
          <w:szCs w:val="22"/>
        </w:rPr>
        <w:t xml:space="preserve">Tapping 'Set up your first zone' opens the existing setup-zones screen</w:t>
      </w:r>
    </w:p>
    <w:p>
      <w:pPr>
        <w:spacing w:after="80" w:before="0" w:line="312"/>
        <w:ind w:left="360" w:hanging="240"/>
      </w:pPr>
      <w:r>
        <w:rPr>
          <w:b/>
          <w:bCs/>
          <w:color w:val="10B981"/>
          <w:sz w:val="22"/>
          <w:szCs w:val="22"/>
        </w:rPr>
        <w:t xml:space="preserve">☐  </w:t>
      </w:r>
      <w:r>
        <w:rPr>
          <w:rFonts w:ascii="Calibri"/>
          <w:color w:val="1F2937"/>
          <w:sz w:val="22"/>
          <w:szCs w:val="22"/>
        </w:rPr>
        <w:t xml:space="preserve">Counter who navigates away mid-zone sees 'Resume counting {zone}' banner on return</w:t>
      </w:r>
    </w:p>
    <w:p>
      <w:pPr>
        <w:spacing w:after="80" w:before="0" w:line="312"/>
        <w:ind w:left="360" w:hanging="240"/>
      </w:pPr>
      <w:r>
        <w:rPr>
          <w:b/>
          <w:bCs/>
          <w:color w:val="10B981"/>
          <w:sz w:val="22"/>
          <w:szCs w:val="22"/>
        </w:rPr>
        <w:t xml:space="preserve">☐  </w:t>
      </w:r>
      <w:r>
        <w:rPr>
          <w:rFonts w:ascii="Calibri"/>
          <w:color w:val="1F2937"/>
          <w:sz w:val="22"/>
          <w:szCs w:val="22"/>
        </w:rPr>
        <w:t xml:space="preserve">Tapping the resume banner reloads the zone-count screen with all previously saved quantities intact</w:t>
      </w:r>
    </w:p>
    <w:p>
      <w:pPr>
        <w:spacing w:after="80" w:before="0" w:line="312"/>
        <w:ind w:left="360" w:hanging="240"/>
      </w:pPr>
      <w:r>
        <w:rPr>
          <w:b/>
          <w:bCs/>
          <w:color w:val="10B981"/>
          <w:sz w:val="22"/>
          <w:szCs w:val="22"/>
        </w:rPr>
        <w:t xml:space="preserve">☐  </w:t>
      </w:r>
      <w:r>
        <w:rPr>
          <w:rFonts w:ascii="Calibri"/>
          <w:color w:val="1F2937"/>
          <w:sz w:val="22"/>
          <w:szCs w:val="22"/>
        </w:rPr>
        <w:t xml:space="preserve">Existing flows (start SCD, count, close zone, variance review, apply) are unchanged</w:t>
      </w:r>
    </w:p>
    <w:p>
      <w:r>
        <w:br w:type="page"/>
      </w:r>
    </w:p>
    <w:p>
      <w:pPr>
        <w:pStyle w:val="Heading1"/>
        <w:spacing w:after="200" w:before="360" w:line="312"/>
      </w:pPr>
      <w:bookmarkStart w:id="100014" w:name="_Toc100014"/>
      <w:r>
        <w:rPr>
          <w:rFonts w:ascii="Calibri" w:eastAsia="Microsoft YaHei"/>
          <w:b/>
          <w:bCs/>
          <w:color w:val="064E3B"/>
          <w:sz w:val="32"/>
          <w:szCs w:val="32"/>
        </w:rPr>
        <w:t xml:space="preserve">4. Phase 2 — Variance Search, Filter &amp; Reason Capture</w:t>
      </w:r>
      <w:bookmarkEnd w:id="100014"/>
    </w:p>
    <w:p>
      <w:pPr>
        <w:pStyle w:val="Heading2"/>
        <w:spacing w:after="140" w:before="280" w:line="312"/>
      </w:pPr>
      <w:bookmarkStart w:id="100015" w:name="_Toc100015"/>
      <w:r>
        <w:rPr>
          <w:rFonts w:ascii="Calibri" w:eastAsia="Microsoft YaHei"/>
          <w:b/>
          <w:bCs/>
          <w:color w:val="064E3B"/>
          <w:sz w:val="28"/>
          <w:szCs w:val="28"/>
        </w:rPr>
        <w:t xml:space="preserve">4.1 Rationale</w:t>
      </w:r>
      <w:bookmarkEnd w:id="100015"/>
    </w:p>
    <w:p>
      <w:pPr>
        <w:spacing w:after="120" w:before="0" w:line="312"/>
        <w:ind w:firstLine="0"/>
        <w:jc w:val="both"/>
      </w:pPr>
      <w:r>
        <w:rPr>
          <w:rFonts w:ascii="Calibri" w:eastAsia="Microsoft YaHei"/>
          <w:color w:val="1F2937"/>
          <w:sz w:val="22"/>
          <w:szCs w:val="22"/>
        </w:rPr>
        <w:t xml:space="preserve">The variance review screen is where the pharmacist decides whether to apply the count. For a 500-product pharmacy with 80 variances, the current flat list is unworkable — the pharmacist scrolls for minutes looking for the one product they care about. Worse, when stock is short, the system records that there WAS a variance but not WHY, leaving the audit trail incomplete for the regulator who asks 'why is 30 strips of Napa missing?'</w:t>
      </w:r>
    </w:p>
    <w:p>
      <w:pPr>
        <w:pStyle w:val="Heading2"/>
        <w:spacing w:after="140" w:before="280" w:line="312"/>
      </w:pPr>
      <w:bookmarkStart w:id="100016" w:name="_Toc100016"/>
      <w:r>
        <w:rPr>
          <w:rFonts w:ascii="Calibri" w:eastAsia="Microsoft YaHei"/>
          <w:b/>
          <w:bCs/>
          <w:color w:val="064E3B"/>
          <w:sz w:val="28"/>
          <w:szCs w:val="28"/>
        </w:rPr>
        <w:t xml:space="preserve">4.2 Scope</w:t>
      </w:r>
      <w:bookmarkEnd w:id="100016"/>
    </w:p>
    <w:p>
      <w:pPr>
        <w:pBdr>
          <w:left w:val="single" w:color="10B981" w:sz="24" w:space="12"/>
        </w:pBdr>
        <w:spacing w:after="80" w:before="160" w:line="312"/>
        <w:ind w:left="240"/>
      </w:pPr>
      <w:r>
        <w:rPr>
          <w:rFonts w:ascii="Calibri"/>
          <w:b/>
          <w:bCs/>
          <w:color w:val="10B981"/>
          <w:spacing w:val="30"/>
          <w:sz w:val="16"/>
          <w:szCs w:val="16"/>
        </w:rPr>
        <w:t xml:space="preserve">FEATURE 2.1</w:t>
      </w:r>
      <w:r>
        <w:rPr>
          <w:color w:val="6B7280"/>
          <w:sz w:val="18"/>
          <w:szCs w:val="18"/>
        </w:rPr>
        <w:t xml:space="preserve">  —  </w:t>
      </w:r>
      <w:r>
        <w:rPr>
          <w:rFonts w:ascii="Calibri"/>
          <w:b/>
          <w:bCs/>
          <w:color w:val="064E3B"/>
          <w:sz w:val="22"/>
          <w:szCs w:val="22"/>
        </w:rPr>
        <w:t xml:space="preserve">Search + filter on variance review screen</w:t>
      </w:r>
    </w:p>
    <w:p>
      <w:pPr>
        <w:spacing w:after="120" w:before="0" w:line="312"/>
        <w:ind w:firstLine="0"/>
        <w:jc w:val="both"/>
      </w:pPr>
      <w:r>
        <w:rPr>
          <w:rFonts w:ascii="Calibri" w:eastAsia="Microsoft YaHei"/>
          <w:color w:val="1F2937"/>
          <w:sz w:val="22"/>
          <w:szCs w:val="22"/>
        </w:rPr>
        <w:t xml:space="preserve">Add a search input (filter by product name or generic name) and three filter chips: 'Mismatches only' (default), 'Not counted only', 'Matched only'. The list re-renders live as the user types or toggles chips. The three stat cards (Matched / Mismatch / Not counted) at the top become tappable to act as quick filters.</w:t>
      </w:r>
    </w:p>
    <w:p>
      <w:pPr>
        <w:pBdr>
          <w:left w:val="single" w:color="F59E0B" w:sz="24" w:space="12"/>
        </w:pBdr>
        <w:spacing w:after="80" w:before="160" w:line="312"/>
        <w:ind w:left="240"/>
      </w:pPr>
      <w:r>
        <w:rPr>
          <w:rFonts w:ascii="Calibri"/>
          <w:b/>
          <w:bCs/>
          <w:color w:val="F59E0B"/>
          <w:spacing w:val="30"/>
          <w:sz w:val="16"/>
          <w:szCs w:val="16"/>
        </w:rPr>
        <w:t xml:space="preserve">FEATURE 2.2</w:t>
      </w:r>
      <w:r>
        <w:rPr>
          <w:color w:val="6B7280"/>
          <w:sz w:val="18"/>
          <w:szCs w:val="18"/>
        </w:rPr>
        <w:t xml:space="preserve">  —  </w:t>
      </w:r>
      <w:r>
        <w:rPr>
          <w:rFonts w:ascii="Calibri"/>
          <w:b/>
          <w:bCs/>
          <w:color w:val="064E3B"/>
          <w:sz w:val="22"/>
          <w:szCs w:val="22"/>
        </w:rPr>
        <w:t xml:space="preserve">Reason-for-variance capture</w:t>
      </w:r>
    </w:p>
    <w:p>
      <w:pPr>
        <w:spacing w:after="120" w:before="0" w:line="312"/>
        <w:ind w:firstLine="0"/>
        <w:jc w:val="both"/>
      </w:pPr>
      <w:r>
        <w:rPr>
          <w:rFonts w:ascii="Calibri" w:eastAsia="Microsoft YaHei"/>
          <w:color w:val="1F2937"/>
          <w:sz w:val="22"/>
          <w:szCs w:val="22"/>
        </w:rPr>
        <w:t xml:space="preserve">Each variance row gets a 'Record reason' button that opens a small dialog with five preset reasons (Theft/suspected theft, Damage/spoilage, Data entry error, Expired/disposed without record, Other) plus an optional free-text note. The reason is stored on the StockCountProductSummary model in a new varianceReason field and surfaced in the variance list and in the exported report (P4).</w:t>
      </w:r>
    </w:p>
    <w:p>
      <w:pPr>
        <w:pStyle w:val="Heading2"/>
        <w:spacing w:after="140" w:before="280" w:line="312"/>
      </w:pPr>
      <w:bookmarkStart w:id="100017" w:name="_Toc100017"/>
      <w:r>
        <w:rPr>
          <w:rFonts w:ascii="Calibri" w:eastAsia="Microsoft YaHei"/>
          <w:b/>
          <w:bCs/>
          <w:color w:val="064E3B"/>
          <w:sz w:val="28"/>
          <w:szCs w:val="28"/>
        </w:rPr>
        <w:t xml:space="preserve">4.3 Schema changes</w:t>
      </w:r>
      <w:bookmarkEnd w:id="100017"/>
    </w:p>
    <w:p>
      <w:pPr>
        <w:keepNext/>
        <w:spacing w:after="100" w:before="200"/>
        <w:jc w:val="left"/>
      </w:pPr>
      <w:r>
        <w:rPr>
          <w:rFonts w:ascii="Calibri" w:eastAsia="Microsoft YaHei"/>
          <w:b/>
          <w:bCs/>
          <w:color w:val="064E3B"/>
          <w:sz w:val="21"/>
          <w:szCs w:val="21"/>
        </w:rPr>
        <w:t xml:space="preserve">Table 4: P2 Prisma schema additions</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tblGrid>
      <w:tr>
        <w:trPr>
          <w:cantSplit/>
          <w:tblHeader/>
        </w:trPr>
        <w:tc>
          <w:tcPr>
            <w:tcW w:type="pct" w:w="3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Model</w:t>
            </w:r>
          </w:p>
        </w:tc>
        <w:tc>
          <w:tcPr>
            <w:tcW w:type="pct" w:w="2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New field</w:t>
            </w:r>
          </w:p>
        </w:tc>
        <w:tc>
          <w:tcPr>
            <w:tcW w:type="pct" w:w="1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Type</w:t>
            </w:r>
          </w:p>
        </w:tc>
        <w:tc>
          <w:tcPr>
            <w:tcW w:type="pct" w:w="2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Notes</w:t>
            </w:r>
          </w:p>
        </w:tc>
      </w:tr>
      <w:tr>
        <w:trPr>
          <w:cantSplit/>
        </w:trPr>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StockCountProductSummary</w:t>
            </w:r>
          </w:p>
        </w:tc>
        <w:tc>
          <w:tcPr>
            <w:tcW w:type="pct" w:w="2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varianceReason</w:t>
            </w:r>
          </w:p>
        </w:tc>
        <w:tc>
          <w:tcPr>
            <w:tcW w:type="pct" w:w="1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2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Enum-ish: theft | damage | data_error | expired | other</w:t>
            </w:r>
          </w:p>
        </w:tc>
      </w:tr>
      <w:tr>
        <w:trPr>
          <w:cantSplit/>
        </w:trPr>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StockCountProductSummary</w:t>
            </w:r>
          </w:p>
        </w:tc>
        <w:tc>
          <w:tcPr>
            <w:tcW w:type="pct" w:w="2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varianceNote</w:t>
            </w:r>
          </w:p>
        </w:tc>
        <w:tc>
          <w:tcPr>
            <w:tcW w:type="pct" w:w="1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2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Optional free-text up to 500 chars</w:t>
            </w:r>
          </w:p>
        </w:tc>
      </w:tr>
    </w:tbl>
    <w:p>
      <w:pPr>
        <w:spacing w:after="160" w:before="0" w:line="240"/>
      </w:pPr>
      <w:r>
        <w:t xml:space="preserve"/>
      </w:r>
    </w:p>
    <w:p>
      <w:pPr>
        <w:spacing w:after="120" w:before="0" w:line="312"/>
        <w:ind w:firstLine="0"/>
        <w:jc w:val="both"/>
      </w:pPr>
      <w:r>
        <w:rPr>
          <w:rFonts w:ascii="Calibri" w:eastAsia="Microsoft YaHei"/>
          <w:color w:val="1F2937"/>
          <w:sz w:val="22"/>
          <w:szCs w:val="22"/>
        </w:rPr>
        <w:t xml:space="preserve">Migration: run npx prisma db push after editing schema.prisma. Both fields are nullable so existing rows are unaffected. No data backfill required.</w:t>
      </w:r>
    </w:p>
    <w:p>
      <w:pPr>
        <w:pStyle w:val="Heading2"/>
        <w:spacing w:after="140" w:before="280" w:line="312"/>
      </w:pPr>
      <w:bookmarkStart w:id="100018" w:name="_Toc100018"/>
      <w:r>
        <w:rPr>
          <w:rFonts w:ascii="Calibri" w:eastAsia="Microsoft YaHei"/>
          <w:b/>
          <w:bCs/>
          <w:color w:val="064E3B"/>
          <w:sz w:val="28"/>
          <w:szCs w:val="28"/>
        </w:rPr>
        <w:t xml:space="preserve">4.4 API changes</w:t>
      </w:r>
      <w:bookmarkEnd w:id="100018"/>
    </w:p>
    <w:p>
      <w:pPr>
        <w:keepNext/>
        <w:spacing w:after="100" w:before="200"/>
        <w:jc w:val="left"/>
      </w:pPr>
      <w:r>
        <w:rPr>
          <w:rFonts w:ascii="Calibri" w:eastAsia="Microsoft YaHei"/>
          <w:b/>
          <w:bCs/>
          <w:color w:val="064E3B"/>
          <w:sz w:val="21"/>
          <w:szCs w:val="21"/>
        </w:rPr>
        <w:t xml:space="preserve">Table 5: P2 API changes</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tblGrid>
      <w:tr>
        <w:trPr>
          <w:cantSplit/>
          <w:tblHeader/>
        </w:trPr>
        <w:tc>
          <w:tcPr>
            <w:tcW w:type="pct" w:w="4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Route</w:t>
            </w:r>
          </w:p>
        </w:tc>
        <w:tc>
          <w:tcPr>
            <w:tcW w:type="pct" w:w="3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Change</w:t>
            </w:r>
          </w:p>
        </w:tc>
        <w:tc>
          <w:tcPr>
            <w:tcW w:type="pct" w:w="2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Reason</w:t>
            </w:r>
          </w:p>
        </w:tc>
      </w:tr>
      <w:tr>
        <w:trPr>
          <w:cantSplit/>
        </w:trPr>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GET /stock-count-day/[scdId]</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Include varianceReason + varianceNote in summaries</w:t>
            </w:r>
          </w:p>
        </w:tc>
        <w:tc>
          <w:tcPr>
            <w:tcW w:type="pct" w:w="2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Variance list shows reason badges</w:t>
            </w:r>
          </w:p>
        </w:tc>
      </w:tr>
      <w:tr>
        <w:trPr>
          <w:cantSplit/>
        </w:trPr>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PATCH /stock-count-day/[scdId]</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Accept action: 'setReason' with { productId, reason, note }</w:t>
            </w:r>
          </w:p>
        </w:tc>
        <w:tc>
          <w:tcPr>
            <w:tcW w:type="pct" w:w="2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Dialog saves reason without full re-apply</w:t>
            </w:r>
          </w:p>
        </w:tc>
      </w:tr>
    </w:tbl>
    <w:p>
      <w:pPr>
        <w:spacing w:after="160" w:before="0" w:line="240"/>
      </w:pPr>
      <w:r>
        <w:t xml:space="preserve"/>
      </w:r>
    </w:p>
    <w:p>
      <w:pPr>
        <w:pStyle w:val="Heading2"/>
        <w:spacing w:after="140" w:before="280" w:line="312"/>
      </w:pPr>
      <w:bookmarkStart w:id="100019" w:name="_Toc100019"/>
      <w:r>
        <w:rPr>
          <w:rFonts w:ascii="Calibri" w:eastAsia="Microsoft YaHei"/>
          <w:b/>
          <w:bCs/>
          <w:color w:val="064E3B"/>
          <w:sz w:val="28"/>
          <w:szCs w:val="28"/>
        </w:rPr>
        <w:t xml:space="preserve">4.5 UI changes</w:t>
      </w:r>
      <w:bookmarkEnd w:id="100019"/>
    </w:p>
    <w:p>
      <w:pPr>
        <w:pStyle w:val="ListParagraph"/>
        <w:numPr>
          <w:ilvl w:val="0"/>
          <w:numId w:val="1"/>
        </w:numPr>
        <w:spacing w:after="80" w:line="312"/>
      </w:pPr>
      <w:r>
        <w:rPr>
          <w:rFonts w:ascii="Calibri" w:eastAsia="Microsoft YaHei"/>
          <w:color w:val="1F2937"/>
          <w:sz w:val="22"/>
          <w:szCs w:val="22"/>
        </w:rPr>
        <w:t xml:space="preserve">Modify: StockCountDayHub.tsx variance-review screen — add search input + filter chips + tappable stat cards</w:t>
      </w:r>
    </w:p>
    <w:p>
      <w:pPr>
        <w:pStyle w:val="ListParagraph"/>
        <w:numPr>
          <w:ilvl w:val="0"/>
          <w:numId w:val="1"/>
        </w:numPr>
        <w:spacing w:after="80" w:line="312"/>
      </w:pPr>
      <w:r>
        <w:rPr>
          <w:rFonts w:ascii="Calibri" w:eastAsia="Microsoft YaHei"/>
          <w:color w:val="1F2937"/>
          <w:sz w:val="22"/>
          <w:szCs w:val="22"/>
        </w:rPr>
        <w:t xml:space="preserve">New file: src/modules/pharmacy/components/scd/VarianceReasonDialog.tsx (~120 lines)</w:t>
      </w:r>
    </w:p>
    <w:p>
      <w:pPr>
        <w:pStyle w:val="ListParagraph"/>
        <w:numPr>
          <w:ilvl w:val="0"/>
          <w:numId w:val="1"/>
        </w:numPr>
        <w:spacing w:after="80" w:line="312"/>
      </w:pPr>
      <w:r>
        <w:rPr>
          <w:rFonts w:ascii="Calibri" w:eastAsia="Microsoft YaHei"/>
          <w:color w:val="1F2937"/>
          <w:sz w:val="22"/>
          <w:szCs w:val="22"/>
        </w:rPr>
        <w:t xml:space="preserve">Modify: variance list rows — show reason badge if set, 'Record reason' button if not</w:t>
      </w:r>
    </w:p>
    <w:p>
      <w:pPr>
        <w:pStyle w:val="Heading2"/>
        <w:spacing w:after="140" w:before="280" w:line="312"/>
      </w:pPr>
      <w:bookmarkStart w:id="100020" w:name="_Toc100020"/>
      <w:r>
        <w:rPr>
          <w:rFonts w:ascii="Calibri" w:eastAsia="Microsoft YaHei"/>
          <w:b/>
          <w:bCs/>
          <w:color w:val="064E3B"/>
          <w:sz w:val="28"/>
          <w:szCs w:val="28"/>
        </w:rPr>
        <w:t xml:space="preserve">4.6 Acceptance criteria</w:t>
      </w:r>
      <w:bookmarkEnd w:id="100020"/>
    </w:p>
    <w:p>
      <w:pPr>
        <w:spacing w:after="80" w:before="0" w:line="312"/>
        <w:ind w:left="360" w:hanging="240"/>
      </w:pPr>
      <w:r>
        <w:rPr>
          <w:b/>
          <w:bCs/>
          <w:color w:val="10B981"/>
          <w:sz w:val="22"/>
          <w:szCs w:val="22"/>
        </w:rPr>
        <w:t xml:space="preserve">☐  </w:t>
      </w:r>
      <w:r>
        <w:rPr>
          <w:rFonts w:ascii="Calibri"/>
          <w:color w:val="1F2937"/>
          <w:sz w:val="22"/>
          <w:szCs w:val="22"/>
        </w:rPr>
        <w:t xml:space="preserve">Search input filters variance list by product name (case-insensitive, debounced 200ms)</w:t>
      </w:r>
    </w:p>
    <w:p>
      <w:pPr>
        <w:spacing w:after="80" w:before="0" w:line="312"/>
        <w:ind w:left="360" w:hanging="240"/>
      </w:pPr>
      <w:r>
        <w:rPr>
          <w:b/>
          <w:bCs/>
          <w:color w:val="10B981"/>
          <w:sz w:val="22"/>
          <w:szCs w:val="22"/>
        </w:rPr>
        <w:t xml:space="preserve">☐  </w:t>
      </w:r>
      <w:r>
        <w:rPr>
          <w:rFonts w:ascii="Calibri"/>
          <w:color w:val="1F2937"/>
          <w:sz w:val="22"/>
          <w:szCs w:val="22"/>
        </w:rPr>
        <w:t xml:space="preserve">Three filter chips (Mismatch / Not counted / Matched) toggle correctly and combine with search</w:t>
      </w:r>
    </w:p>
    <w:p>
      <w:pPr>
        <w:spacing w:after="80" w:before="0" w:line="312"/>
        <w:ind w:left="360" w:hanging="240"/>
      </w:pPr>
      <w:r>
        <w:rPr>
          <w:b/>
          <w:bCs/>
          <w:color w:val="10B981"/>
          <w:sz w:val="22"/>
          <w:szCs w:val="22"/>
        </w:rPr>
        <w:t xml:space="preserve">☐  </w:t>
      </w:r>
      <w:r>
        <w:rPr>
          <w:rFonts w:ascii="Calibri"/>
          <w:color w:val="1F2937"/>
          <w:sz w:val="22"/>
          <w:szCs w:val="22"/>
        </w:rPr>
        <w:t xml:space="preserve">Tapping a stat card applies the corresponding filter chip</w:t>
      </w:r>
    </w:p>
    <w:p>
      <w:pPr>
        <w:spacing w:after="80" w:before="0" w:line="312"/>
        <w:ind w:left="360" w:hanging="240"/>
      </w:pPr>
      <w:r>
        <w:rPr>
          <w:b/>
          <w:bCs/>
          <w:color w:val="10B981"/>
          <w:sz w:val="22"/>
          <w:szCs w:val="22"/>
        </w:rPr>
        <w:t xml:space="preserve">☐  </w:t>
      </w:r>
      <w:r>
        <w:rPr>
          <w:rFonts w:ascii="Calibri"/>
          <w:color w:val="1F2937"/>
          <w:sz w:val="22"/>
          <w:szCs w:val="22"/>
        </w:rPr>
        <w:t xml:space="preserve">'Record reason' dialog shows 5 preset reasons + optional note field</w:t>
      </w:r>
    </w:p>
    <w:p>
      <w:pPr>
        <w:spacing w:after="80" w:before="0" w:line="312"/>
        <w:ind w:left="360" w:hanging="240"/>
      </w:pPr>
      <w:r>
        <w:rPr>
          <w:b/>
          <w:bCs/>
          <w:color w:val="10B981"/>
          <w:sz w:val="22"/>
          <w:szCs w:val="22"/>
        </w:rPr>
        <w:t xml:space="preserve">☐  </w:t>
      </w:r>
      <w:r>
        <w:rPr>
          <w:rFonts w:ascii="Calibri"/>
          <w:color w:val="1F2937"/>
          <w:sz w:val="22"/>
          <w:szCs w:val="22"/>
        </w:rPr>
        <w:t xml:space="preserve">Saved reason appears as a colored badge on the variance row</w:t>
      </w:r>
    </w:p>
    <w:p>
      <w:pPr>
        <w:spacing w:after="80" w:before="0" w:line="312"/>
        <w:ind w:left="360" w:hanging="240"/>
      </w:pPr>
      <w:r>
        <w:rPr>
          <w:b/>
          <w:bCs/>
          <w:color w:val="10B981"/>
          <w:sz w:val="22"/>
          <w:szCs w:val="22"/>
        </w:rPr>
        <w:t xml:space="preserve">☐  </w:t>
      </w:r>
      <w:r>
        <w:rPr>
          <w:rFonts w:ascii="Calibri"/>
          <w:color w:val="1F2937"/>
          <w:sz w:val="22"/>
          <w:szCs w:val="22"/>
        </w:rPr>
        <w:t xml:space="preserve">Reason persists across page reloads (verified in DB)</w:t>
      </w:r>
    </w:p>
    <w:p>
      <w:pPr>
        <w:spacing w:after="80" w:before="0" w:line="312"/>
        <w:ind w:left="360" w:hanging="240"/>
      </w:pPr>
      <w:r>
        <w:rPr>
          <w:b/>
          <w:bCs/>
          <w:color w:val="10B981"/>
          <w:sz w:val="22"/>
          <w:szCs w:val="22"/>
        </w:rPr>
        <w:t xml:space="preserve">☐  </w:t>
      </w:r>
      <w:r>
        <w:rPr>
          <w:rFonts w:ascii="Calibri"/>
          <w:color w:val="1F2937"/>
          <w:sz w:val="22"/>
          <w:szCs w:val="22"/>
        </w:rPr>
        <w:t xml:space="preserve">Variance review still allows apply without setting reasons (reasons are optional but recommended)</w:t>
      </w:r>
    </w:p>
    <w:p>
      <w:r>
        <w:br w:type="page"/>
      </w:r>
    </w:p>
    <w:p>
      <w:pPr>
        <w:pStyle w:val="Heading1"/>
        <w:spacing w:after="200" w:before="360" w:line="312"/>
      </w:pPr>
      <w:bookmarkStart w:id="100021" w:name="_Toc100021"/>
      <w:r>
        <w:rPr>
          <w:rFonts w:ascii="Calibri" w:eastAsia="Microsoft YaHei"/>
          <w:b/>
          <w:bCs/>
          <w:color w:val="064E3B"/>
          <w:sz w:val="32"/>
          <w:szCs w:val="32"/>
        </w:rPr>
        <w:t xml:space="preserve">5. Phase 3 — Smart Zone Inheritance &amp; Counting-Time Assignment</w:t>
      </w:r>
      <w:bookmarkEnd w:id="100021"/>
    </w:p>
    <w:p>
      <w:pPr>
        <w:pStyle w:val="Heading2"/>
        <w:spacing w:after="140" w:before="280" w:line="312"/>
      </w:pPr>
      <w:bookmarkStart w:id="100022" w:name="_Toc100022"/>
      <w:r>
        <w:rPr>
          <w:rFonts w:ascii="Calibri" w:eastAsia="Microsoft YaHei"/>
          <w:b/>
          <w:bCs/>
          <w:color w:val="064E3B"/>
          <w:sz w:val="28"/>
          <w:szCs w:val="28"/>
        </w:rPr>
        <w:t xml:space="preserve">5.1 Rationale</w:t>
      </w:r>
      <w:bookmarkEnd w:id="100022"/>
    </w:p>
    <w:p>
      <w:pPr>
        <w:spacing w:after="120" w:before="0" w:line="312"/>
        <w:ind w:firstLine="0"/>
        <w:jc w:val="both"/>
      </w:pPr>
      <w:r>
        <w:rPr>
          <w:rFonts w:ascii="Calibri" w:eastAsia="Microsoft YaHei"/>
          <w:color w:val="1F2937"/>
          <w:sz w:val="22"/>
          <w:szCs w:val="22"/>
        </w:rPr>
        <w:t xml:space="preserve">This is the largest phase and the highest-impact one. It eliminates the single biggest adoption blocker: the upfront zone-assignment burden. The phase has three sub-features that work together: (a) inherit zone assignments from the previous SCD, (b) auto-assign products to a zone when they are counted in that zone during an SCD, and (c) add a manual 'add product from directory' button in the zone-count screen for products the shelf scanner missed.</w:t>
      </w:r>
    </w:p>
    <w:p>
      <w:pPr>
        <w:pStyle w:val="Heading2"/>
        <w:spacing w:after="140" w:before="280" w:line="312"/>
      </w:pPr>
      <w:bookmarkStart w:id="100023" w:name="_Toc100023"/>
      <w:r>
        <w:rPr>
          <w:rFonts w:ascii="Calibri" w:eastAsia="Microsoft YaHei"/>
          <w:b/>
          <w:bCs/>
          <w:color w:val="064E3B"/>
          <w:sz w:val="28"/>
          <w:szCs w:val="28"/>
        </w:rPr>
        <w:t xml:space="preserve">5.2 Scope</w:t>
      </w:r>
      <w:bookmarkEnd w:id="100023"/>
    </w:p>
    <w:p>
      <w:pPr>
        <w:pBdr>
          <w:left w:val="single" w:color="8B5CF6" w:sz="24" w:space="12"/>
        </w:pBdr>
        <w:spacing w:after="80" w:before="160" w:line="312"/>
        <w:ind w:left="240"/>
      </w:pPr>
      <w:r>
        <w:rPr>
          <w:rFonts w:ascii="Calibri"/>
          <w:b/>
          <w:bCs/>
          <w:color w:val="8B5CF6"/>
          <w:spacing w:val="30"/>
          <w:sz w:val="16"/>
          <w:szCs w:val="16"/>
        </w:rPr>
        <w:t xml:space="preserve">FEATURE 3.1</w:t>
      </w:r>
      <w:r>
        <w:rPr>
          <w:color w:val="6B7280"/>
          <w:sz w:val="18"/>
          <w:szCs w:val="18"/>
        </w:rPr>
        <w:t xml:space="preserve">  —  </w:t>
      </w:r>
      <w:r>
        <w:rPr>
          <w:rFonts w:ascii="Calibri"/>
          <w:b/>
          <w:bCs/>
          <w:color w:val="064E3B"/>
          <w:sz w:val="22"/>
          <w:szCs w:val="22"/>
        </w:rPr>
        <w:t xml:space="preserve">Zone inheritance from previous SCD</w:t>
      </w:r>
    </w:p>
    <w:p>
      <w:pPr>
        <w:spacing w:after="120" w:before="0" w:line="312"/>
        <w:ind w:firstLine="0"/>
        <w:jc w:val="both"/>
      </w:pPr>
      <w:r>
        <w:rPr>
          <w:rFonts w:ascii="Calibri" w:eastAsia="Microsoft YaHei"/>
          <w:color w:val="1F2937"/>
          <w:sz w:val="22"/>
          <w:szCs w:val="22"/>
        </w:rPr>
        <w:t xml:space="preserve">When a manager starts a new SCD, the system checks if the business has any previous SCD with status 'applied'. If yes, it copies the ProductZoneAssignment rows from the time of that SCD (using a new snapshot table — see schema) into the new SCD's zone sessions as pre-populated count lines. The manager sees a banner: 'Inherited N zone assignments from your last count on {date}. Adjust if needed.' and can add or remove assignments before starting.</w:t>
      </w:r>
    </w:p>
    <w:p>
      <w:pPr>
        <w:spacing w:after="120" w:before="0" w:line="312"/>
        <w:ind w:firstLine="0"/>
        <w:jc w:val="both"/>
      </w:pPr>
      <w:r>
        <w:rPr>
          <w:rFonts w:ascii="Calibri" w:eastAsia="Microsoft YaHei"/>
          <w:color w:val="1F2937"/>
          <w:sz w:val="22"/>
          <w:szCs w:val="22"/>
        </w:rPr>
        <w:t xml:space="preserve">Implementation: this is the trickiest part. ProductZoneAssignment is a live table that changes over time, but we need the assignments AS THEY WERE at the time of the previous SCD. Solution: snapshot assignments into a new ZoneAssignmentSnapshot table at SCD creation time. The new SCD reads from the most recent snapshot.</w:t>
      </w:r>
    </w:p>
    <w:p>
      <w:pPr>
        <w:pBdr>
          <w:left w:val="single" w:color="8B5CF6" w:sz="24" w:space="12"/>
        </w:pBdr>
        <w:spacing w:after="80" w:before="160" w:line="312"/>
        <w:ind w:left="240"/>
      </w:pPr>
      <w:r>
        <w:rPr>
          <w:rFonts w:ascii="Calibri"/>
          <w:b/>
          <w:bCs/>
          <w:color w:val="8B5CF6"/>
          <w:spacing w:val="30"/>
          <w:sz w:val="16"/>
          <w:szCs w:val="16"/>
        </w:rPr>
        <w:t xml:space="preserve">FEATURE 3.2</w:t>
      </w:r>
      <w:r>
        <w:rPr>
          <w:color w:val="6B7280"/>
          <w:sz w:val="18"/>
          <w:szCs w:val="18"/>
        </w:rPr>
        <w:t xml:space="preserve">  —  </w:t>
      </w:r>
      <w:r>
        <w:rPr>
          <w:rFonts w:ascii="Calibri"/>
          <w:b/>
          <w:bCs/>
          <w:color w:val="064E3B"/>
          <w:sz w:val="22"/>
          <w:szCs w:val="22"/>
        </w:rPr>
        <w:t xml:space="preserve">Scan-to-assign: counting a product auto-assigns it to that zone</w:t>
      </w:r>
    </w:p>
    <w:p>
      <w:pPr>
        <w:spacing w:after="120" w:before="0" w:line="312"/>
        <w:ind w:firstLine="0"/>
        <w:jc w:val="both"/>
      </w:pPr>
      <w:r>
        <w:rPr>
          <w:rFonts w:ascii="Calibri" w:eastAsia="Microsoft YaHei"/>
          <w:color w:val="1F2937"/>
          <w:sz w:val="22"/>
          <w:szCs w:val="22"/>
        </w:rPr>
        <w:t xml:space="preserve">During zone counting, every time a counter saves a countedQty for a product in a zone, the system upserts a ProductZoneAssignment row for that product+zone if one doesn't already exist. This means: first-time pharmacies don't need to pre-assign anything — they just count what they see, and the system learns the zone layout. By the end of the first SCD, every counted product is assigned to the zone where it was found, so the second SCD inherits a complete assignment map.</w:t>
      </w:r>
    </w:p>
    <w:p>
      <w:pPr>
        <w:spacing w:after="120" w:before="0" w:line="312"/>
        <w:ind w:firstLine="0"/>
        <w:jc w:val="both"/>
      </w:pPr>
      <w:r>
        <w:rPr>
          <w:rFonts w:ascii="Calibri" w:eastAsia="Microsoft YaHei"/>
          <w:color w:val="1F2937"/>
          <w:sz w:val="22"/>
          <w:szCs w:val="22"/>
        </w:rPr>
        <w:t xml:space="preserve">This feature is what makes the founder's proposal work: the first SCD is the 'setup' SCD (count what you see), and every subsequent SCD benefits from the inherited map. The ZoneBulkAssign component becomes an optional power-user tool instead of a mandatory first step.</w:t>
      </w:r>
    </w:p>
    <w:p>
      <w:pPr>
        <w:pBdr>
          <w:left w:val="single" w:color="F59E0B" w:sz="24" w:space="12"/>
        </w:pBdr>
        <w:spacing w:after="80" w:before="160" w:line="312"/>
        <w:ind w:left="240"/>
      </w:pPr>
      <w:r>
        <w:rPr>
          <w:rFonts w:ascii="Calibri"/>
          <w:b/>
          <w:bCs/>
          <w:color w:val="F59E0B"/>
          <w:spacing w:val="30"/>
          <w:sz w:val="16"/>
          <w:szCs w:val="16"/>
        </w:rPr>
        <w:t xml:space="preserve">FEATURE 3.3</w:t>
      </w:r>
      <w:r>
        <w:rPr>
          <w:color w:val="6B7280"/>
          <w:sz w:val="18"/>
          <w:szCs w:val="18"/>
        </w:rPr>
        <w:t xml:space="preserve">  —  </w:t>
      </w:r>
      <w:r>
        <w:rPr>
          <w:rFonts w:ascii="Calibri"/>
          <w:b/>
          <w:bCs/>
          <w:color w:val="064E3B"/>
          <w:sz w:val="22"/>
          <w:szCs w:val="22"/>
        </w:rPr>
        <w:t xml:space="preserve">Manual 'add product from directory' button in zone-count screen</w:t>
      </w:r>
    </w:p>
    <w:p>
      <w:pPr>
        <w:spacing w:after="120" w:before="0" w:line="312"/>
        <w:ind w:firstLine="0"/>
        <w:jc w:val="both"/>
      </w:pPr>
      <w:r>
        <w:rPr>
          <w:rFonts w:ascii="Calibri" w:eastAsia="Microsoft YaHei"/>
          <w:color w:val="1F2937"/>
          <w:sz w:val="22"/>
          <w:szCs w:val="22"/>
        </w:rPr>
        <w:t xml:space="preserve">Beside the existing 'Photo scan this shelf' button, add a second button 'Add product manually'. Tapping it opens a searchable product directory (reuses the CatalogPicker pattern). The counter searches by name or generic, picks a product, and it gets added to the zone's count lines with countedQty = 0 (counter then enters the qty). If the product doesn't exist in the directory, the counter can tap 'Add new product' which opens a lightweight product-create form (name + generic + unit, all other fields optional).</w:t>
      </w:r>
    </w:p>
    <w:p>
      <w:pPr>
        <w:spacing w:after="120" w:before="0" w:line="312"/>
        <w:ind w:firstLine="0"/>
        <w:jc w:val="both"/>
      </w:pPr>
      <w:r>
        <w:rPr>
          <w:rFonts w:ascii="Calibri" w:eastAsia="Microsoft YaHei"/>
          <w:color w:val="1F2937"/>
          <w:sz w:val="22"/>
          <w:szCs w:val="22"/>
        </w:rPr>
        <w:t xml:space="preserve">This handles the edge case where the shelf scanner missed a product (poor lighting, obscured label) and the counter doesn't want to take another photo — they just search and tap.</w:t>
      </w:r>
    </w:p>
    <w:p>
      <w:pPr>
        <w:pStyle w:val="Heading2"/>
        <w:spacing w:after="140" w:before="280" w:line="312"/>
      </w:pPr>
      <w:bookmarkStart w:id="100024" w:name="_Toc100024"/>
      <w:r>
        <w:rPr>
          <w:rFonts w:ascii="Calibri" w:eastAsia="Microsoft YaHei"/>
          <w:b/>
          <w:bCs/>
          <w:color w:val="064E3B"/>
          <w:sz w:val="28"/>
          <w:szCs w:val="28"/>
        </w:rPr>
        <w:t xml:space="preserve">5.3 Schema changes</w:t>
      </w:r>
      <w:bookmarkEnd w:id="100024"/>
    </w:p>
    <w:p>
      <w:pPr>
        <w:keepNext/>
        <w:spacing w:after="100" w:before="200"/>
        <w:jc w:val="left"/>
      </w:pPr>
      <w:r>
        <w:rPr>
          <w:rFonts w:ascii="Calibri" w:eastAsia="Microsoft YaHei"/>
          <w:b/>
          <w:bCs/>
          <w:color w:val="064E3B"/>
          <w:sz w:val="21"/>
          <w:szCs w:val="21"/>
        </w:rPr>
        <w:t xml:space="preserve">Table 6: P3 Prisma schema additions</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tblGrid>
      <w:tr>
        <w:trPr>
          <w:cantSplit/>
          <w:tblHeader/>
        </w:trPr>
        <w:tc>
          <w:tcPr>
            <w:tcW w:type="pct" w:w="2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Model</w:t>
            </w:r>
          </w:p>
        </w:tc>
        <w:tc>
          <w:tcPr>
            <w:tcW w:type="pct" w:w="3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New field/relation</w:t>
            </w:r>
          </w:p>
        </w:tc>
        <w:tc>
          <w:tcPr>
            <w:tcW w:type="pct" w:w="2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Type</w:t>
            </w:r>
          </w:p>
        </w:tc>
        <w:tc>
          <w:tcPr>
            <w:tcW w:type="pct" w:w="2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Notes</w:t>
            </w:r>
          </w:p>
        </w:tc>
      </w:tr>
      <w:tr>
        <w:trPr>
          <w:cantSplit/>
        </w:trPr>
        <w:tc>
          <w:tcPr>
            <w:tcW w:type="pct" w:w="2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ZoneAssignmentSnapshot (NEW)</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id, scdId, businessId, productId, zoneId, createdAt</w:t>
            </w:r>
          </w:p>
        </w:tc>
        <w:tc>
          <w:tcPr>
            <w:tcW w:type="pct" w:w="2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Snapshot of assignments at SCD creation time</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Enables inheritance from past SCDs</w:t>
            </w:r>
          </w:p>
        </w:tc>
      </w:tr>
      <w:tr>
        <w:trPr>
          <w:cantSplit/>
        </w:trPr>
        <w:tc>
          <w:tcPr>
            <w:tcW w:type="pct" w:w="2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StockCountLine</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autoAssigned</w:t>
            </w:r>
          </w:p>
        </w:tc>
        <w:tc>
          <w:tcPr>
            <w:tcW w:type="pct" w:w="2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Boolean @default(false)</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True if assignment was created by scan-to-assign</w:t>
            </w:r>
          </w:p>
        </w:tc>
      </w:tr>
      <w:tr>
        <w:trPr>
          <w:cantSplit/>
        </w:trPr>
        <w:tc>
          <w:tcPr>
            <w:tcW w:type="pct" w:w="2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ProductZoneAssignment</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 new fields)</w:t>
            </w:r>
          </w:p>
        </w:tc>
        <w:tc>
          <w:tcPr>
            <w:tcW w:type="pct" w:w="2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Existing table; upserted during count</w:t>
            </w:r>
          </w:p>
        </w:tc>
      </w:tr>
    </w:tbl>
    <w:p>
      <w:pPr>
        <w:spacing w:after="160" w:before="0" w:line="240"/>
      </w:pPr>
      <w:r>
        <w:t xml:space="preserve"/>
      </w:r>
    </w:p>
    <w:p>
      <w:pPr>
        <w:pStyle w:val="Heading2"/>
        <w:spacing w:after="140" w:before="280" w:line="312"/>
      </w:pPr>
      <w:bookmarkStart w:id="100025" w:name="_Toc100025"/>
      <w:r>
        <w:rPr>
          <w:rFonts w:ascii="Calibri" w:eastAsia="Microsoft YaHei"/>
          <w:b/>
          <w:bCs/>
          <w:color w:val="064E3B"/>
          <w:sz w:val="28"/>
          <w:szCs w:val="28"/>
        </w:rPr>
        <w:t xml:space="preserve">5.4 API changes</w:t>
      </w:r>
      <w:bookmarkEnd w:id="100025"/>
    </w:p>
    <w:p>
      <w:pPr>
        <w:keepNext/>
        <w:spacing w:after="100" w:before="200"/>
        <w:jc w:val="left"/>
      </w:pPr>
      <w:r>
        <w:rPr>
          <w:rFonts w:ascii="Calibri" w:eastAsia="Microsoft YaHei"/>
          <w:b/>
          <w:bCs/>
          <w:color w:val="064E3B"/>
          <w:sz w:val="21"/>
          <w:szCs w:val="21"/>
        </w:rPr>
        <w:t xml:space="preserve">Table 7: P3 API changes</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tblGrid>
      <w:tr>
        <w:trPr>
          <w:cantSplit/>
          <w:tblHeader/>
        </w:trPr>
        <w:tc>
          <w:tcPr>
            <w:tcW w:type="pct" w:w="3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Route</w:t>
            </w:r>
          </w:p>
        </w:tc>
        <w:tc>
          <w:tcPr>
            <w:tcW w:type="pct" w:w="4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Change</w:t>
            </w:r>
          </w:p>
        </w:tc>
        <w:tc>
          <w:tcPr>
            <w:tcW w:type="pct" w:w="2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Reason</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POST /stock-count-day</w:t>
            </w:r>
          </w:p>
        </w:tc>
        <w:tc>
          <w:tcPr>
            <w:tcW w:type="pct" w:w="4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Snapshot current ProductZoneAssignment rows into ZoneAssignmentSnapshot; if previous SCD exists, copy its snapshot into new SCD's zone sessions as pre-populated lines</w:t>
            </w:r>
          </w:p>
        </w:tc>
        <w:tc>
          <w:tcPr>
            <w:tcW w:type="pct" w:w="2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Inheritance</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PATCH /zones/[zoneSessionId] action=count</w:t>
            </w:r>
          </w:p>
        </w:tc>
        <w:tc>
          <w:tcPr>
            <w:tcW w:type="pct" w:w="4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After saving countedQty, upsert ProductZoneAssignment(productId, zoneId) and set line.autoAssigned=true if newly created</w:t>
            </w:r>
          </w:p>
        </w:tc>
        <w:tc>
          <w:tcPr>
            <w:tcW w:type="pct" w:w="2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Scan-to-assign</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POST /zones/[zoneSessionId]/add-line</w:t>
            </w:r>
          </w:p>
        </w:tc>
        <w:tc>
          <w:tcPr>
            <w:tcW w:type="pct" w:w="4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New endpoint: accepts productId, adds line to zone session with countedQty=0</w:t>
            </w:r>
          </w:p>
        </w:tc>
        <w:tc>
          <w:tcPr>
            <w:tcW w:type="pct" w:w="2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Manual add from directory</w:t>
            </w:r>
          </w:p>
        </w:tc>
      </w:tr>
    </w:tbl>
    <w:p>
      <w:pPr>
        <w:spacing w:after="160" w:before="0" w:line="240"/>
      </w:pPr>
      <w:r>
        <w:t xml:space="preserve"/>
      </w:r>
    </w:p>
    <w:p>
      <w:pPr>
        <w:pStyle w:val="Heading2"/>
        <w:spacing w:after="140" w:before="280" w:line="312"/>
      </w:pPr>
      <w:bookmarkStart w:id="100026" w:name="_Toc100026"/>
      <w:r>
        <w:rPr>
          <w:rFonts w:ascii="Calibri" w:eastAsia="Microsoft YaHei"/>
          <w:b/>
          <w:bCs/>
          <w:color w:val="064E3B"/>
          <w:sz w:val="28"/>
          <w:szCs w:val="28"/>
        </w:rPr>
        <w:t xml:space="preserve">5.5 UI changes</w:t>
      </w:r>
      <w:bookmarkEnd w:id="100026"/>
    </w:p>
    <w:p>
      <w:pPr>
        <w:pStyle w:val="ListParagraph"/>
        <w:numPr>
          <w:ilvl w:val="0"/>
          <w:numId w:val="1"/>
        </w:numPr>
        <w:spacing w:after="80" w:line="312"/>
      </w:pPr>
      <w:r>
        <w:rPr>
          <w:rFonts w:ascii="Calibri" w:eastAsia="Microsoft YaHei"/>
          <w:color w:val="1F2937"/>
          <w:sz w:val="22"/>
          <w:szCs w:val="22"/>
        </w:rPr>
        <w:t xml:space="preserve">Modify: StockCountDayHub.tsx start-scd screen — show 'Inherited N assignments' banner when applicable</w:t>
      </w:r>
    </w:p>
    <w:p>
      <w:pPr>
        <w:pStyle w:val="ListParagraph"/>
        <w:numPr>
          <w:ilvl w:val="0"/>
          <w:numId w:val="1"/>
        </w:numPr>
        <w:spacing w:after="80" w:line="312"/>
      </w:pPr>
      <w:r>
        <w:rPr>
          <w:rFonts w:ascii="Calibri" w:eastAsia="Microsoft YaHei"/>
          <w:color w:val="1F2937"/>
          <w:sz w:val="22"/>
          <w:szCs w:val="22"/>
        </w:rPr>
        <w:t xml:space="preserve">Modify: zone-count screen — add 'Add product manually' button beside 'Photo scan this shelf'</w:t>
      </w:r>
    </w:p>
    <w:p>
      <w:pPr>
        <w:pStyle w:val="ListParagraph"/>
        <w:numPr>
          <w:ilvl w:val="0"/>
          <w:numId w:val="1"/>
        </w:numPr>
        <w:spacing w:after="80" w:line="312"/>
      </w:pPr>
      <w:r>
        <w:rPr>
          <w:rFonts w:ascii="Calibri" w:eastAsia="Microsoft YaHei"/>
          <w:color w:val="1F2937"/>
          <w:sz w:val="22"/>
          <w:szCs w:val="22"/>
        </w:rPr>
        <w:t xml:space="preserve">New file: src/modules/pharmacy/components/scd/ZoneAddProductDialog.tsx (~150 lines) — searchable directory + 'add new product' shortcut</w:t>
      </w:r>
    </w:p>
    <w:p>
      <w:pPr>
        <w:pStyle w:val="ListParagraph"/>
        <w:numPr>
          <w:ilvl w:val="0"/>
          <w:numId w:val="1"/>
        </w:numPr>
        <w:spacing w:after="80" w:line="312"/>
      </w:pPr>
      <w:r>
        <w:rPr>
          <w:rFonts w:ascii="Calibri" w:eastAsia="Microsoft YaHei"/>
          <w:color w:val="1F2937"/>
          <w:sz w:val="22"/>
          <w:szCs w:val="22"/>
        </w:rPr>
        <w:t xml:space="preserve">Modify: ZoneBulkAssign.tsx — add note 'Optional — most pharmacies let the system learn from counting'</w:t>
      </w:r>
    </w:p>
    <w:p>
      <w:pPr>
        <w:pStyle w:val="Heading2"/>
        <w:spacing w:after="140" w:before="280" w:line="312"/>
      </w:pPr>
      <w:bookmarkStart w:id="100027" w:name="_Toc100027"/>
      <w:r>
        <w:rPr>
          <w:rFonts w:ascii="Calibri" w:eastAsia="Microsoft YaHei"/>
          <w:b/>
          <w:bCs/>
          <w:color w:val="064E3B"/>
          <w:sz w:val="28"/>
          <w:szCs w:val="28"/>
        </w:rPr>
        <w:t xml:space="preserve">5.6 Acceptance criteria</w:t>
      </w:r>
      <w:bookmarkEnd w:id="100027"/>
    </w:p>
    <w:p>
      <w:pPr>
        <w:spacing w:after="80" w:before="0" w:line="312"/>
        <w:ind w:left="360" w:hanging="240"/>
      </w:pPr>
      <w:r>
        <w:rPr>
          <w:b/>
          <w:bCs/>
          <w:color w:val="10B981"/>
          <w:sz w:val="22"/>
          <w:szCs w:val="22"/>
        </w:rPr>
        <w:t xml:space="preserve">☐  </w:t>
      </w:r>
      <w:r>
        <w:rPr>
          <w:rFonts w:ascii="Calibri"/>
          <w:color w:val="1F2937"/>
          <w:sz w:val="22"/>
          <w:szCs w:val="22"/>
        </w:rPr>
        <w:t xml:space="preserve">First SCD (no previous): zone sessions start empty, counter counts what they see</w:t>
      </w:r>
    </w:p>
    <w:p>
      <w:pPr>
        <w:spacing w:after="80" w:before="0" w:line="312"/>
        <w:ind w:left="360" w:hanging="240"/>
      </w:pPr>
      <w:r>
        <w:rPr>
          <w:b/>
          <w:bCs/>
          <w:color w:val="10B981"/>
          <w:sz w:val="22"/>
          <w:szCs w:val="22"/>
        </w:rPr>
        <w:t xml:space="preserve">☐  </w:t>
      </w:r>
      <w:r>
        <w:rPr>
          <w:rFonts w:ascii="Calibri"/>
          <w:color w:val="1F2937"/>
          <w:sz w:val="22"/>
          <w:szCs w:val="22"/>
        </w:rPr>
        <w:t xml:space="preserve">During counting, every saved qty creates/updates ProductZoneAssignment for that product+zone</w:t>
      </w:r>
    </w:p>
    <w:p>
      <w:pPr>
        <w:spacing w:after="80" w:before="0" w:line="312"/>
        <w:ind w:left="360" w:hanging="240"/>
      </w:pPr>
      <w:r>
        <w:rPr>
          <w:b/>
          <w:bCs/>
          <w:color w:val="10B981"/>
          <w:sz w:val="22"/>
          <w:szCs w:val="22"/>
        </w:rPr>
        <w:t xml:space="preserve">☐  </w:t>
      </w:r>
      <w:r>
        <w:rPr>
          <w:rFonts w:ascii="Calibri"/>
          <w:color w:val="1F2937"/>
          <w:sz w:val="22"/>
          <w:szCs w:val="22"/>
        </w:rPr>
        <w:t xml:space="preserve">Second SCD: manager sees 'Inherited N assignments from {date}' banner on start screen</w:t>
      </w:r>
    </w:p>
    <w:p>
      <w:pPr>
        <w:spacing w:after="80" w:before="0" w:line="312"/>
        <w:ind w:left="360" w:hanging="240"/>
      </w:pPr>
      <w:r>
        <w:rPr>
          <w:b/>
          <w:bCs/>
          <w:color w:val="10B981"/>
          <w:sz w:val="22"/>
          <w:szCs w:val="22"/>
        </w:rPr>
        <w:t xml:space="preserve">☐  </w:t>
      </w:r>
      <w:r>
        <w:rPr>
          <w:rFonts w:ascii="Calibri"/>
          <w:color w:val="1F2937"/>
          <w:sz w:val="22"/>
          <w:szCs w:val="22"/>
        </w:rPr>
        <w:t xml:space="preserve">Inherited assignments pre-populate zone count lines (counter sees them on entering zone)</w:t>
      </w:r>
    </w:p>
    <w:p>
      <w:pPr>
        <w:spacing w:after="80" w:before="0" w:line="312"/>
        <w:ind w:left="360" w:hanging="240"/>
      </w:pPr>
      <w:r>
        <w:rPr>
          <w:b/>
          <w:bCs/>
          <w:color w:val="10B981"/>
          <w:sz w:val="22"/>
          <w:szCs w:val="22"/>
        </w:rPr>
        <w:t xml:space="preserve">☐  </w:t>
      </w:r>
      <w:r>
        <w:rPr>
          <w:rFonts w:ascii="Calibri"/>
          <w:color w:val="1F2937"/>
          <w:sz w:val="22"/>
          <w:szCs w:val="22"/>
        </w:rPr>
        <w:t xml:space="preserve">'Add product manually' button opens searchable directory of business's products</w:t>
      </w:r>
    </w:p>
    <w:p>
      <w:pPr>
        <w:spacing w:after="80" w:before="0" w:line="312"/>
        <w:ind w:left="360" w:hanging="240"/>
      </w:pPr>
      <w:r>
        <w:rPr>
          <w:b/>
          <w:bCs/>
          <w:color w:val="10B981"/>
          <w:sz w:val="22"/>
          <w:szCs w:val="22"/>
        </w:rPr>
        <w:t xml:space="preserve">☐  </w:t>
      </w:r>
      <w:r>
        <w:rPr>
          <w:rFonts w:ascii="Calibri"/>
          <w:color w:val="1F2937"/>
          <w:sz w:val="22"/>
          <w:szCs w:val="22"/>
        </w:rPr>
        <w:t xml:space="preserve">Selecting a product from directory adds it to the zone count lines with qty=0</w:t>
      </w:r>
    </w:p>
    <w:p>
      <w:pPr>
        <w:spacing w:after="80" w:before="0" w:line="312"/>
        <w:ind w:left="360" w:hanging="240"/>
      </w:pPr>
      <w:r>
        <w:rPr>
          <w:b/>
          <w:bCs/>
          <w:color w:val="10B981"/>
          <w:sz w:val="22"/>
          <w:szCs w:val="22"/>
        </w:rPr>
        <w:t xml:space="preserve">☐  </w:t>
      </w:r>
      <w:r>
        <w:rPr>
          <w:rFonts w:ascii="Calibri"/>
          <w:color w:val="1F2937"/>
          <w:sz w:val="22"/>
          <w:szCs w:val="22"/>
        </w:rPr>
        <w:t xml:space="preserve">'Add new product' shortcut in directory creates a minimal product and adds it to the zone</w:t>
      </w:r>
    </w:p>
    <w:p>
      <w:pPr>
        <w:spacing w:after="80" w:before="0" w:line="312"/>
        <w:ind w:left="360" w:hanging="240"/>
      </w:pPr>
      <w:r>
        <w:rPr>
          <w:b/>
          <w:bCs/>
          <w:color w:val="10B981"/>
          <w:sz w:val="22"/>
          <w:szCs w:val="22"/>
        </w:rPr>
        <w:t xml:space="preserve">☐  </w:t>
      </w:r>
      <w:r>
        <w:rPr>
          <w:rFonts w:ascii="Calibri"/>
          <w:color w:val="1F2937"/>
          <w:sz w:val="22"/>
          <w:szCs w:val="22"/>
        </w:rPr>
        <w:t xml:space="preserve">ZoneBulkAssign remains available but is no longer required to start an SCD</w:t>
      </w:r>
    </w:p>
    <w:p>
      <w:r>
        <w:br w:type="page"/>
      </w:r>
    </w:p>
    <w:p>
      <w:pPr>
        <w:pStyle w:val="Heading1"/>
        <w:spacing w:after="200" w:before="360" w:line="312"/>
      </w:pPr>
      <w:bookmarkStart w:id="100028" w:name="_Toc100028"/>
      <w:r>
        <w:rPr>
          <w:rFonts w:ascii="Calibri" w:eastAsia="Microsoft YaHei"/>
          <w:b/>
          <w:bCs/>
          <w:color w:val="064E3B"/>
          <w:sz w:val="32"/>
          <w:szCs w:val="32"/>
        </w:rPr>
        <w:t xml:space="preserve">6. Phase 4 — Export &amp; History Detail View</w:t>
      </w:r>
      <w:bookmarkEnd w:id="100028"/>
    </w:p>
    <w:p>
      <w:pPr>
        <w:pStyle w:val="Heading2"/>
        <w:spacing w:after="140" w:before="280" w:line="312"/>
      </w:pPr>
      <w:bookmarkStart w:id="100029" w:name="_Toc100029"/>
      <w:r>
        <w:rPr>
          <w:rFonts w:ascii="Calibri" w:eastAsia="Microsoft YaHei"/>
          <w:b/>
          <w:bCs/>
          <w:color w:val="064E3B"/>
          <w:sz w:val="28"/>
          <w:szCs w:val="28"/>
        </w:rPr>
        <w:t xml:space="preserve">6.1 Rationale</w:t>
      </w:r>
      <w:bookmarkEnd w:id="100029"/>
    </w:p>
    <w:p>
      <w:pPr>
        <w:spacing w:after="120" w:before="0" w:line="312"/>
        <w:ind w:firstLine="0"/>
        <w:jc w:val="both"/>
      </w:pPr>
      <w:r>
        <w:rPr>
          <w:rFonts w:ascii="Calibri" w:eastAsia="Microsoft YaHei"/>
          <w:color w:val="1F2937"/>
          <w:sz w:val="22"/>
          <w:szCs w:val="22"/>
        </w:rPr>
        <w:t xml:space="preserve">Pharmacy regulators in Bangladesh require documented evidence of stock counts and variance resolutions. Today, the only way to share an SCD result is to screenshot the variance review screen — unprofessional and incomplete. Phase 4 adds proper PDF and Excel export, and makes past SCDs browsable so pharmacists can investigate 'what happened last month' without asking engineering to query the DB.</w:t>
      </w:r>
    </w:p>
    <w:p>
      <w:pPr>
        <w:pStyle w:val="Heading2"/>
        <w:spacing w:after="140" w:before="280" w:line="312"/>
      </w:pPr>
      <w:bookmarkStart w:id="100030" w:name="_Toc100030"/>
      <w:r>
        <w:rPr>
          <w:rFonts w:ascii="Calibri" w:eastAsia="Microsoft YaHei"/>
          <w:b/>
          <w:bCs/>
          <w:color w:val="064E3B"/>
          <w:sz w:val="28"/>
          <w:szCs w:val="28"/>
        </w:rPr>
        <w:t xml:space="preserve">6.2 Scope</w:t>
      </w:r>
      <w:bookmarkEnd w:id="100030"/>
    </w:p>
    <w:p>
      <w:pPr>
        <w:pBdr>
          <w:left w:val="single" w:color="10B981" w:sz="24" w:space="12"/>
        </w:pBdr>
        <w:spacing w:after="80" w:before="160" w:line="312"/>
        <w:ind w:left="240"/>
      </w:pPr>
      <w:r>
        <w:rPr>
          <w:rFonts w:ascii="Calibri"/>
          <w:b/>
          <w:bCs/>
          <w:color w:val="10B981"/>
          <w:spacing w:val="30"/>
          <w:sz w:val="16"/>
          <w:szCs w:val="16"/>
        </w:rPr>
        <w:t xml:space="preserve">FEATURE 4.1</w:t>
      </w:r>
      <w:r>
        <w:rPr>
          <w:color w:val="6B7280"/>
          <w:sz w:val="18"/>
          <w:szCs w:val="18"/>
        </w:rPr>
        <w:t xml:space="preserve">  —  </w:t>
      </w:r>
      <w:r>
        <w:rPr>
          <w:rFonts w:ascii="Calibri"/>
          <w:b/>
          <w:bCs/>
          <w:color w:val="064E3B"/>
          <w:sz w:val="22"/>
          <w:szCs w:val="22"/>
        </w:rPr>
        <w:t xml:space="preserve">PDF + Excel export of count sheet and variance report</w:t>
      </w:r>
    </w:p>
    <w:p>
      <w:pPr>
        <w:spacing w:after="120" w:before="0" w:line="312"/>
        <w:ind w:firstLine="0"/>
        <w:jc w:val="both"/>
      </w:pPr>
      <w:r>
        <w:rPr>
          <w:rFonts w:ascii="Calibri" w:eastAsia="Microsoft YaHei"/>
          <w:color w:val="1F2937"/>
          <w:sz w:val="22"/>
          <w:szCs w:val="22"/>
        </w:rPr>
        <w:t xml:space="preserve">On the variance review screen (for active/closed SCDs) and on the history detail view (for past SCDs), add two export buttons: 'Export PDF' and 'Export Excel'. The PDF is a formatted one-page-per-zone count sheet with business header, SCD date, zone name, product list (name, expected, counted, variance, reason). The Excel is a multi-sheet workbook: one sheet per zone + a summary sheet with variances and reasons.</w:t>
      </w:r>
    </w:p>
    <w:p>
      <w:pPr>
        <w:spacing w:after="120" w:before="0" w:line="312"/>
        <w:ind w:firstLine="0"/>
        <w:jc w:val="both"/>
      </w:pPr>
      <w:r>
        <w:rPr>
          <w:rFonts w:ascii="Calibri" w:eastAsia="Microsoft YaHei"/>
          <w:color w:val="1F2937"/>
          <w:sz w:val="22"/>
          <w:szCs w:val="22"/>
        </w:rPr>
        <w:t xml:space="preserve">Implementation: PDF uses the existing PDF skill (ReportLab via Python). Excel uses a server-side xlsx generator (the existing xlsx skill or exceljs). Both are generated on the server and streamed as downloads. The export endpoint is GET /api/businesses/[id]/stock-count-day/[scdId]/export?format=pdf|excel.</w:t>
      </w:r>
    </w:p>
    <w:p>
      <w:pPr>
        <w:pBdr>
          <w:left w:val="single" w:color="10B981" w:sz="24" w:space="12"/>
        </w:pBdr>
        <w:spacing w:after="80" w:before="160" w:line="312"/>
        <w:ind w:left="240"/>
      </w:pPr>
      <w:r>
        <w:rPr>
          <w:rFonts w:ascii="Calibri"/>
          <w:b/>
          <w:bCs/>
          <w:color w:val="10B981"/>
          <w:spacing w:val="30"/>
          <w:sz w:val="16"/>
          <w:szCs w:val="16"/>
        </w:rPr>
        <w:t xml:space="preserve">FEATURE 4.2</w:t>
      </w:r>
      <w:r>
        <w:rPr>
          <w:color w:val="6B7280"/>
          <w:sz w:val="18"/>
          <w:szCs w:val="18"/>
        </w:rPr>
        <w:t xml:space="preserve">  —  </w:t>
      </w:r>
      <w:r>
        <w:rPr>
          <w:rFonts w:ascii="Calibri"/>
          <w:b/>
          <w:bCs/>
          <w:color w:val="064E3B"/>
          <w:sz w:val="22"/>
          <w:szCs w:val="22"/>
        </w:rPr>
        <w:t xml:space="preserve">History detail view — tap any past SCD to see its variances</w:t>
      </w:r>
    </w:p>
    <w:p>
      <w:pPr>
        <w:spacing w:after="120" w:before="0" w:line="312"/>
        <w:ind w:firstLine="0"/>
        <w:jc w:val="both"/>
      </w:pPr>
      <w:r>
        <w:rPr>
          <w:rFonts w:ascii="Calibri" w:eastAsia="Microsoft YaHei"/>
          <w:color w:val="1F2937"/>
          <w:sz w:val="22"/>
          <w:szCs w:val="22"/>
        </w:rPr>
        <w:t xml:space="preserve">The current history list is read-only. Phase 4 makes each history row tappable, opening a read-only variant of the variance review screen for that past SCD. The manager sees the same stat cards (Matched / Mismatch / Not counted), the same variance list with reasons, and the export buttons. This is also where P5 reminders link to — 'you haven't run SCD this month, here's last month's report'.</w:t>
      </w:r>
    </w:p>
    <w:p>
      <w:pPr>
        <w:pStyle w:val="Heading2"/>
        <w:spacing w:after="140" w:before="280" w:line="312"/>
      </w:pPr>
      <w:bookmarkStart w:id="100031" w:name="_Toc100031"/>
      <w:r>
        <w:rPr>
          <w:rFonts w:ascii="Calibri" w:eastAsia="Microsoft YaHei"/>
          <w:b/>
          <w:bCs/>
          <w:color w:val="064E3B"/>
          <w:sz w:val="28"/>
          <w:szCs w:val="28"/>
        </w:rPr>
        <w:t xml:space="preserve">6.3 Schema changes</w:t>
      </w:r>
      <w:bookmarkEnd w:id="100031"/>
    </w:p>
    <w:p>
      <w:pPr>
        <w:spacing w:after="120" w:before="0" w:line="312"/>
        <w:ind w:firstLine="0"/>
        <w:jc w:val="both"/>
      </w:pPr>
      <w:r>
        <w:rPr>
          <w:rFonts w:ascii="Calibri" w:eastAsia="Microsoft YaHei"/>
          <w:color w:val="1F2937"/>
          <w:sz w:val="22"/>
          <w:szCs w:val="22"/>
        </w:rPr>
        <w:t xml:space="preserve">None. Exports read from existing models. History detail reuses the existing GET /stock-count-day/[scdId] endpoint.</w:t>
      </w:r>
    </w:p>
    <w:p>
      <w:pPr>
        <w:pStyle w:val="Heading2"/>
        <w:spacing w:after="140" w:before="280" w:line="312"/>
      </w:pPr>
      <w:bookmarkStart w:id="100032" w:name="_Toc100032"/>
      <w:r>
        <w:rPr>
          <w:rFonts w:ascii="Calibri" w:eastAsia="Microsoft YaHei"/>
          <w:b/>
          <w:bCs/>
          <w:color w:val="064E3B"/>
          <w:sz w:val="28"/>
          <w:szCs w:val="28"/>
        </w:rPr>
        <w:t xml:space="preserve">6.4 API changes</w:t>
      </w:r>
      <w:bookmarkEnd w:id="100032"/>
    </w:p>
    <w:p>
      <w:pPr>
        <w:keepNext/>
        <w:spacing w:after="100" w:before="200"/>
        <w:jc w:val="left"/>
      </w:pPr>
      <w:r>
        <w:rPr>
          <w:rFonts w:ascii="Calibri" w:eastAsia="Microsoft YaHei"/>
          <w:b/>
          <w:bCs/>
          <w:color w:val="064E3B"/>
          <w:sz w:val="21"/>
          <w:szCs w:val="21"/>
        </w:rPr>
        <w:t xml:space="preserve">Table 8: P4 API changes</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tblGrid>
      <w:tr>
        <w:trPr>
          <w:cantSplit/>
          <w:tblHeader/>
        </w:trPr>
        <w:tc>
          <w:tcPr>
            <w:tcW w:type="pct" w:w="3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Route</w:t>
            </w:r>
          </w:p>
        </w:tc>
        <w:tc>
          <w:tcPr>
            <w:tcW w:type="pct" w:w="4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Change</w:t>
            </w:r>
          </w:p>
        </w:tc>
        <w:tc>
          <w:tcPr>
            <w:tcW w:type="pct" w:w="2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Reason</w:t>
            </w:r>
          </w:p>
        </w:tc>
      </w:tr>
      <w:tr>
        <w:trPr>
          <w:cantSplit/>
        </w:trPr>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GET /stock-count-day/[scdId]/export?format=pdf</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New endpoint: streams PDF</w:t>
            </w:r>
          </w:p>
        </w:tc>
        <w:tc>
          <w:tcPr>
            <w:tcW w:type="pct" w:w="2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Export count sheet + variance report</w:t>
            </w:r>
          </w:p>
        </w:tc>
      </w:tr>
      <w:tr>
        <w:trPr>
          <w:cantSplit/>
        </w:trPr>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GET /stock-count-day/[scdId]/export?format=excel</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New endpoint: streams .xlsx</w:t>
            </w:r>
          </w:p>
        </w:tc>
        <w:tc>
          <w:tcPr>
            <w:tcW w:type="pct" w:w="2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Same data, Excel format for accountants</w:t>
            </w:r>
          </w:p>
        </w:tc>
      </w:tr>
      <w:tr>
        <w:trPr>
          <w:cantSplit/>
        </w:trPr>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GET /stock-count-day/[scdId]</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Already exists; ensure it returns full summaries with reasons for past SCDs</w:t>
            </w:r>
          </w:p>
        </w:tc>
        <w:tc>
          <w:tcPr>
            <w:tcW w:type="pct" w:w="2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History detail view</w:t>
            </w:r>
          </w:p>
        </w:tc>
      </w:tr>
    </w:tbl>
    <w:p>
      <w:pPr>
        <w:spacing w:after="160" w:before="0" w:line="240"/>
      </w:pPr>
      <w:r>
        <w:t xml:space="preserve"/>
      </w:r>
    </w:p>
    <w:p>
      <w:pPr>
        <w:pStyle w:val="Heading2"/>
        <w:spacing w:after="140" w:before="280" w:line="312"/>
      </w:pPr>
      <w:bookmarkStart w:id="100033" w:name="_Toc100033"/>
      <w:r>
        <w:rPr>
          <w:rFonts w:ascii="Calibri" w:eastAsia="Microsoft YaHei"/>
          <w:b/>
          <w:bCs/>
          <w:color w:val="064E3B"/>
          <w:sz w:val="28"/>
          <w:szCs w:val="28"/>
        </w:rPr>
        <w:t xml:space="preserve">6.5 UI changes</w:t>
      </w:r>
      <w:bookmarkEnd w:id="100033"/>
    </w:p>
    <w:p>
      <w:pPr>
        <w:pStyle w:val="ListParagraph"/>
        <w:numPr>
          <w:ilvl w:val="0"/>
          <w:numId w:val="1"/>
        </w:numPr>
        <w:spacing w:after="80" w:line="312"/>
      </w:pPr>
      <w:r>
        <w:rPr>
          <w:rFonts w:ascii="Calibri" w:eastAsia="Microsoft YaHei"/>
          <w:color w:val="1F2937"/>
          <w:sz w:val="22"/>
          <w:szCs w:val="22"/>
        </w:rPr>
        <w:t xml:space="preserve">Modify: variance review screen — add 'Export PDF' + 'Export Excel' buttons in header</w:t>
      </w:r>
    </w:p>
    <w:p>
      <w:pPr>
        <w:pStyle w:val="ListParagraph"/>
        <w:numPr>
          <w:ilvl w:val="0"/>
          <w:numId w:val="1"/>
        </w:numPr>
        <w:spacing w:after="80" w:line="312"/>
      </w:pPr>
      <w:r>
        <w:rPr>
          <w:rFonts w:ascii="Calibri" w:eastAsia="Microsoft YaHei"/>
          <w:color w:val="1F2937"/>
          <w:sz w:val="22"/>
          <w:szCs w:val="22"/>
        </w:rPr>
        <w:t xml:space="preserve">Modify: history list rows — make tappable, navigate to new 'history-detail' screen</w:t>
      </w:r>
    </w:p>
    <w:p>
      <w:pPr>
        <w:pStyle w:val="ListParagraph"/>
        <w:numPr>
          <w:ilvl w:val="0"/>
          <w:numId w:val="1"/>
        </w:numPr>
        <w:spacing w:after="80" w:line="312"/>
      </w:pPr>
      <w:r>
        <w:rPr>
          <w:rFonts w:ascii="Calibri" w:eastAsia="Microsoft YaHei"/>
          <w:color w:val="1F2937"/>
          <w:sz w:val="22"/>
          <w:szCs w:val="22"/>
        </w:rPr>
        <w:t xml:space="preserve">New screen state: 'history-detail' — read-only variance review with export buttons</w:t>
      </w:r>
    </w:p>
    <w:p>
      <w:pPr>
        <w:pStyle w:val="ListParagraph"/>
        <w:numPr>
          <w:ilvl w:val="0"/>
          <w:numId w:val="1"/>
        </w:numPr>
        <w:spacing w:after="80" w:line="312"/>
      </w:pPr>
      <w:r>
        <w:rPr>
          <w:rFonts w:ascii="Calibri" w:eastAsia="Microsoft YaHei"/>
          <w:color w:val="1F2937"/>
          <w:sz w:val="22"/>
          <w:szCs w:val="22"/>
        </w:rPr>
        <w:t xml:space="preserve">New file: src/modules/pharmacy/components/scd/ScdExportButtons.tsx (~60 lines)</w:t>
      </w:r>
    </w:p>
    <w:p>
      <w:pPr>
        <w:pStyle w:val="Heading2"/>
        <w:spacing w:after="140" w:before="280" w:line="312"/>
      </w:pPr>
      <w:bookmarkStart w:id="100034" w:name="_Toc100034"/>
      <w:r>
        <w:rPr>
          <w:rFonts w:ascii="Calibri" w:eastAsia="Microsoft YaHei"/>
          <w:b/>
          <w:bCs/>
          <w:color w:val="064E3B"/>
          <w:sz w:val="28"/>
          <w:szCs w:val="28"/>
        </w:rPr>
        <w:t xml:space="preserve">6.6 Acceptance criteria</w:t>
      </w:r>
      <w:bookmarkEnd w:id="100034"/>
    </w:p>
    <w:p>
      <w:pPr>
        <w:spacing w:after="80" w:before="0" w:line="312"/>
        <w:ind w:left="360" w:hanging="240"/>
      </w:pPr>
      <w:r>
        <w:rPr>
          <w:b/>
          <w:bCs/>
          <w:color w:val="10B981"/>
          <w:sz w:val="22"/>
          <w:szCs w:val="22"/>
        </w:rPr>
        <w:t xml:space="preserve">☐  </w:t>
      </w:r>
      <w:r>
        <w:rPr>
          <w:rFonts w:ascii="Calibri"/>
          <w:color w:val="1F2937"/>
          <w:sz w:val="22"/>
          <w:szCs w:val="22"/>
        </w:rPr>
        <w:t xml:space="preserve">Variance review screen has 'Export PDF' and 'Export Excel' buttons</w:t>
      </w:r>
    </w:p>
    <w:p>
      <w:pPr>
        <w:spacing w:after="80" w:before="0" w:line="312"/>
        <w:ind w:left="360" w:hanging="240"/>
      </w:pPr>
      <w:r>
        <w:rPr>
          <w:b/>
          <w:bCs/>
          <w:color w:val="10B981"/>
          <w:sz w:val="22"/>
          <w:szCs w:val="22"/>
        </w:rPr>
        <w:t xml:space="preserve">☐  </w:t>
      </w:r>
      <w:r>
        <w:rPr>
          <w:rFonts w:ascii="Calibri"/>
          <w:color w:val="1F2937"/>
          <w:sz w:val="22"/>
          <w:szCs w:val="22"/>
        </w:rPr>
        <w:t xml:space="preserve">PDF export downloads a formatted .pdf with business header, SCD date, per-zone count sheet, variance summary</w:t>
      </w:r>
    </w:p>
    <w:p>
      <w:pPr>
        <w:spacing w:after="80" w:before="0" w:line="312"/>
        <w:ind w:left="360" w:hanging="240"/>
      </w:pPr>
      <w:r>
        <w:rPr>
          <w:b/>
          <w:bCs/>
          <w:color w:val="10B981"/>
          <w:sz w:val="22"/>
          <w:szCs w:val="22"/>
        </w:rPr>
        <w:t xml:space="preserve">☐  </w:t>
      </w:r>
      <w:r>
        <w:rPr>
          <w:rFonts w:ascii="Calibri"/>
          <w:color w:val="1F2937"/>
          <w:sz w:val="22"/>
          <w:szCs w:val="22"/>
        </w:rPr>
        <w:t xml:space="preserve">Excel export downloads a .xlsx with one sheet per zone + summary sheet</w:t>
      </w:r>
    </w:p>
    <w:p>
      <w:pPr>
        <w:spacing w:after="80" w:before="0" w:line="312"/>
        <w:ind w:left="360" w:hanging="240"/>
      </w:pPr>
      <w:r>
        <w:rPr>
          <w:b/>
          <w:bCs/>
          <w:color w:val="10B981"/>
          <w:sz w:val="22"/>
          <w:szCs w:val="22"/>
        </w:rPr>
        <w:t xml:space="preserve">☐  </w:t>
      </w:r>
      <w:r>
        <w:rPr>
          <w:rFonts w:ascii="Calibri"/>
          <w:color w:val="1F2937"/>
          <w:sz w:val="22"/>
          <w:szCs w:val="22"/>
        </w:rPr>
        <w:t xml:space="preserve">History list rows are tappable and open the history-detail screen</w:t>
      </w:r>
    </w:p>
    <w:p>
      <w:pPr>
        <w:spacing w:after="80" w:before="0" w:line="312"/>
        <w:ind w:left="360" w:hanging="240"/>
      </w:pPr>
      <w:r>
        <w:rPr>
          <w:b/>
          <w:bCs/>
          <w:color w:val="10B981"/>
          <w:sz w:val="22"/>
          <w:szCs w:val="22"/>
        </w:rPr>
        <w:t xml:space="preserve">☐  </w:t>
      </w:r>
      <w:r>
        <w:rPr>
          <w:rFonts w:ascii="Calibri"/>
          <w:color w:val="1F2937"/>
          <w:sz w:val="22"/>
          <w:szCs w:val="22"/>
        </w:rPr>
        <w:t xml:space="preserve">History-detail screen shows the same stat cards + variance list as the live variance review (read-only)</w:t>
      </w:r>
    </w:p>
    <w:p>
      <w:pPr>
        <w:spacing w:after="80" w:before="0" w:line="312"/>
        <w:ind w:left="360" w:hanging="240"/>
      </w:pPr>
      <w:r>
        <w:rPr>
          <w:b/>
          <w:bCs/>
          <w:color w:val="10B981"/>
          <w:sz w:val="22"/>
          <w:szCs w:val="22"/>
        </w:rPr>
        <w:t xml:space="preserve">☐  </w:t>
      </w:r>
      <w:r>
        <w:rPr>
          <w:rFonts w:ascii="Calibri"/>
          <w:color w:val="1F2937"/>
          <w:sz w:val="22"/>
          <w:szCs w:val="22"/>
        </w:rPr>
        <w:t xml:space="preserve">History-detail screen has working export buttons</w:t>
      </w:r>
    </w:p>
    <w:p>
      <w:pPr>
        <w:spacing w:after="80" w:before="0" w:line="312"/>
        <w:ind w:left="360" w:hanging="240"/>
      </w:pPr>
      <w:r>
        <w:rPr>
          <w:b/>
          <w:bCs/>
          <w:color w:val="10B981"/>
          <w:sz w:val="22"/>
          <w:szCs w:val="22"/>
        </w:rPr>
        <w:t xml:space="preserve">☐  </w:t>
      </w:r>
      <w:r>
        <w:rPr>
          <w:rFonts w:ascii="Calibri"/>
          <w:color w:val="1F2937"/>
          <w:sz w:val="22"/>
          <w:szCs w:val="22"/>
        </w:rPr>
        <w:t xml:space="preserve">Exports work for SCDs in any status (active, closed, applied)</w:t>
      </w:r>
    </w:p>
    <w:p>
      <w:r>
        <w:br w:type="page"/>
      </w:r>
    </w:p>
    <w:p>
      <w:pPr>
        <w:pStyle w:val="Heading1"/>
        <w:spacing w:after="200" w:before="360" w:line="312"/>
      </w:pPr>
      <w:bookmarkStart w:id="100035" w:name="_Toc100035"/>
      <w:r>
        <w:rPr>
          <w:rFonts w:ascii="Calibri" w:eastAsia="Microsoft YaHei"/>
          <w:b/>
          <w:bCs/>
          <w:color w:val="064E3B"/>
          <w:sz w:val="32"/>
          <w:szCs w:val="32"/>
        </w:rPr>
        <w:t xml:space="preserve">7. Phase 5 — Scheduled Monthly Reminders</w:t>
      </w:r>
      <w:bookmarkEnd w:id="100035"/>
    </w:p>
    <w:p>
      <w:pPr>
        <w:pStyle w:val="Heading2"/>
        <w:spacing w:after="140" w:before="280" w:line="312"/>
      </w:pPr>
      <w:bookmarkStart w:id="100036" w:name="_Toc100036"/>
      <w:r>
        <w:rPr>
          <w:rFonts w:ascii="Calibri" w:eastAsia="Microsoft YaHei"/>
          <w:b/>
          <w:bCs/>
          <w:color w:val="064E3B"/>
          <w:sz w:val="28"/>
          <w:szCs w:val="28"/>
        </w:rPr>
        <w:t xml:space="preserve">7.1 Rationale</w:t>
      </w:r>
      <w:bookmarkEnd w:id="100036"/>
    </w:p>
    <w:p>
      <w:pPr>
        <w:spacing w:after="120" w:before="0" w:line="312"/>
        <w:ind w:firstLine="0"/>
        <w:jc w:val="both"/>
      </w:pPr>
      <w:r>
        <w:rPr>
          <w:rFonts w:ascii="Calibri" w:eastAsia="Microsoft YaHei"/>
          <w:color w:val="1F2937"/>
          <w:sz w:val="22"/>
          <w:szCs w:val="22"/>
        </w:rPr>
        <w:t xml:space="preserve">Even with a smooth UX, pharmacies forget to run monthly counts. Phase 5 adds a cron-driven reminder that nudges managers who haven't started an SCD in the current calendar month. The reminder is sent via the existing notification system (in-app + email if SMTP configured) and includes a deep link to the SCD hub.</w:t>
      </w:r>
    </w:p>
    <w:p>
      <w:pPr>
        <w:pStyle w:val="Heading2"/>
        <w:spacing w:after="140" w:before="280" w:line="312"/>
      </w:pPr>
      <w:bookmarkStart w:id="100037" w:name="_Toc100037"/>
      <w:r>
        <w:rPr>
          <w:rFonts w:ascii="Calibri" w:eastAsia="Microsoft YaHei"/>
          <w:b/>
          <w:bCs/>
          <w:color w:val="064E3B"/>
          <w:sz w:val="28"/>
          <w:szCs w:val="28"/>
        </w:rPr>
        <w:t xml:space="preserve">7.2 Scope</w:t>
      </w:r>
      <w:bookmarkEnd w:id="100037"/>
    </w:p>
    <w:p>
      <w:pPr>
        <w:pBdr>
          <w:left w:val="single" w:color="10B981" w:sz="24" w:space="12"/>
        </w:pBdr>
        <w:spacing w:after="80" w:before="160" w:line="312"/>
        <w:ind w:left="240"/>
      </w:pPr>
      <w:r>
        <w:rPr>
          <w:rFonts w:ascii="Calibri"/>
          <w:b/>
          <w:bCs/>
          <w:color w:val="10B981"/>
          <w:spacing w:val="30"/>
          <w:sz w:val="16"/>
          <w:szCs w:val="16"/>
        </w:rPr>
        <w:t xml:space="preserve">FEATURE 5.1</w:t>
      </w:r>
      <w:r>
        <w:rPr>
          <w:color w:val="6B7280"/>
          <w:sz w:val="18"/>
          <w:szCs w:val="18"/>
        </w:rPr>
        <w:t xml:space="preserve">  —  </w:t>
      </w:r>
      <w:r>
        <w:rPr>
          <w:rFonts w:ascii="Calibri"/>
          <w:b/>
          <w:bCs/>
          <w:color w:val="064E3B"/>
          <w:sz w:val="22"/>
          <w:szCs w:val="22"/>
        </w:rPr>
        <w:t xml:space="preserve">Monthly SCD reminder cron job</w:t>
      </w:r>
    </w:p>
    <w:p>
      <w:pPr>
        <w:spacing w:after="120" w:before="0" w:line="312"/>
        <w:ind w:firstLine="0"/>
        <w:jc w:val="both"/>
      </w:pPr>
      <w:r>
        <w:rPr>
          <w:rFonts w:ascii="Calibri" w:eastAsia="Microsoft YaHei"/>
          <w:color w:val="1F2937"/>
          <w:sz w:val="22"/>
          <w:szCs w:val="22"/>
        </w:rPr>
        <w:t xml:space="preserve">A new cron job scd-monthly-reminder runs on the 25th of every month at 09:00 local time. For each active business, it checks: did this business run an SCD (status applied or closed) in the current calendar month? If no, it creates a NotificationLog entry with type 'scd_reminder' and a deep link to the SCD hub. If the business has ownerEmail set and SMTP is configured, it also sends an email.</w:t>
      </w:r>
    </w:p>
    <w:p>
      <w:pPr>
        <w:spacing w:after="120" w:before="0" w:line="312"/>
        <w:ind w:firstLine="0"/>
        <w:jc w:val="both"/>
      </w:pPr>
      <w:r>
        <w:rPr>
          <w:rFonts w:ascii="Calibri" w:eastAsia="Microsoft YaHei"/>
          <w:color w:val="1F2937"/>
          <w:sz w:val="22"/>
          <w:szCs w:val="22"/>
        </w:rPr>
        <w:t xml:space="preserve">The reminder is intentionally NOT sent on the 1st — the 25th gives the pharmacy a week to act before month-end, which is when most pharmacies want to close their books.</w:t>
      </w:r>
    </w:p>
    <w:p>
      <w:pPr>
        <w:pStyle w:val="Heading2"/>
        <w:spacing w:after="140" w:before="280" w:line="312"/>
      </w:pPr>
      <w:bookmarkStart w:id="100038" w:name="_Toc100038"/>
      <w:r>
        <w:rPr>
          <w:rFonts w:ascii="Calibri" w:eastAsia="Microsoft YaHei"/>
          <w:b/>
          <w:bCs/>
          <w:color w:val="064E3B"/>
          <w:sz w:val="28"/>
          <w:szCs w:val="28"/>
        </w:rPr>
        <w:t xml:space="preserve">7.3 Schema changes</w:t>
      </w:r>
      <w:bookmarkEnd w:id="100038"/>
    </w:p>
    <w:p>
      <w:pPr>
        <w:spacing w:after="120" w:before="0" w:line="312"/>
        <w:ind w:firstLine="0"/>
        <w:jc w:val="both"/>
      </w:pPr>
      <w:r>
        <w:rPr>
          <w:rFonts w:ascii="Calibri" w:eastAsia="Microsoft YaHei"/>
          <w:color w:val="1F2937"/>
          <w:sz w:val="22"/>
          <w:szCs w:val="22"/>
        </w:rPr>
        <w:t xml:space="preserve">None. Uses existing NotificationLog and Business.ownerEmail. The reminder logic is purely in the cron job.</w:t>
      </w:r>
    </w:p>
    <w:p>
      <w:pPr>
        <w:pStyle w:val="Heading2"/>
        <w:spacing w:after="140" w:before="280" w:line="312"/>
      </w:pPr>
      <w:bookmarkStart w:id="100039" w:name="_Toc100039"/>
      <w:r>
        <w:rPr>
          <w:rFonts w:ascii="Calibri" w:eastAsia="Microsoft YaHei"/>
          <w:b/>
          <w:bCs/>
          <w:color w:val="064E3B"/>
          <w:sz w:val="28"/>
          <w:szCs w:val="28"/>
        </w:rPr>
        <w:t xml:space="preserve">7.4 API + cron changes</w:t>
      </w:r>
      <w:bookmarkEnd w:id="100039"/>
    </w:p>
    <w:p>
      <w:pPr>
        <w:keepNext/>
        <w:spacing w:after="100" w:before="200"/>
        <w:jc w:val="left"/>
      </w:pPr>
      <w:r>
        <w:rPr>
          <w:rFonts w:ascii="Calibri" w:eastAsia="Microsoft YaHei"/>
          <w:b/>
          <w:bCs/>
          <w:color w:val="064E3B"/>
          <w:sz w:val="21"/>
          <w:szCs w:val="21"/>
        </w:rPr>
        <w:t xml:space="preserve">Table 9: P5 cron + API changes</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tblGrid>
      <w:tr>
        <w:trPr>
          <w:cantSplit/>
          <w:tblHeader/>
        </w:trPr>
        <w:tc>
          <w:tcPr>
            <w:tcW w:type="pct" w:w="2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Component</w:t>
            </w:r>
          </w:p>
        </w:tc>
        <w:tc>
          <w:tcPr>
            <w:tcW w:type="pct" w:w="4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Change</w:t>
            </w:r>
          </w:p>
        </w:tc>
        <w:tc>
          <w:tcPr>
            <w:tcW w:type="pct" w:w="3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Reason</w:t>
            </w:r>
          </w:p>
        </w:tc>
      </w:tr>
      <w:tr>
        <w:trPr>
          <w:cantSplit/>
        </w:trPr>
        <w:tc>
          <w:tcPr>
            <w:tcW w:type="pct" w:w="2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CRON_JOB_NAMES</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Add SCD_MONTHLY_REMINDER: 'scd-monthly-reminder'</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New job registration</w:t>
            </w:r>
          </w:p>
        </w:tc>
      </w:tr>
      <w:tr>
        <w:trPr>
          <w:cantSplit/>
        </w:trPr>
        <w:tc>
          <w:tcPr>
            <w:tcW w:type="pct" w:w="2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CRON_JOB_SCHEDULES</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schedule: '0 4 25 * *' (09:00 Asia/Dhaka = 04:00 UTC on 25th)</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Monthly on the 25th</w:t>
            </w:r>
          </w:p>
        </w:tc>
      </w:tr>
      <w:tr>
        <w:trPr>
          <w:cantSplit/>
        </w:trPr>
        <w:tc>
          <w:tcPr>
            <w:tcW w:type="pct" w:w="2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cron-jobs.ts</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New runScdMonthlyReminderJob() function</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Job implementation</w:t>
            </w:r>
          </w:p>
        </w:tc>
      </w:tr>
      <w:tr>
        <w:trPr>
          <w:cantSplit/>
        </w:trPr>
        <w:tc>
          <w:tcPr>
            <w:tcW w:type="pct" w:w="2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POST /api/cron/scd-monthly-reminder</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New endpoint (x-cron-secret auth)</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External scheduler trigger</w:t>
            </w:r>
          </w:p>
        </w:tc>
      </w:tr>
      <w:tr>
        <w:trPr>
          <w:cantSplit/>
        </w:trPr>
        <w:tc>
          <w:tcPr>
            <w:tcW w:type="pct" w:w="2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trigger-cron/[jobName]</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Add scd-monthly-reminder to JOB_RUNNERS map</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Manual trigger from /admin</w:t>
            </w:r>
          </w:p>
        </w:tc>
      </w:tr>
    </w:tbl>
    <w:p>
      <w:pPr>
        <w:spacing w:after="160" w:before="0" w:line="240"/>
      </w:pPr>
      <w:r>
        <w:t xml:space="preserve"/>
      </w:r>
    </w:p>
    <w:p>
      <w:pPr>
        <w:pStyle w:val="Heading2"/>
        <w:spacing w:after="140" w:before="280" w:line="312"/>
      </w:pPr>
      <w:bookmarkStart w:id="100040" w:name="_Toc100040"/>
      <w:r>
        <w:rPr>
          <w:rFonts w:ascii="Calibri" w:eastAsia="Microsoft YaHei"/>
          <w:b/>
          <w:bCs/>
          <w:color w:val="064E3B"/>
          <w:sz w:val="28"/>
          <w:szCs w:val="28"/>
        </w:rPr>
        <w:t xml:space="preserve">7.5 UI changes</w:t>
      </w:r>
      <w:bookmarkEnd w:id="100040"/>
    </w:p>
    <w:p>
      <w:pPr>
        <w:pStyle w:val="ListParagraph"/>
        <w:numPr>
          <w:ilvl w:val="0"/>
          <w:numId w:val="1"/>
        </w:numPr>
        <w:spacing w:after="80" w:line="312"/>
      </w:pPr>
      <w:r>
        <w:rPr>
          <w:rFonts w:ascii="Calibri" w:eastAsia="Microsoft YaHei"/>
          <w:color w:val="1F2937"/>
          <w:sz w:val="22"/>
          <w:szCs w:val="22"/>
        </w:rPr>
        <w:t xml:space="preserve">Modify: NotificationCenter.tsx — render scd_reminder notifications with a teal 'Run count' CTA button</w:t>
      </w:r>
    </w:p>
    <w:p>
      <w:pPr>
        <w:pStyle w:val="ListParagraph"/>
        <w:numPr>
          <w:ilvl w:val="0"/>
          <w:numId w:val="1"/>
        </w:numPr>
        <w:spacing w:after="80" w:line="312"/>
      </w:pPr>
      <w:r>
        <w:rPr>
          <w:rFonts w:ascii="Calibri" w:eastAsia="Microsoft YaHei"/>
          <w:color w:val="1F2937"/>
          <w:sz w:val="22"/>
          <w:szCs w:val="22"/>
        </w:rPr>
        <w:t xml:space="preserve">Modify: /admin SuperAdminHelp.tsx — add 'SCD Monthly Reminder' help entry under Operations</w:t>
      </w:r>
    </w:p>
    <w:p>
      <w:pPr>
        <w:pStyle w:val="ListParagraph"/>
        <w:numPr>
          <w:ilvl w:val="0"/>
          <w:numId w:val="1"/>
        </w:numPr>
        <w:spacing w:after="80" w:line="312"/>
      </w:pPr>
      <w:r>
        <w:rPr>
          <w:rFonts w:ascii="Calibri" w:eastAsia="Microsoft YaHei"/>
          <w:color w:val="1F2937"/>
          <w:sz w:val="22"/>
          <w:szCs w:val="22"/>
        </w:rPr>
        <w:t xml:space="preserve">No new SCD-hub UI — the reminder links INTO the existing hub</w:t>
      </w:r>
    </w:p>
    <w:p>
      <w:pPr>
        <w:pStyle w:val="Heading2"/>
        <w:spacing w:after="140" w:before="280" w:line="312"/>
      </w:pPr>
      <w:bookmarkStart w:id="100041" w:name="_Toc100041"/>
      <w:r>
        <w:rPr>
          <w:rFonts w:ascii="Calibri" w:eastAsia="Microsoft YaHei"/>
          <w:b/>
          <w:bCs/>
          <w:color w:val="064E3B"/>
          <w:sz w:val="28"/>
          <w:szCs w:val="28"/>
        </w:rPr>
        <w:t xml:space="preserve">7.6 Acceptance criteria</w:t>
      </w:r>
      <w:bookmarkEnd w:id="100041"/>
    </w:p>
    <w:p>
      <w:pPr>
        <w:spacing w:after="80" w:before="0" w:line="312"/>
        <w:ind w:left="360" w:hanging="240"/>
      </w:pPr>
      <w:r>
        <w:rPr>
          <w:b/>
          <w:bCs/>
          <w:color w:val="10B981"/>
          <w:sz w:val="22"/>
          <w:szCs w:val="22"/>
        </w:rPr>
        <w:t xml:space="preserve">☐  </w:t>
      </w:r>
      <w:r>
        <w:rPr>
          <w:rFonts w:ascii="Calibri"/>
          <w:color w:val="1F2937"/>
          <w:sz w:val="22"/>
          <w:szCs w:val="22"/>
        </w:rPr>
        <w:t xml:space="preserve">Cron job scd-monthly-reminder is registered in CRON_JOB_NAMES + CRON_JOB_SCHEDULES</w:t>
      </w:r>
    </w:p>
    <w:p>
      <w:pPr>
        <w:spacing w:after="80" w:before="0" w:line="312"/>
        <w:ind w:left="360" w:hanging="240"/>
      </w:pPr>
      <w:r>
        <w:rPr>
          <w:b/>
          <w:bCs/>
          <w:color w:val="10B981"/>
          <w:sz w:val="22"/>
          <w:szCs w:val="22"/>
        </w:rPr>
        <w:t xml:space="preserve">☐  </w:t>
      </w:r>
      <w:r>
        <w:rPr>
          <w:rFonts w:ascii="Calibri"/>
          <w:color w:val="1F2937"/>
          <w:sz w:val="22"/>
          <w:szCs w:val="22"/>
        </w:rPr>
        <w:t xml:space="preserve">Job queries all active businesses and checks for an SCD in the current calendar month</w:t>
      </w:r>
    </w:p>
    <w:p>
      <w:pPr>
        <w:spacing w:after="80" w:before="0" w:line="312"/>
        <w:ind w:left="360" w:hanging="240"/>
      </w:pPr>
      <w:r>
        <w:rPr>
          <w:b/>
          <w:bCs/>
          <w:color w:val="10B981"/>
          <w:sz w:val="22"/>
          <w:szCs w:val="22"/>
        </w:rPr>
        <w:t xml:space="preserve">☐  </w:t>
      </w:r>
      <w:r>
        <w:rPr>
          <w:rFonts w:ascii="Calibri"/>
          <w:color w:val="1F2937"/>
          <w:sz w:val="22"/>
          <w:szCs w:val="22"/>
        </w:rPr>
        <w:t xml:space="preserve">Businesses without a recent SCD get a NotificationLog entry with type 'scd_reminder'</w:t>
      </w:r>
    </w:p>
    <w:p>
      <w:pPr>
        <w:spacing w:after="80" w:before="0" w:line="312"/>
        <w:ind w:left="360" w:hanging="240"/>
      </w:pPr>
      <w:r>
        <w:rPr>
          <w:b/>
          <w:bCs/>
          <w:color w:val="10B981"/>
          <w:sz w:val="22"/>
          <w:szCs w:val="22"/>
        </w:rPr>
        <w:t xml:space="preserve">☐  </w:t>
      </w:r>
      <w:r>
        <w:rPr>
          <w:rFonts w:ascii="Calibri"/>
          <w:color w:val="1F2937"/>
          <w:sz w:val="22"/>
          <w:szCs w:val="22"/>
        </w:rPr>
        <w:t xml:space="preserve">If ownerEmail + SMTP configured, an email is also sent</w:t>
      </w:r>
    </w:p>
    <w:p>
      <w:pPr>
        <w:spacing w:after="80" w:before="0" w:line="312"/>
        <w:ind w:left="360" w:hanging="240"/>
      </w:pPr>
      <w:r>
        <w:rPr>
          <w:b/>
          <w:bCs/>
          <w:color w:val="10B981"/>
          <w:sz w:val="22"/>
          <w:szCs w:val="22"/>
        </w:rPr>
        <w:t xml:space="preserve">☐  </w:t>
      </w:r>
      <w:r>
        <w:rPr>
          <w:rFonts w:ascii="Calibri"/>
          <w:color w:val="1F2937"/>
          <w:sz w:val="22"/>
          <w:szCs w:val="22"/>
        </w:rPr>
        <w:t xml:space="preserve">Notification renders in NotificationCenter with a 'Run count' button that navigates to SCD hub</w:t>
      </w:r>
    </w:p>
    <w:p>
      <w:pPr>
        <w:spacing w:after="80" w:before="0" w:line="312"/>
        <w:ind w:left="360" w:hanging="240"/>
      </w:pPr>
      <w:r>
        <w:rPr>
          <w:b/>
          <w:bCs/>
          <w:color w:val="10B981"/>
          <w:sz w:val="22"/>
          <w:szCs w:val="22"/>
        </w:rPr>
        <w:t xml:space="preserve">☐  </w:t>
      </w:r>
      <w:r>
        <w:rPr>
          <w:rFonts w:ascii="Calibri"/>
          <w:color w:val="1F2937"/>
          <w:sz w:val="22"/>
          <w:szCs w:val="22"/>
        </w:rPr>
        <w:t xml:space="preserve">Job is triggerable manually from /admin via trigger-cron/scd-monthly-reminder</w:t>
      </w:r>
    </w:p>
    <w:p>
      <w:pPr>
        <w:spacing w:after="80" w:before="0" w:line="312"/>
        <w:ind w:left="360" w:hanging="240"/>
      </w:pPr>
      <w:r>
        <w:rPr>
          <w:b/>
          <w:bCs/>
          <w:color w:val="10B981"/>
          <w:sz w:val="22"/>
          <w:szCs w:val="22"/>
        </w:rPr>
        <w:t xml:space="preserve">☐  </w:t>
      </w:r>
      <w:r>
        <w:rPr>
          <w:rFonts w:ascii="Calibri"/>
          <w:color w:val="1F2937"/>
          <w:sz w:val="22"/>
          <w:szCs w:val="22"/>
        </w:rPr>
        <w:t xml:space="preserve">Job logs to CronJobLog on every run (success or failure)</w:t>
      </w:r>
    </w:p>
    <w:p>
      <w:r>
        <w:br w:type="page"/>
      </w:r>
    </w:p>
    <w:p>
      <w:pPr>
        <w:pStyle w:val="Heading1"/>
        <w:spacing w:after="200" w:before="360" w:line="312"/>
      </w:pPr>
      <w:bookmarkStart w:id="100042" w:name="_Toc100042"/>
      <w:r>
        <w:rPr>
          <w:rFonts w:ascii="Calibri" w:eastAsia="Microsoft YaHei"/>
          <w:b/>
          <w:bCs/>
          <w:color w:val="064E3B"/>
          <w:sz w:val="32"/>
          <w:szCs w:val="32"/>
        </w:rPr>
        <w:t xml:space="preserve">8. Implementation Tracking</w:t>
      </w:r>
      <w:bookmarkEnd w:id="100042"/>
    </w:p>
    <w:p>
      <w:pPr>
        <w:pStyle w:val="Heading2"/>
        <w:spacing w:after="140" w:before="280" w:line="312"/>
      </w:pPr>
      <w:bookmarkStart w:id="100043" w:name="_Toc100043"/>
      <w:r>
        <w:rPr>
          <w:rFonts w:ascii="Calibri" w:eastAsia="Microsoft YaHei"/>
          <w:b/>
          <w:bCs/>
          <w:color w:val="064E3B"/>
          <w:sz w:val="28"/>
          <w:szCs w:val="28"/>
        </w:rPr>
        <w:t xml:space="preserve">8.1 Phase status</w:t>
      </w:r>
      <w:bookmarkEnd w:id="100043"/>
    </w:p>
    <w:p>
      <w:pPr>
        <w:spacing w:after="120" w:before="0" w:line="312"/>
        <w:ind w:firstLine="0"/>
        <w:jc w:val="both"/>
      </w:pPr>
      <w:r>
        <w:rPr>
          <w:rFonts w:ascii="Calibri" w:eastAsia="Microsoft YaHei"/>
          <w:color w:val="1F2937"/>
          <w:sz w:val="22"/>
          <w:szCs w:val="22"/>
        </w:rPr>
        <w:t xml:space="preserve">The table below is the single source of truth for SCD enhancement progress. It is duplicated in PROJECT_CONTEXT.md §16 so that any agent starting a new session can see the current state at a glance. Update both this doc and PROJECT_CONTEXT.md when a phase status changes.</w:t>
      </w:r>
    </w:p>
    <w:p>
      <w:pPr>
        <w:keepNext/>
        <w:spacing w:after="100" w:before="200"/>
        <w:jc w:val="left"/>
      </w:pPr>
      <w:r>
        <w:rPr>
          <w:rFonts w:ascii="Calibri" w:eastAsia="Microsoft YaHei"/>
          <w:b/>
          <w:bCs/>
          <w:color w:val="064E3B"/>
          <w:sz w:val="21"/>
          <w:szCs w:val="21"/>
        </w:rPr>
        <w:t xml:space="preserve">Table 10: Phase status tracker</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gridCol w:w="100"/>
      </w:tblGrid>
      <w:tr>
        <w:trPr>
          <w:cantSplit/>
          <w:tblHeader/>
        </w:trPr>
        <w:tc>
          <w:tcPr>
            <w:tcW w:type="pct" w:w="1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Phase</w:t>
            </w:r>
          </w:p>
        </w:tc>
        <w:tc>
          <w:tcPr>
            <w:tcW w:type="pct" w:w="2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Theme</w:t>
            </w:r>
          </w:p>
        </w:tc>
        <w:tc>
          <w:tcPr>
            <w:tcW w:type="pct" w:w="3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Features</w:t>
            </w:r>
          </w:p>
        </w:tc>
        <w:tc>
          <w:tcPr>
            <w:tcW w:type="pct" w:w="17%"/>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Effort</w:t>
            </w:r>
          </w:p>
        </w:tc>
        <w:tc>
          <w:tcPr>
            <w:tcW w:type="pct" w:w="1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Status</w:t>
            </w:r>
          </w:p>
        </w:tc>
      </w:tr>
      <w:tr>
        <w:trPr>
          <w:cantSplit/>
        </w:trPr>
        <w:tc>
          <w:tcPr>
            <w:tcW w:type="pct" w:w="10%"/>
            <w:shd w:fill="F0FDF4" w:val="clear"/>
            <w:tcMar>
              <w:top w:type="dxa" w:w="100"/>
              <w:left w:type="dxa" w:w="120"/>
              <w:bottom w:type="dxa" w:w="100"/>
              <w:right w:type="dxa" w:w="120"/>
            </w:tcMar>
          </w:tcPr>
          <w:p>
            <w:pPr>
              <w:spacing w:line="280"/>
              <w:jc w:val="left"/>
            </w:pPr>
            <w:r>
              <w:rPr>
                <w:rFonts w:ascii="Calibri" w:eastAsia="Microsoft YaHei"/>
                <w:b/>
                <w:bCs/>
                <w:color w:val="1F2937"/>
                <w:sz w:val="20"/>
                <w:szCs w:val="20"/>
              </w:rPr>
              <w:t xml:space="preserve">P1</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Onboarding &amp; Resume</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Empty state, resume count UX</w:t>
            </w:r>
          </w:p>
        </w:tc>
        <w:tc>
          <w:tcPr>
            <w:tcW w:type="pct" w:w="17%"/>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 session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Pending</w:t>
            </w:r>
          </w:p>
        </w:tc>
      </w:tr>
      <w:tr>
        <w:trPr>
          <w:cantSplit/>
        </w:trPr>
        <w:tc>
          <w:tcPr>
            <w:tcW w:type="pct" w:w="10%"/>
            <w:shd w:fill="F0FDF4" w:val="clear"/>
            <w:tcMar>
              <w:top w:type="dxa" w:w="100"/>
              <w:left w:type="dxa" w:w="120"/>
              <w:bottom w:type="dxa" w:w="100"/>
              <w:right w:type="dxa" w:w="120"/>
            </w:tcMar>
          </w:tcPr>
          <w:p>
            <w:pPr>
              <w:spacing w:line="280"/>
              <w:jc w:val="left"/>
            </w:pPr>
            <w:r>
              <w:rPr>
                <w:rFonts w:ascii="Calibri" w:eastAsia="Microsoft YaHei"/>
                <w:b/>
                <w:bCs/>
                <w:color w:val="1F2937"/>
                <w:sz w:val="20"/>
                <w:szCs w:val="20"/>
              </w:rPr>
              <w:t xml:space="preserve">P2</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Variance UX</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Search/filter, reason capture</w:t>
            </w:r>
          </w:p>
        </w:tc>
        <w:tc>
          <w:tcPr>
            <w:tcW w:type="pct" w:w="17%"/>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 session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Pending</w:t>
            </w:r>
          </w:p>
        </w:tc>
      </w:tr>
      <w:tr>
        <w:trPr>
          <w:cantSplit/>
        </w:trPr>
        <w:tc>
          <w:tcPr>
            <w:tcW w:type="pct" w:w="10%"/>
            <w:shd w:fill="F0FDF4" w:val="clear"/>
            <w:tcMar>
              <w:top w:type="dxa" w:w="100"/>
              <w:left w:type="dxa" w:w="120"/>
              <w:bottom w:type="dxa" w:w="100"/>
              <w:right w:type="dxa" w:w="120"/>
            </w:tcMar>
          </w:tcPr>
          <w:p>
            <w:pPr>
              <w:spacing w:line="280"/>
              <w:jc w:val="left"/>
            </w:pPr>
            <w:r>
              <w:rPr>
                <w:rFonts w:ascii="Calibri" w:eastAsia="Microsoft YaHei"/>
                <w:b/>
                <w:bCs/>
                <w:color w:val="1F2937"/>
                <w:sz w:val="20"/>
                <w:szCs w:val="20"/>
              </w:rPr>
              <w:t xml:space="preserve">P3</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Smart Zones</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Zone inheritance + scan-to-assign + manual add</w:t>
            </w:r>
          </w:p>
        </w:tc>
        <w:tc>
          <w:tcPr>
            <w:tcW w:type="pct" w:w="17%"/>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 sessions</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Pending</w:t>
            </w:r>
          </w:p>
        </w:tc>
      </w:tr>
      <w:tr>
        <w:trPr>
          <w:cantSplit/>
        </w:trPr>
        <w:tc>
          <w:tcPr>
            <w:tcW w:type="pct" w:w="10%"/>
            <w:shd w:fill="F0FDF4" w:val="clear"/>
            <w:tcMar>
              <w:top w:type="dxa" w:w="100"/>
              <w:left w:type="dxa" w:w="120"/>
              <w:bottom w:type="dxa" w:w="100"/>
              <w:right w:type="dxa" w:w="120"/>
            </w:tcMar>
          </w:tcPr>
          <w:p>
            <w:pPr>
              <w:spacing w:line="280"/>
              <w:jc w:val="left"/>
            </w:pPr>
            <w:r>
              <w:rPr>
                <w:rFonts w:ascii="Calibri" w:eastAsia="Microsoft YaHei"/>
                <w:b/>
                <w:bCs/>
                <w:color w:val="1F2937"/>
                <w:sz w:val="20"/>
                <w:szCs w:val="20"/>
              </w:rPr>
              <w:t xml:space="preserve">P4</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Export &amp; History</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PDF/Excel export, history detail view</w:t>
            </w:r>
          </w:p>
        </w:tc>
        <w:tc>
          <w:tcPr>
            <w:tcW w:type="pct" w:w="17%"/>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 session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Pending</w:t>
            </w:r>
          </w:p>
        </w:tc>
      </w:tr>
      <w:tr>
        <w:trPr>
          <w:cantSplit/>
        </w:trPr>
        <w:tc>
          <w:tcPr>
            <w:tcW w:type="pct" w:w="10%"/>
            <w:shd w:fill="F0FDF4" w:val="clear"/>
            <w:tcMar>
              <w:top w:type="dxa" w:w="100"/>
              <w:left w:type="dxa" w:w="120"/>
              <w:bottom w:type="dxa" w:w="100"/>
              <w:right w:type="dxa" w:w="120"/>
            </w:tcMar>
          </w:tcPr>
          <w:p>
            <w:pPr>
              <w:spacing w:line="280"/>
              <w:jc w:val="left"/>
            </w:pPr>
            <w:r>
              <w:rPr>
                <w:rFonts w:ascii="Calibri" w:eastAsia="Microsoft YaHei"/>
                <w:b/>
                <w:bCs/>
                <w:color w:val="1F2937"/>
                <w:sz w:val="20"/>
                <w:szCs w:val="20"/>
              </w:rPr>
              <w:t xml:space="preserve">P5</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Reminders</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Scheduled monthly nudge</w:t>
            </w:r>
          </w:p>
        </w:tc>
        <w:tc>
          <w:tcPr>
            <w:tcW w:type="pct" w:w="17%"/>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 session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Pending</w:t>
            </w:r>
          </w:p>
        </w:tc>
      </w:tr>
    </w:tbl>
    <w:p>
      <w:pPr>
        <w:spacing w:after="240" w:before="0" w:line="240"/>
      </w:pPr>
      <w:r>
        <w:t xml:space="preserve"/>
      </w:r>
    </w:p>
    <w:p>
      <w:pPr>
        <w:pStyle w:val="Heading2"/>
        <w:spacing w:after="140" w:before="280" w:line="312"/>
      </w:pPr>
      <w:bookmarkStart w:id="100044" w:name="_Toc100044"/>
      <w:r>
        <w:rPr>
          <w:rFonts w:ascii="Calibri" w:eastAsia="Microsoft YaHei"/>
          <w:b/>
          <w:bCs/>
          <w:color w:val="064E3B"/>
          <w:sz w:val="28"/>
          <w:szCs w:val="28"/>
        </w:rPr>
        <w:t xml:space="preserve">8.2 Worklog protocol</w:t>
      </w:r>
      <w:bookmarkEnd w:id="100044"/>
    </w:p>
    <w:p>
      <w:pPr>
        <w:spacing w:after="120" w:before="0" w:line="312"/>
        <w:ind w:firstLine="0"/>
        <w:jc w:val="both"/>
      </w:pPr>
      <w:r>
        <w:rPr>
          <w:rFonts w:ascii="Calibri" w:eastAsia="Microsoft YaHei"/>
          <w:color w:val="1F2937"/>
          <w:sz w:val="22"/>
          <w:szCs w:val="22"/>
        </w:rPr>
        <w:t xml:space="preserve">Each phase gets one worklog.md entry on completion, using the Task ID pattern scd-enhance-pN (where N is the phase number). The entry follows the standard template (Task ID / Agent / Task / Work Log / Stage Summary) and must reference this spec doc. After committing a phase, update the status column in Table 10 above and in PROJECT_CONTEXT.md §16 to 'Done' with the commit SHA.</w:t>
      </w:r>
    </w:p>
    <w:p>
      <w:pPr>
        <w:pStyle w:val="Heading2"/>
        <w:spacing w:after="140" w:before="280" w:line="312"/>
      </w:pPr>
      <w:bookmarkStart w:id="100045" w:name="_Toc100045"/>
      <w:r>
        <w:rPr>
          <w:rFonts w:ascii="Calibri" w:eastAsia="Microsoft YaHei"/>
          <w:b/>
          <w:bCs/>
          <w:color w:val="064E3B"/>
          <w:sz w:val="28"/>
          <w:szCs w:val="28"/>
        </w:rPr>
        <w:t xml:space="preserve">8.3 Commit + tag convention</w:t>
      </w:r>
      <w:bookmarkEnd w:id="100045"/>
    </w:p>
    <w:p>
      <w:pPr>
        <w:pStyle w:val="ListParagraph"/>
        <w:numPr>
          <w:ilvl w:val="0"/>
          <w:numId w:val="1"/>
        </w:numPr>
        <w:spacing w:after="80" w:line="312"/>
      </w:pPr>
      <w:r>
        <w:rPr>
          <w:rFonts w:ascii="Calibri" w:eastAsia="Microsoft YaHei"/>
          <w:color w:val="1F2937"/>
          <w:sz w:val="22"/>
          <w:szCs w:val="22"/>
        </w:rPr>
        <w:t xml:space="preserve">Commit message: feat(scd): P1 — onboarding + resume count UX</w:t>
      </w:r>
    </w:p>
    <w:p>
      <w:pPr>
        <w:pStyle w:val="ListParagraph"/>
        <w:numPr>
          <w:ilvl w:val="0"/>
          <w:numId w:val="1"/>
        </w:numPr>
        <w:spacing w:after="80" w:line="312"/>
      </w:pPr>
      <w:r>
        <w:rPr>
          <w:rFonts w:ascii="Calibri" w:eastAsia="Microsoft YaHei"/>
          <w:color w:val="1F2937"/>
          <w:sz w:val="22"/>
          <w:szCs w:val="22"/>
        </w:rPr>
        <w:t xml:space="preserve">Tag on phase completion: v1.6.0-scd-p1, v1.6.1-scd-p2, etc. (continuing the v1.5.0-ai-ops tag series)</w:t>
      </w:r>
    </w:p>
    <w:p>
      <w:pPr>
        <w:pStyle w:val="ListParagraph"/>
        <w:numPr>
          <w:ilvl w:val="0"/>
          <w:numId w:val="1"/>
        </w:numPr>
        <w:spacing w:after="80" w:line="312"/>
      </w:pPr>
      <w:r>
        <w:rPr>
          <w:rFonts w:ascii="Calibri" w:eastAsia="Microsoft YaHei"/>
          <w:color w:val="1F2937"/>
          <w:sz w:val="22"/>
          <w:szCs w:val="22"/>
        </w:rPr>
        <w:t xml:space="preserve">All changes go through the pre-push guardrail (scripts/pre-push-check.sh) per DEPLOYMENT_WORKFLOW.md</w:t>
      </w:r>
    </w:p>
    <w:p>
      <w:pPr>
        <w:pStyle w:val="Heading2"/>
        <w:spacing w:after="140" w:before="280" w:line="312"/>
      </w:pPr>
      <w:bookmarkStart w:id="100046" w:name="_Toc100046"/>
      <w:r>
        <w:rPr>
          <w:rFonts w:ascii="Calibri" w:eastAsia="Microsoft YaHei"/>
          <w:b/>
          <w:bCs/>
          <w:color w:val="064E3B"/>
          <w:sz w:val="28"/>
          <w:szCs w:val="28"/>
        </w:rPr>
        <w:t xml:space="preserve">8.4 Sequencing dependencies</w:t>
      </w:r>
      <w:bookmarkEnd w:id="100046"/>
    </w:p>
    <w:p>
      <w:pPr>
        <w:spacing w:after="120" w:before="0" w:line="312"/>
        <w:ind w:firstLine="0"/>
        <w:jc w:val="both"/>
      </w:pPr>
      <w:r>
        <w:rPr>
          <w:rFonts w:ascii="Calibri" w:eastAsia="Microsoft YaHei"/>
          <w:color w:val="1F2937"/>
          <w:sz w:val="22"/>
          <w:szCs w:val="22"/>
        </w:rPr>
        <w:t xml:space="preserve">Phases are designed to be independent, but there are two soft dependencies to be aware of:</w:t>
      </w:r>
    </w:p>
    <w:p>
      <w:pPr>
        <w:pStyle w:val="ListParagraph"/>
        <w:numPr>
          <w:ilvl w:val="0"/>
          <w:numId w:val="1"/>
        </w:numPr>
        <w:spacing w:after="80" w:line="312"/>
      </w:pPr>
      <w:r>
        <w:rPr>
          <w:rFonts w:ascii="Calibri" w:eastAsia="Microsoft YaHei"/>
          <w:color w:val="1F2937"/>
          <w:sz w:val="22"/>
          <w:szCs w:val="22"/>
        </w:rPr>
        <w:t xml:space="preserve">P4 (export) benefits from P2 (reason capture) — the exported PDF/Excel includes reason codes, so shipping P2 first makes P4's output richer. However, P4 can ship first with reasons omitted and add them when P2 lands.</w:t>
      </w:r>
    </w:p>
    <w:p>
      <w:pPr>
        <w:pStyle w:val="ListParagraph"/>
        <w:numPr>
          <w:ilvl w:val="0"/>
          <w:numId w:val="1"/>
        </w:numPr>
        <w:spacing w:after="80" w:line="312"/>
      </w:pPr>
      <w:r>
        <w:rPr>
          <w:rFonts w:ascii="Calibri" w:eastAsia="Microsoft YaHei"/>
          <w:color w:val="1F2937"/>
          <w:sz w:val="22"/>
          <w:szCs w:val="22"/>
        </w:rPr>
        <w:t xml:space="preserve">P5 (reminders) links to past SCD history detail (P4). If P5 ships first, the reminder deep-links to the SCD hub instead of the history detail — a minor UX downgrade but not a blocker.</w:t>
      </w:r>
    </w:p>
    <w:p>
      <w:pPr>
        <w:pBdr>
          <w:left w:val="single" w:color="8B5CF6" w:sz="18" w:space="12"/>
        </w:pBdr>
        <w:spacing w:after="160" w:before="160" w:line="312"/>
        <w:ind w:left="240"/>
      </w:pPr>
      <w:r>
        <w:rPr>
          <w:rFonts w:ascii="Calibri" w:eastAsia="Microsoft YaHei"/>
          <w:i/>
          <w:iCs/>
          <w:color w:val="1F2937"/>
          <w:sz w:val="22"/>
          <w:szCs w:val="22"/>
        </w:rPr>
        <w:t xml:space="preserve">Recommended order: P1 → P2 → P3 → P4 → P5. This maximises user-impact-per-session and lets each phase build on the previous one's data model.</w:t>
      </w:r>
    </w:p>
    <w:p>
      <w:pPr>
        <w:pStyle w:val="Heading2"/>
        <w:spacing w:after="140" w:before="280" w:line="312"/>
      </w:pPr>
      <w:bookmarkStart w:id="100047" w:name="_Toc100047"/>
      <w:r>
        <w:rPr>
          <w:rFonts w:ascii="Calibri" w:eastAsia="Microsoft YaHei"/>
          <w:b/>
          <w:bCs/>
          <w:color w:val="064E3B"/>
          <w:sz w:val="28"/>
          <w:szCs w:val="28"/>
        </w:rPr>
        <w:t xml:space="preserve">8.5 Estimated total effort</w:t>
      </w:r>
      <w:bookmarkEnd w:id="100047"/>
    </w:p>
    <w:p>
      <w:pPr>
        <w:keepNext/>
        <w:spacing w:after="100" w:before="200"/>
        <w:jc w:val="left"/>
      </w:pPr>
      <w:r>
        <w:rPr>
          <w:rFonts w:ascii="Calibri" w:eastAsia="Microsoft YaHei"/>
          <w:b/>
          <w:bCs/>
          <w:color w:val="064E3B"/>
          <w:sz w:val="21"/>
          <w:szCs w:val="21"/>
        </w:rPr>
        <w:t xml:space="preserve">Table 11: Effort estimate per phase (in implementation sessions)</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tblGrid>
      <w:tr>
        <w:trPr>
          <w:cantSplit/>
          <w:tblHeader/>
        </w:trPr>
        <w:tc>
          <w:tcPr>
            <w:tcW w:type="pct" w:w="1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Phase</w:t>
            </w:r>
          </w:p>
        </w:tc>
        <w:tc>
          <w:tcPr>
            <w:tcW w:type="pct" w:w="2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Sessions</w:t>
            </w:r>
          </w:p>
        </w:tc>
        <w:tc>
          <w:tcPr>
            <w:tcW w:type="pct" w:w="6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Notes</w:t>
            </w:r>
          </w:p>
        </w:tc>
      </w:tr>
      <w:tr>
        <w:trPr>
          <w:cantSplit/>
        </w:trPr>
        <w:tc>
          <w:tcPr>
            <w:tcW w:type="pct" w:w="1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P1</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w:t>
            </w:r>
          </w:p>
        </w:tc>
        <w:tc>
          <w:tcPr>
            <w:tcW w:type="pct" w:w="6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UI-only, no schema change</w:t>
            </w:r>
          </w:p>
        </w:tc>
      </w:tr>
      <w:tr>
        <w:trPr>
          <w:cantSplit/>
        </w:trPr>
        <w:tc>
          <w:tcPr>
            <w:tcW w:type="pct" w:w="1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P2</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w:t>
            </w:r>
          </w:p>
        </w:tc>
        <w:tc>
          <w:tcPr>
            <w:tcW w:type="pct" w:w="6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Small schema addition + dialog component</w:t>
            </w:r>
          </w:p>
        </w:tc>
      </w:tr>
      <w:tr>
        <w:trPr>
          <w:cantSplit/>
        </w:trPr>
        <w:tc>
          <w:tcPr>
            <w:tcW w:type="pct" w:w="1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P3</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w:t>
            </w:r>
          </w:p>
        </w:tc>
        <w:tc>
          <w:tcPr>
            <w:tcW w:type="pct" w:w="6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Largest phase: snapshot table + scan-to-assign logic + manual-add dialog</w:t>
            </w:r>
          </w:p>
        </w:tc>
      </w:tr>
      <w:tr>
        <w:trPr>
          <w:cantSplit/>
        </w:trPr>
        <w:tc>
          <w:tcPr>
            <w:tcW w:type="pct" w:w="1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P4</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w:t>
            </w:r>
          </w:p>
        </w:tc>
        <w:tc>
          <w:tcPr>
            <w:tcW w:type="pct" w:w="6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Two export endpoints + history-detail screen</w:t>
            </w:r>
          </w:p>
        </w:tc>
      </w:tr>
      <w:tr>
        <w:trPr>
          <w:cantSplit/>
        </w:trPr>
        <w:tc>
          <w:tcPr>
            <w:tcW w:type="pct" w:w="1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P5</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w:t>
            </w:r>
          </w:p>
        </w:tc>
        <w:tc>
          <w:tcPr>
            <w:tcW w:type="pct" w:w="6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Cron job + notification rendering</w:t>
            </w:r>
          </w:p>
        </w:tc>
      </w:tr>
      <w:tr>
        <w:trPr>
          <w:cantSplit/>
        </w:trPr>
        <w:tc>
          <w:tcPr>
            <w:tcW w:type="pct" w:w="15%"/>
            <w:shd w:fill="F0FDF4" w:val="clear"/>
            <w:tcMar>
              <w:top w:type="dxa" w:w="100"/>
              <w:left w:type="dxa" w:w="120"/>
              <w:bottom w:type="dxa" w:w="100"/>
              <w:right w:type="dxa" w:w="120"/>
            </w:tcMar>
          </w:tcPr>
          <w:p>
            <w:pPr>
              <w:spacing w:line="280"/>
              <w:jc w:val="left"/>
            </w:pPr>
            <w:r>
              <w:rPr>
                <w:rFonts w:ascii="Calibri" w:eastAsia="Microsoft YaHei"/>
                <w:b/>
                <w:bCs/>
                <w:color w:val="1F2937"/>
                <w:sz w:val="20"/>
                <w:szCs w:val="20"/>
              </w:rPr>
              <w:t xml:space="preserve">Total</w:t>
            </w:r>
          </w:p>
        </w:tc>
        <w:tc>
          <w:tcPr>
            <w:tcW w:type="pct" w:w="20%"/>
            <w:shd w:fill="F0FDF4" w:val="clear"/>
            <w:tcMar>
              <w:top w:type="dxa" w:w="100"/>
              <w:left w:type="dxa" w:w="120"/>
              <w:bottom w:type="dxa" w:w="100"/>
              <w:right w:type="dxa" w:w="120"/>
            </w:tcMar>
          </w:tcPr>
          <w:p>
            <w:pPr>
              <w:spacing w:line="280"/>
              <w:jc w:val="left"/>
            </w:pPr>
            <w:r>
              <w:rPr>
                <w:rFonts w:ascii="Calibri" w:eastAsia="Microsoft YaHei"/>
                <w:b/>
                <w:bCs/>
                <w:color w:val="1F2937"/>
                <w:sz w:val="20"/>
                <w:szCs w:val="20"/>
              </w:rPr>
              <w:t xml:space="preserve">6 sessions</w:t>
            </w:r>
          </w:p>
        </w:tc>
        <w:tc>
          <w:tcPr>
            <w:tcW w:type="pct" w:w="65%"/>
            <w:shd w:fill="F0FDF4" w:val="clear"/>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Approx 1–2 weeks of part-time work</w:t>
            </w:r>
          </w:p>
        </w:tc>
      </w:tr>
    </w:tbl>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B7280"/>
        <w:sz w:val="18"/>
        <w:szCs w:val="18"/>
      </w:rPr>
      <w:t xml:space="preserve">InventoryOS — SCD Enhancement Plan  |  Page </w:t>
    </w:r>
    <w:r>
      <w:rPr>
        <w:rFonts w:asci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0B981" w:sz="4" w:space="4"/>
      </w:pBdr>
      <w:jc w:val="right"/>
    </w:pPr>
    <w:r>
      <w:rPr>
        <w:rFonts w:ascii="Calibri"/>
        <w:i/>
        <w:iCs/>
        <w:color w:val="6B7280"/>
        <w:sz w:val="18"/>
        <w:szCs w:val="18"/>
      </w:rPr>
      <w:t xml:space="preserve">Stock Count Day Enhancement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F2937"/>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Calibri"/>
      <w:b/>
      <w:bCs/>
      <w:color w:val="064E3B"/>
      <w:sz w:val="32"/>
      <w:szCs w:val="32"/>
    </w:rPr>
  </w:style>
  <w:style w:type="paragraph" w:styleId="Heading2">
    <w:pPr>
      <w:outlineLvl w:val="1"/>
    </w:pPr>
    <w:name w:val="Heading 2"/>
    <w:basedOn w:val="Normal"/>
    <w:next w:val="Normal"/>
    <w:qFormat/>
    <w:rPr>
      <w:rFonts w:ascii="Calibri"/>
      <w:b/>
      <w:bCs/>
      <w:color w:val="064E3B"/>
      <w:sz w:val="28"/>
      <w:szCs w:val="28"/>
    </w:rPr>
  </w:style>
  <w:style w:type="paragraph" w:styleId="Heading3">
    <w:pPr>
      <w:outlineLvl w:val="2"/>
    </w:pPr>
    <w:name w:val="Heading 3"/>
    <w:basedOn w:val="Normal"/>
    <w:next w:val="Normal"/>
    <w:qFormat/>
    <w:rPr>
      <w:rFonts w:ascii="Calibri"/>
      <w:b/>
      <w:bCs/>
      <w:color w:val="064E3B"/>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 Count Day Enhancement Plan</dc:title>
  <dc:creator>InventoryOS</dc:creator>
  <dc:description>Phased plan for 8 SCD enhancement features</dc:description>
  <cp:lastModifiedBy>Un-named</cp:lastModifiedBy>
  <cp:revision>1</cp:revision>
  <dcterms:created xsi:type="dcterms:W3CDTF">2026-07-04T07:18:21.913Z</dcterms:created>
  <dcterms:modified xsi:type="dcterms:W3CDTF">2026-07-04T07:18:21.914Z</dcterms:modified>
</cp:coreProperties>
</file>

<file path=docProps/custom.xml><?xml version="1.0" encoding="utf-8"?>
<Properties xmlns="http://schemas.openxmlformats.org/officeDocument/2006/custom-properties" xmlns:vt="http://schemas.openxmlformats.org/officeDocument/2006/docPropsVTypes"/>
</file>