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062F23" w:val="clear"/>
          </w:tcPr>
          <w:p>
            <w:pPr>
              <w:spacing w:before="3200"/>
            </w:pPr>
          </w:p>
          <w:p>
            <w:pPr>
              <w:pBdr>
                <w:bottom w:val="single" w:color="10B981" w:sz="6" w:space="8"/>
              </w:pBdr>
              <w:spacing w:after="500" w:line="360" w:lineRule="atLeast"/>
              <w:ind w:left="1200" w:right="800"/>
            </w:pPr>
            <w:r>
              <w:rPr>
                <w:rFonts w:ascii="Calibri"/>
                <w:b/>
                <w:bCs/>
                <w:color w:val="10B981"/>
                <w:spacing w:val="40"/>
                <w:sz w:val="18"/>
                <w:szCs w:val="18"/>
              </w:rPr>
              <w:t xml:space="preserve">P R O D U C T   S P E C   /   J U L Y   2 0 2 6</w:t>
            </w:r>
          </w:p>
          <w:p>
            <w:pPr>
              <w:spacing w:after="100" w:line="828" w:lineRule="atLeast"/>
              <w:ind w:left="1200"/>
            </w:pPr>
            <w:r>
              <w:rPr>
                <w:rFonts w:ascii="Arial"/>
                <w:b/>
                <w:bCs/>
                <w:color w:val="FFFFFF"/>
                <w:sz w:val="72"/>
                <w:szCs w:val="72"/>
              </w:rPr>
              <w:t xml:space="preserve">Subscription</w:t>
            </w:r>
          </w:p>
          <w:p>
            <w:pPr>
              <w:spacing w:after="320" w:line="828" w:lineRule="atLeast"/>
              <w:ind w:left="1200"/>
            </w:pPr>
            <w:r>
              <w:rPr>
                <w:rFonts w:ascii="Arial"/>
                <w:b/>
                <w:bCs/>
                <w:color w:val="FFFFFF"/>
                <w:sz w:val="72"/>
                <w:szCs w:val="72"/>
              </w:rPr>
              <w:t xml:space="preserve">Management System</w:t>
            </w:r>
          </w:p>
          <w:p>
            <w:pPr>
              <w:spacing w:after="240" w:line="360" w:lineRule="atLeast"/>
              <w:ind w:left="1200"/>
            </w:pPr>
            <w:r>
              <w:rPr>
                <w:rFonts w:ascii="Arial"/>
                <w:color w:val="A7E3C6"/>
                <w:sz w:val="26"/>
                <w:szCs w:val="26"/>
              </w:rPr>
              <w:t xml:space="preserve">Per-shop billing, grace periods, bKash/Nagad payments, super-admin monitoring</w:t>
            </w:r>
          </w:p>
          <w:p>
            <w:pPr>
              <w:spacing w:after="900" w:line="320" w:lineRule="atLeast"/>
              <w:ind w:left="1200"/>
            </w:pPr>
            <w:r>
              <w:rPr>
                <w:rFonts w:ascii="Arial"/>
                <w:i/>
                <w:iCs/>
                <w:color w:val="E8F5EE"/>
                <w:sz w:val="22"/>
                <w:szCs w:val="22"/>
              </w:rPr>
              <w:t xml:space="preserve">6 phases — schema → lifecycle → payments → monitoring → SSL Commerz → polish</w:t>
            </w:r>
          </w:p>
          <w:p>
            <w:pPr>
              <w:pBdr>
                <w:left w:val="single" w:color="10B981" w:sz="8" w:space="12"/>
              </w:pBdr>
              <w:spacing w:after="100" w:line="320"/>
              <w:ind w:left="1400"/>
            </w:pPr>
            <w:r>
              <w:rPr>
                <w:rFonts w:ascii="Arial"/>
                <w:color w:val="E8F5EE"/>
                <w:sz w:val="22"/>
                <w:szCs w:val="22"/>
              </w:rPr>
              <w:t xml:space="preserve">Module: Platform-wide — affects all businesses + super-admin</w:t>
            </w:r>
          </w:p>
          <w:p>
            <w:pPr>
              <w:pBdr>
                <w:left w:val="single" w:color="10B981" w:sz="8" w:space="12"/>
              </w:pBdr>
              <w:spacing w:after="100" w:line="320"/>
              <w:ind w:left="1400"/>
            </w:pPr>
            <w:r>
              <w:rPr>
                <w:rFonts w:ascii="Arial"/>
                <w:color w:val="E8F5EE"/>
                <w:sz w:val="22"/>
                <w:szCs w:val="22"/>
              </w:rPr>
              <w:t xml:space="preserve">Payment methods: bKash + Nagad (manual) + SSL Commerz (P5)</w:t>
            </w:r>
          </w:p>
          <w:p>
            <w:pPr>
              <w:pBdr>
                <w:left w:val="single" w:color="10B981" w:sz="8" w:space="12"/>
              </w:pBdr>
              <w:spacing w:after="100" w:line="320"/>
              <w:ind w:left="1400"/>
            </w:pPr>
            <w:r>
              <w:rPr>
                <w:rFonts w:ascii="Arial"/>
                <w:color w:val="E8F5EE"/>
                <w:sz w:val="22"/>
                <w:szCs w:val="22"/>
              </w:rPr>
              <w:t xml:space="preserve">Tiers: Free / Pro (800 BDT) / Pro AI (1,500 BDT) — 3-tier structure</w:t>
            </w:r>
          </w:p>
          <w:p>
            <w:pPr>
              <w:pBdr>
                <w:left w:val="single" w:color="10B981" w:sz="8" w:space="12"/>
              </w:pBdr>
              <w:spacing w:after="100" w:line="320"/>
              <w:ind w:left="1400"/>
            </w:pPr>
            <w:r>
              <w:rPr>
                <w:rFonts w:ascii="Arial"/>
                <w:color w:val="E8F5EE"/>
                <w:sz w:val="22"/>
                <w:szCs w:val="22"/>
              </w:rPr>
              <w:t xml:space="preserve">Tracking file: PROJECT_CONTEXT.md §18 (added after this spec)</w:t>
            </w:r>
          </w:p>
          <w:p>
            <w:pPr>
              <w:spacing w:before="2200"/>
            </w:pPr>
          </w:p>
          <w:p>
            <w:pPr>
              <w:pBdr>
                <w:top w:val="single" w:color="10B981" w:sz="2" w:space="8"/>
              </w:pBdr>
              <w:spacing w:before="200" w:line="320"/>
              <w:ind w:left="1200" w:right="800"/>
            </w:pPr>
            <w:r>
              <w:rPr>
                <w:rFonts w:ascii="Arial"/>
                <w:color w:val="9CA3AF"/>
                <w:sz w:val="16"/>
                <w:szCs w:val="16"/>
              </w:rPr>
              <w:t xml:space="preserve">Prepared by: Super Z</w:t>
            </w:r>
            <w:r>
              <w:rPr>
                <w:color w:val="9CA3AF"/>
                <w:sz w:val="16"/>
                <w:szCs w:val="16"/>
              </w:rPr>
              <w:t xml:space="preserve">                                        </w:t>
            </w:r>
            <w:r>
              <w:rPr>
                <w:rFonts w:ascii="Arial"/>
                <w:color w:val="9CA3AF"/>
                <w:sz w:val="16"/>
                <w:szCs w:val="16"/>
              </w:rPr>
              <w:t xml:space="preserve">Confidential — Internal Use</w:t>
            </w:r>
          </w:p>
        </w:tc>
      </w:tr>
    </w:tbl>
    <w:p>
      <w:pPr>
        <w:sectPr>
          <w:type w:val="nextPage"/>
          <w:pgSz w:w="11906" w:h="16838" w:orient="portrait"/>
          <w:pgMar w:top="0" w:right="0" w:bottom="0" w:left="0" w:header="708" w:footer="708" w:gutter="0"/>
          <w:pgNumType/>
          <w:docGrid w:linePitch="360"/>
        </w:sectPr>
      </w:pPr>
    </w:p>
    <w:p>
      <w:pPr>
        <w:spacing w:after="200" w:before="200"/>
      </w:pPr>
      <w:r>
        <w:rPr>
          <w:rFonts w:ascii="Calibri"/>
          <w:b/>
          <w:bCs/>
          <w:color w:val="064E3B"/>
          <w:sz w:val="32"/>
          <w:szCs w:val="32"/>
        </w:rPr>
        <w:t xml:space="preserve">Table of Contents</w:t>
      </w:r>
    </w:p>
    <w:sdt>
      <w:sdtPr>
        <w:alias w:val="Table of Contents"/>
      </w:sdtPr>
      <w:sdtContent>
        <w:p>
          <w:r>
            <w:fldChar w:fldCharType="begin" w:dirty="true"/>
          </w:r>
          <w:r>
            <w:instrText xml:space="preserve">TOC \h \o "1-3"</w:instrText>
          </w:r>
          <w:r>
            <w:fldChar w:fldCharType="separate"/>
          </w:r>
        </w:p>
        <w:p>
          <w:pPr>
            <w:pStyle w:val="9"/>
            <w:tabs>
              <w:tab w:val="right" w:leader="dot" w:pos="9026"/>
            </w:tabs>
            <w:spacing w:before="120" w:after="60"/>
          </w:pPr>
          <w:hyperlink w:anchor="_Toc100000" w:history="1">
            <w:r>
              <w:rPr>
                <w:rStyle w:val="Hyperlink"/>
              </w:rPr>
              <w:t>1. Executive Summary</w:t>
            </w:r>
            <w:r>
              <w:tab/>
            </w:r>
            <w:r>
              <w:fldChar w:fldCharType="begin"/>
            </w:r>
            <w:r>
              <w:instrText xml:space="preserve"> PAGEREF _Toc100000 \h </w:instrText>
            </w:r>
            <w:r>
              <w:fldChar w:fldCharType="separate"/>
            </w:r>
            <w:r>
              <w:t>1</w:t>
            </w:r>
            <w:r>
              <w:fldChar w:fldCharType="end"/>
            </w:r>
          </w:hyperlink>
        </w:p>
        <w:p>
          <w:pPr>
            <w:pStyle w:val="12"/>
            <w:ind w:left="720"/>
            <w:tabs>
              <w:tab w:val="right" w:leader="dot" w:pos="9026"/>
            </w:tabs>
            <w:spacing w:before="120" w:after="60"/>
          </w:pPr>
          <w:hyperlink w:anchor="_Toc100001" w:history="1">
            <w:r>
              <w:rPr>
                <w:rStyle w:val="Hyperlink"/>
              </w:rPr>
              <w:t>Key design decisions</w:t>
            </w:r>
            <w:r>
              <w:tab/>
            </w:r>
            <w:r>
              <w:fldChar w:fldCharType="begin"/>
            </w:r>
            <w:r>
              <w:instrText xml:space="preserve"> PAGEREF _Toc100001 \h </w:instrText>
            </w:r>
            <w:r>
              <w:fldChar w:fldCharType="separate"/>
            </w:r>
            <w:r>
              <w:t>1</w:t>
            </w:r>
            <w:r>
              <w:fldChar w:fldCharType="end"/>
            </w:r>
          </w:hyperlink>
        </w:p>
        <w:p>
          <w:pPr>
            <w:pStyle w:val="12"/>
            <w:ind w:left="720"/>
            <w:tabs>
              <w:tab w:val="right" w:leader="dot" w:pos="9026"/>
            </w:tabs>
            <w:spacing w:before="120" w:after="60"/>
          </w:pPr>
          <w:hyperlink w:anchor="_Toc100002" w:history="1">
            <w:r>
              <w:rPr>
                <w:rStyle w:val="Hyperlink"/>
              </w:rPr>
              <w:t>Phase overview</w:t>
            </w:r>
            <w:r>
              <w:tab/>
            </w:r>
            <w:r>
              <w:fldChar w:fldCharType="begin"/>
            </w:r>
            <w:r>
              <w:instrText xml:space="preserve"> PAGEREF _Toc100002 \h </w:instrText>
            </w:r>
            <w:r>
              <w:fldChar w:fldCharType="separate"/>
            </w:r>
            <w:r>
              <w:t>2</w:t>
            </w:r>
            <w:r>
              <w:fldChar w:fldCharType="end"/>
            </w:r>
          </w:hyperlink>
        </w:p>
        <w:p>
          <w:pPr>
            <w:pStyle w:val="9"/>
            <w:tabs>
              <w:tab w:val="right" w:leader="dot" w:pos="9026"/>
            </w:tabs>
            <w:spacing w:before="120" w:after="60"/>
          </w:pPr>
          <w:hyperlink w:anchor="_Toc100003" w:history="1">
            <w:r>
              <w:rPr>
                <w:rStyle w:val="Hyperlink"/>
              </w:rPr>
              <w:t>2. Bangladesh Market Research + Package Recommendation</w:t>
            </w:r>
            <w:r>
              <w:tab/>
            </w:r>
            <w:r>
              <w:fldChar w:fldCharType="begin"/>
            </w:r>
            <w:r>
              <w:instrText xml:space="preserve"> PAGEREF _Toc100003 \h </w:instrText>
            </w:r>
            <w:r>
              <w:fldChar w:fldCharType="separate"/>
            </w:r>
            <w:r>
              <w:t>3</w:t>
            </w:r>
            <w:r>
              <w:fldChar w:fldCharType="end"/>
            </w:r>
          </w:hyperlink>
        </w:p>
        <w:p>
          <w:pPr>
            <w:pStyle w:val="11"/>
            <w:ind w:left="360"/>
            <w:tabs>
              <w:tab w:val="right" w:leader="dot" w:pos="9026"/>
            </w:tabs>
            <w:spacing w:before="120" w:after="60"/>
          </w:pPr>
          <w:hyperlink w:anchor="_Toc100004" w:history="1">
            <w:r>
              <w:rPr>
                <w:rStyle w:val="Hyperlink"/>
              </w:rPr>
              <w:t>2.1 BD pharmacy software pricing landscape</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2.2 Recommended 3-tier structure</w:t>
            </w:r>
            <w:r>
              <w:tab/>
            </w:r>
            <w:r>
              <w:fldChar w:fldCharType="begin"/>
            </w:r>
            <w:r>
              <w:instrText xml:space="preserve"> PAGEREF _Toc100005 \h </w:instrText>
            </w:r>
            <w:r>
              <w:fldChar w:fldCharType="separate"/>
            </w:r>
            <w:r>
              <w:t>3</w:t>
            </w:r>
            <w:r>
              <w:fldChar w:fldCharType="end"/>
            </w:r>
          </w:hyperlink>
        </w:p>
        <w:p>
          <w:pPr>
            <w:pStyle w:val="11"/>
            <w:ind w:left="360"/>
            <w:tabs>
              <w:tab w:val="right" w:leader="dot" w:pos="9026"/>
            </w:tabs>
            <w:spacing w:before="120" w:after="60"/>
          </w:pPr>
          <w:hyperlink w:anchor="_Toc100006" w:history="1">
            <w:r>
              <w:rPr>
                <w:rStyle w:val="Hyperlink"/>
              </w:rPr>
              <w:t>2.3 Why not 2 tiers?</w:t>
            </w:r>
            <w:r>
              <w:tab/>
            </w:r>
            <w:r>
              <w:fldChar w:fldCharType="begin"/>
            </w:r>
            <w:r>
              <w:instrText xml:space="preserve"> PAGEREF _Toc100006 \h </w:instrText>
            </w:r>
            <w:r>
              <w:fldChar w:fldCharType="separate"/>
            </w:r>
            <w:r>
              <w:t>4</w:t>
            </w:r>
            <w:r>
              <w:fldChar w:fldCharType="end"/>
            </w:r>
          </w:hyperlink>
        </w:p>
        <w:p>
          <w:pPr>
            <w:pStyle w:val="9"/>
            <w:tabs>
              <w:tab w:val="right" w:leader="dot" w:pos="9026"/>
            </w:tabs>
            <w:spacing w:before="120" w:after="60"/>
          </w:pPr>
          <w:hyperlink w:anchor="_Toc100007" w:history="1">
            <w:r>
              <w:rPr>
                <w:rStyle w:val="Hyperlink"/>
              </w:rPr>
              <w:t>3. Current State &amp; Gap Analysis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3.1 What exists today</w:t>
            </w:r>
            <w:r>
              <w:tab/>
            </w:r>
            <w:r>
              <w:fldChar w:fldCharType="begin"/>
            </w:r>
            <w:r>
              <w:instrText xml:space="preserve"> PAGEREF _Toc100008 \h </w:instrText>
            </w:r>
            <w:r>
              <w:fldChar w:fldCharType="separate"/>
            </w:r>
            <w:r>
              <w:t>5</w:t>
            </w:r>
            <w:r>
              <w:fldChar w:fldCharType="end"/>
            </w:r>
          </w:hyperlink>
        </w:p>
        <w:p>
          <w:pPr>
            <w:pStyle w:val="11"/>
            <w:ind w:left="360"/>
            <w:tabs>
              <w:tab w:val="right" w:leader="dot" w:pos="9026"/>
            </w:tabs>
            <w:spacing w:before="120" w:after="60"/>
          </w:pPr>
          <w:hyperlink w:anchor="_Toc100009" w:history="1">
            <w:r>
              <w:rPr>
                <w:rStyle w:val="Hyperlink"/>
              </w:rPr>
              <w:t>3.2 The 8 gaps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3.3 The 4-stage grace period (founder's spec)</w:t>
            </w:r>
            <w:r>
              <w:tab/>
            </w:r>
            <w:r>
              <w:fldChar w:fldCharType="begin"/>
            </w:r>
            <w:r>
              <w:instrText xml:space="preserve"> PAGEREF _Toc100010 \h </w:instrText>
            </w:r>
            <w:r>
              <w:fldChar w:fldCharType="separate"/>
            </w:r>
            <w:r>
              <w:t>5</w:t>
            </w:r>
            <w:r>
              <w:fldChar w:fldCharType="end"/>
            </w:r>
          </w:hyperlink>
        </w:p>
        <w:p>
          <w:pPr>
            <w:pStyle w:val="9"/>
            <w:tabs>
              <w:tab w:val="right" w:leader="dot" w:pos="9026"/>
            </w:tabs>
            <w:spacing w:before="120" w:after="60"/>
          </w:pPr>
          <w:hyperlink w:anchor="_Toc100011" w:history="1">
            <w:r>
              <w:rPr>
                <w:rStyle w:val="Hyperlink"/>
              </w:rPr>
              <w:t>4. Phase 1 — Schema + Per-Shop Model + Admin Phone Uniqueness</w:t>
            </w:r>
            <w:r>
              <w:tab/>
            </w:r>
            <w:r>
              <w:fldChar w:fldCharType="begin"/>
            </w:r>
            <w:r>
              <w:instrText xml:space="preserve"> PAGEREF _Toc100011 \h </w:instrText>
            </w:r>
            <w:r>
              <w:fldChar w:fldCharType="separate"/>
            </w:r>
            <w:r>
              <w:t>6</w:t>
            </w:r>
            <w:r>
              <w:fldChar w:fldCharType="end"/>
            </w:r>
          </w:hyperlink>
        </w:p>
        <w:p>
          <w:pPr>
            <w:pStyle w:val="11"/>
            <w:ind w:left="360"/>
            <w:tabs>
              <w:tab w:val="right" w:leader="dot" w:pos="9026"/>
            </w:tabs>
            <w:spacing w:before="120" w:after="60"/>
          </w:pPr>
          <w:hyperlink w:anchor="_Toc100012" w:history="1">
            <w:r>
              <w:rPr>
                <w:rStyle w:val="Hyperlink"/>
              </w:rPr>
              <w:t>4.1 Rationale</w:t>
            </w:r>
            <w:r>
              <w:tab/>
            </w:r>
            <w:r>
              <w:fldChar w:fldCharType="begin"/>
            </w:r>
            <w:r>
              <w:instrText xml:space="preserve"> PAGEREF _Toc100012 \h </w:instrText>
            </w:r>
            <w:r>
              <w:fldChar w:fldCharType="separate"/>
            </w:r>
            <w:r>
              <w:t>6</w:t>
            </w:r>
            <w:r>
              <w:fldChar w:fldCharType="end"/>
            </w:r>
          </w:hyperlink>
        </w:p>
        <w:p>
          <w:pPr>
            <w:pStyle w:val="11"/>
            <w:ind w:left="360"/>
            <w:tabs>
              <w:tab w:val="right" w:leader="dot" w:pos="9026"/>
            </w:tabs>
            <w:spacing w:before="120" w:after="60"/>
          </w:pPr>
          <w:hyperlink w:anchor="_Toc100013" w:history="1">
            <w:r>
              <w:rPr>
                <w:rStyle w:val="Hyperlink"/>
              </w:rPr>
              <w:t>4.2 Scope</w:t>
            </w:r>
            <w:r>
              <w:tab/>
            </w:r>
            <w:r>
              <w:fldChar w:fldCharType="begin"/>
            </w:r>
            <w:r>
              <w:instrText xml:space="preserve"> PAGEREF _Toc100013 \h </w:instrText>
            </w:r>
            <w:r>
              <w:fldChar w:fldCharType="separate"/>
            </w:r>
            <w:r>
              <w:t>6</w:t>
            </w:r>
            <w:r>
              <w:fldChar w:fldCharType="end"/>
            </w:r>
          </w:hyperlink>
        </w:p>
        <w:p>
          <w:pPr>
            <w:pStyle w:val="11"/>
            <w:ind w:left="360"/>
            <w:tabs>
              <w:tab w:val="right" w:leader="dot" w:pos="9026"/>
            </w:tabs>
            <w:spacing w:before="120" w:after="60"/>
          </w:pPr>
          <w:hyperlink w:anchor="_Toc100014" w:history="1">
            <w:r>
              <w:rPr>
                <w:rStyle w:val="Hyperlink"/>
              </w:rPr>
              <w:t>4.3 Schema changes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4.4 Acceptance criteria</w:t>
            </w:r>
            <w:r>
              <w:tab/>
            </w:r>
            <w:r>
              <w:fldChar w:fldCharType="begin"/>
            </w:r>
            <w:r>
              <w:instrText xml:space="preserve"> PAGEREF _Toc100015 \h </w:instrText>
            </w:r>
            <w:r>
              <w:fldChar w:fldCharType="separate"/>
            </w:r>
            <w:r>
              <w:t>8</w:t>
            </w:r>
            <w:r>
              <w:fldChar w:fldCharType="end"/>
            </w:r>
          </w:hyperlink>
        </w:p>
        <w:p>
          <w:pPr>
            <w:pStyle w:val="9"/>
            <w:tabs>
              <w:tab w:val="right" w:leader="dot" w:pos="9026"/>
            </w:tabs>
            <w:spacing w:before="120" w:after="60"/>
          </w:pPr>
          <w:hyperlink w:anchor="_Toc100016" w:history="1">
            <w:r>
              <w:rPr>
                <w:rStyle w:val="Hyperlink"/>
              </w:rPr>
              <w:t>5. Phase 2 — Grace Period Lifecycle + Read-Only Enforcement</w:t>
            </w:r>
            <w:r>
              <w:tab/>
            </w:r>
            <w:r>
              <w:fldChar w:fldCharType="begin"/>
            </w:r>
            <w:r>
              <w:instrText xml:space="preserve"> PAGEREF _Toc100016 \h </w:instrText>
            </w:r>
            <w:r>
              <w:fldChar w:fldCharType="separate"/>
            </w:r>
            <w:r>
              <w:t>9</w:t>
            </w:r>
            <w:r>
              <w:fldChar w:fldCharType="end"/>
            </w:r>
          </w:hyperlink>
        </w:p>
        <w:p>
          <w:pPr>
            <w:pStyle w:val="11"/>
            <w:ind w:left="360"/>
            <w:tabs>
              <w:tab w:val="right" w:leader="dot" w:pos="9026"/>
            </w:tabs>
            <w:spacing w:before="120" w:after="60"/>
          </w:pPr>
          <w:hyperlink w:anchor="_Toc100017" w:history="1">
            <w:r>
              <w:rPr>
                <w:rStyle w:val="Hyperlink"/>
              </w:rPr>
              <w:t>5.1 Rationale</w:t>
            </w:r>
            <w:r>
              <w:tab/>
            </w:r>
            <w:r>
              <w:fldChar w:fldCharType="begin"/>
            </w:r>
            <w:r>
              <w:instrText xml:space="preserve"> PAGEREF _Toc100017 \h </w:instrText>
            </w:r>
            <w:r>
              <w:fldChar w:fldCharType="separate"/>
            </w:r>
            <w:r>
              <w:t>9</w:t>
            </w:r>
            <w:r>
              <w:fldChar w:fldCharType="end"/>
            </w:r>
          </w:hyperlink>
        </w:p>
        <w:p>
          <w:pPr>
            <w:pStyle w:val="11"/>
            <w:ind w:left="360"/>
            <w:tabs>
              <w:tab w:val="right" w:leader="dot" w:pos="9026"/>
            </w:tabs>
            <w:spacing w:before="120" w:after="60"/>
          </w:pPr>
          <w:hyperlink w:anchor="_Toc100018" w:history="1">
            <w:r>
              <w:rPr>
                <w:rStyle w:val="Hyperlink"/>
              </w:rPr>
              <w:t>5.2 Scope</w:t>
            </w:r>
            <w:r>
              <w:tab/>
            </w:r>
            <w:r>
              <w:fldChar w:fldCharType="begin"/>
            </w:r>
            <w:r>
              <w:instrText xml:space="preserve"> PAGEREF _Toc100018 \h </w:instrText>
            </w:r>
            <w:r>
              <w:fldChar w:fldCharType="separate"/>
            </w:r>
            <w:r>
              <w:t>10</w:t>
            </w:r>
            <w:r>
              <w:fldChar w:fldCharType="end"/>
            </w:r>
          </w:hyperlink>
        </w:p>
        <w:p>
          <w:pPr>
            <w:pStyle w:val="11"/>
            <w:ind w:left="360"/>
            <w:tabs>
              <w:tab w:val="right" w:leader="dot" w:pos="9026"/>
            </w:tabs>
            <w:spacing w:before="120" w:after="60"/>
          </w:pPr>
          <w:hyperlink w:anchor="_Toc100019" w:history="1">
            <w:r>
              <w:rPr>
                <w:rStyle w:val="Hyperlink"/>
              </w:rPr>
              <w:t>5.3 Schema changes</w:t>
            </w:r>
            <w:r>
              <w:tab/>
            </w:r>
            <w:r>
              <w:fldChar w:fldCharType="begin"/>
            </w:r>
            <w:r>
              <w:instrText xml:space="preserve"> PAGEREF _Toc100019 \h </w:instrText>
            </w:r>
            <w:r>
              <w:fldChar w:fldCharType="separate"/>
            </w:r>
            <w:r>
              <w:t>11</w:t>
            </w:r>
            <w:r>
              <w:fldChar w:fldCharType="end"/>
            </w:r>
          </w:hyperlink>
        </w:p>
        <w:p>
          <w:pPr>
            <w:pStyle w:val="11"/>
            <w:ind w:left="360"/>
            <w:tabs>
              <w:tab w:val="right" w:leader="dot" w:pos="9026"/>
            </w:tabs>
            <w:spacing w:before="120" w:after="60"/>
          </w:pPr>
          <w:hyperlink w:anchor="_Toc100020" w:history="1">
            <w:r>
              <w:rPr>
                <w:rStyle w:val="Hyperlink"/>
              </w:rPr>
              <w:t>5.4 API + cron changes</w:t>
            </w:r>
            <w:r>
              <w:tab/>
            </w:r>
            <w:r>
              <w:fldChar w:fldCharType="begin"/>
            </w:r>
            <w:r>
              <w:instrText xml:space="preserve"> PAGEREF _Toc100020 \h </w:instrText>
            </w:r>
            <w:r>
              <w:fldChar w:fldCharType="separate"/>
            </w:r>
            <w:r>
              <w:t>11</w:t>
            </w:r>
            <w:r>
              <w:fldChar w:fldCharType="end"/>
            </w:r>
          </w:hyperlink>
        </w:p>
        <w:p>
          <w:pPr>
            <w:pStyle w:val="11"/>
            <w:ind w:left="360"/>
            <w:tabs>
              <w:tab w:val="right" w:leader="dot" w:pos="9026"/>
            </w:tabs>
            <w:spacing w:before="120" w:after="60"/>
          </w:pPr>
          <w:hyperlink w:anchor="_Toc100021" w:history="1">
            <w:r>
              <w:rPr>
                <w:rStyle w:val="Hyperlink"/>
              </w:rPr>
              <w:t>5.5 Acceptance criteria</w:t>
            </w:r>
            <w:r>
              <w:tab/>
            </w:r>
            <w:r>
              <w:fldChar w:fldCharType="begin"/>
            </w:r>
            <w:r>
              <w:instrText xml:space="preserve"> PAGEREF _Toc100021 \h </w:instrText>
            </w:r>
            <w:r>
              <w:fldChar w:fldCharType="separate"/>
            </w:r>
            <w:r>
              <w:t>11</w:t>
            </w:r>
            <w:r>
              <w:fldChar w:fldCharType="end"/>
            </w:r>
          </w:hyperlink>
        </w:p>
        <w:p>
          <w:pPr>
            <w:pStyle w:val="9"/>
            <w:tabs>
              <w:tab w:val="right" w:leader="dot" w:pos="9026"/>
            </w:tabs>
            <w:spacing w:before="120" w:after="60"/>
          </w:pPr>
          <w:hyperlink w:anchor="_Toc100022" w:history="1">
            <w:r>
              <w:rPr>
                <w:rStyle w:val="Hyperlink"/>
              </w:rPr>
              <w:t>6. Phase 3 — Manual Payments (bKash/Nagad)</w:t>
            </w:r>
            <w:r>
              <w:tab/>
            </w:r>
            <w:r>
              <w:fldChar w:fldCharType="begin"/>
            </w:r>
            <w:r>
              <w:instrText xml:space="preserve"> PAGEREF _Toc100022 \h </w:instrText>
            </w:r>
            <w:r>
              <w:fldChar w:fldCharType="separate"/>
            </w:r>
            <w:r>
              <w:t>13</w:t>
            </w:r>
            <w:r>
              <w:fldChar w:fldCharType="end"/>
            </w:r>
          </w:hyperlink>
        </w:p>
        <w:p>
          <w:pPr>
            <w:pStyle w:val="11"/>
            <w:ind w:left="360"/>
            <w:tabs>
              <w:tab w:val="right" w:leader="dot" w:pos="9026"/>
            </w:tabs>
            <w:spacing w:before="120" w:after="60"/>
          </w:pPr>
          <w:hyperlink w:anchor="_Toc100023" w:history="1">
            <w:r>
              <w:rPr>
                <w:rStyle w:val="Hyperlink"/>
              </w:rPr>
              <w:t>6.1 Rationale</w:t>
            </w:r>
            <w:r>
              <w:tab/>
            </w:r>
            <w:r>
              <w:fldChar w:fldCharType="begin"/>
            </w:r>
            <w:r>
              <w:instrText xml:space="preserve"> PAGEREF _Toc100023 \h </w:instrText>
            </w:r>
            <w:r>
              <w:fldChar w:fldCharType="separate"/>
            </w:r>
            <w:r>
              <w:t>13</w:t>
            </w:r>
            <w:r>
              <w:fldChar w:fldCharType="end"/>
            </w:r>
          </w:hyperlink>
        </w:p>
        <w:p>
          <w:pPr>
            <w:pStyle w:val="11"/>
            <w:ind w:left="360"/>
            <w:tabs>
              <w:tab w:val="right" w:leader="dot" w:pos="9026"/>
            </w:tabs>
            <w:spacing w:before="120" w:after="60"/>
          </w:pPr>
          <w:hyperlink w:anchor="_Toc100024" w:history="1">
            <w:r>
              <w:rPr>
                <w:rStyle w:val="Hyperlink"/>
              </w:rPr>
              <w:t>6.2 Scope</w:t>
            </w:r>
            <w:r>
              <w:tab/>
            </w:r>
            <w:r>
              <w:fldChar w:fldCharType="begin"/>
            </w:r>
            <w:r>
              <w:instrText xml:space="preserve"> PAGEREF _Toc100024 \h </w:instrText>
            </w:r>
            <w:r>
              <w:fldChar w:fldCharType="separate"/>
            </w:r>
            <w:r>
              <w:t>13</w:t>
            </w:r>
            <w:r>
              <w:fldChar w:fldCharType="end"/>
            </w:r>
          </w:hyperlink>
        </w:p>
        <w:p>
          <w:pPr>
            <w:pStyle w:val="11"/>
            <w:ind w:left="360"/>
            <w:tabs>
              <w:tab w:val="right" w:leader="dot" w:pos="9026"/>
            </w:tabs>
            <w:spacing w:before="120" w:after="60"/>
          </w:pPr>
          <w:hyperlink w:anchor="_Toc100025" w:history="1">
            <w:r>
              <w:rPr>
                <w:rStyle w:val="Hyperlink"/>
              </w:rPr>
              <w:t>6.3 Schema changes</w:t>
            </w:r>
            <w:r>
              <w:tab/>
            </w:r>
            <w:r>
              <w:fldChar w:fldCharType="begin"/>
            </w:r>
            <w:r>
              <w:instrText xml:space="preserve"> PAGEREF _Toc100025 \h </w:instrText>
            </w:r>
            <w:r>
              <w:fldChar w:fldCharType="separate"/>
            </w:r>
            <w:r>
              <w:t>14</w:t>
            </w:r>
            <w:r>
              <w:fldChar w:fldCharType="end"/>
            </w:r>
          </w:hyperlink>
        </w:p>
        <w:p>
          <w:pPr>
            <w:pStyle w:val="11"/>
            <w:ind w:left="360"/>
            <w:tabs>
              <w:tab w:val="right" w:leader="dot" w:pos="9026"/>
            </w:tabs>
            <w:spacing w:before="120" w:after="60"/>
          </w:pPr>
          <w:hyperlink w:anchor="_Toc100026" w:history="1">
            <w:r>
              <w:rPr>
                <w:rStyle w:val="Hyperlink"/>
              </w:rPr>
              <w:t>6.4 API changes</w:t>
            </w:r>
            <w:r>
              <w:tab/>
            </w:r>
            <w:r>
              <w:fldChar w:fldCharType="begin"/>
            </w:r>
            <w:r>
              <w:instrText xml:space="preserve"> PAGEREF _Toc100026 \h </w:instrText>
            </w:r>
            <w:r>
              <w:fldChar w:fldCharType="separate"/>
            </w:r>
            <w:r>
              <w:t>15</w:t>
            </w:r>
            <w:r>
              <w:fldChar w:fldCharType="end"/>
            </w:r>
          </w:hyperlink>
        </w:p>
        <w:p>
          <w:pPr>
            <w:pStyle w:val="11"/>
            <w:ind w:left="360"/>
            <w:tabs>
              <w:tab w:val="right" w:leader="dot" w:pos="9026"/>
            </w:tabs>
            <w:spacing w:before="120" w:after="60"/>
          </w:pPr>
          <w:hyperlink w:anchor="_Toc100027" w:history="1">
            <w:r>
              <w:rPr>
                <w:rStyle w:val="Hyperlink"/>
              </w:rPr>
              <w:t>6.5 Acceptance criteria</w:t>
            </w:r>
            <w:r>
              <w:tab/>
            </w:r>
            <w:r>
              <w:fldChar w:fldCharType="begin"/>
            </w:r>
            <w:r>
              <w:instrText xml:space="preserve"> PAGEREF _Toc100027 \h </w:instrText>
            </w:r>
            <w:r>
              <w:fldChar w:fldCharType="separate"/>
            </w:r>
            <w:r>
              <w:t>15</w:t>
            </w:r>
            <w:r>
              <w:fldChar w:fldCharType="end"/>
            </w:r>
          </w:hyperlink>
        </w:p>
        <w:p>
          <w:pPr>
            <w:pStyle w:val="9"/>
            <w:tabs>
              <w:tab w:val="right" w:leader="dot" w:pos="9026"/>
            </w:tabs>
            <w:spacing w:before="120" w:after="60"/>
          </w:pPr>
          <w:hyperlink w:anchor="_Toc100028" w:history="1">
            <w:r>
              <w:rPr>
                <w:rStyle w:val="Hyperlink"/>
              </w:rPr>
              <w:t>7. Phase 4 — Super-Admin Monitoring Dashboard</w:t>
            </w:r>
            <w:r>
              <w:tab/>
            </w:r>
            <w:r>
              <w:fldChar w:fldCharType="begin"/>
            </w:r>
            <w:r>
              <w:instrText xml:space="preserve"> PAGEREF _Toc100028 \h </w:instrText>
            </w:r>
            <w:r>
              <w:fldChar w:fldCharType="separate"/>
            </w:r>
            <w:r>
              <w:t>16</w:t>
            </w:r>
            <w:r>
              <w:fldChar w:fldCharType="end"/>
            </w:r>
          </w:hyperlink>
        </w:p>
        <w:p>
          <w:pPr>
            <w:pStyle w:val="11"/>
            <w:ind w:left="360"/>
            <w:tabs>
              <w:tab w:val="right" w:leader="dot" w:pos="9026"/>
            </w:tabs>
            <w:spacing w:before="120" w:after="60"/>
          </w:pPr>
          <w:hyperlink w:anchor="_Toc100029" w:history="1">
            <w:r>
              <w:rPr>
                <w:rStyle w:val="Hyperlink"/>
              </w:rPr>
              <w:t>7.1 Rationale</w:t>
            </w:r>
            <w:r>
              <w:tab/>
            </w:r>
            <w:r>
              <w:fldChar w:fldCharType="begin"/>
            </w:r>
            <w:r>
              <w:instrText xml:space="preserve"> PAGEREF _Toc100029 \h </w:instrText>
            </w:r>
            <w:r>
              <w:fldChar w:fldCharType="separate"/>
            </w:r>
            <w:r>
              <w:t>17</w:t>
            </w:r>
            <w:r>
              <w:fldChar w:fldCharType="end"/>
            </w:r>
          </w:hyperlink>
        </w:p>
        <w:p>
          <w:pPr>
            <w:pStyle w:val="11"/>
            <w:ind w:left="360"/>
            <w:tabs>
              <w:tab w:val="right" w:leader="dot" w:pos="9026"/>
            </w:tabs>
            <w:spacing w:before="120" w:after="60"/>
          </w:pPr>
          <w:hyperlink w:anchor="_Toc100030" w:history="1">
            <w:r>
              <w:rPr>
                <w:rStyle w:val="Hyperlink"/>
              </w:rPr>
              <w:t>7.2 Scope</w:t>
            </w:r>
            <w:r>
              <w:tab/>
            </w:r>
            <w:r>
              <w:fldChar w:fldCharType="begin"/>
            </w:r>
            <w:r>
              <w:instrText xml:space="preserve"> PAGEREF _Toc100030 \h </w:instrText>
            </w:r>
            <w:r>
              <w:fldChar w:fldCharType="separate"/>
            </w:r>
            <w:r>
              <w:t>17</w:t>
            </w:r>
            <w:r>
              <w:fldChar w:fldCharType="end"/>
            </w:r>
          </w:hyperlink>
        </w:p>
        <w:p>
          <w:pPr>
            <w:pStyle w:val="11"/>
            <w:ind w:left="360"/>
            <w:tabs>
              <w:tab w:val="right" w:leader="dot" w:pos="9026"/>
            </w:tabs>
            <w:spacing w:before="120" w:after="60"/>
          </w:pPr>
          <w:hyperlink w:anchor="_Toc100031" w:history="1">
            <w:r>
              <w:rPr>
                <w:rStyle w:val="Hyperlink"/>
              </w:rPr>
              <w:t>7.3 Schema changes</w:t>
            </w:r>
            <w:r>
              <w:tab/>
            </w:r>
            <w:r>
              <w:fldChar w:fldCharType="begin"/>
            </w:r>
            <w:r>
              <w:instrText xml:space="preserve"> PAGEREF _Toc100031 \h </w:instrText>
            </w:r>
            <w:r>
              <w:fldChar w:fldCharType="separate"/>
            </w:r>
            <w:r>
              <w:t>18</w:t>
            </w:r>
            <w:r>
              <w:fldChar w:fldCharType="end"/>
            </w:r>
          </w:hyperlink>
        </w:p>
        <w:p>
          <w:pPr>
            <w:pStyle w:val="11"/>
            <w:ind w:left="360"/>
            <w:tabs>
              <w:tab w:val="right" w:leader="dot" w:pos="9026"/>
            </w:tabs>
            <w:spacing w:before="120" w:after="60"/>
          </w:pPr>
          <w:hyperlink w:anchor="_Toc100032" w:history="1">
            <w:r>
              <w:rPr>
                <w:rStyle w:val="Hyperlink"/>
              </w:rPr>
              <w:t>7.4 API changes</w:t>
            </w:r>
            <w:r>
              <w:tab/>
            </w:r>
            <w:r>
              <w:fldChar w:fldCharType="begin"/>
            </w:r>
            <w:r>
              <w:instrText xml:space="preserve"> PAGEREF _Toc100032 \h </w:instrText>
            </w:r>
            <w:r>
              <w:fldChar w:fldCharType="separate"/>
            </w:r>
            <w:r>
              <w:t>18</w:t>
            </w:r>
            <w:r>
              <w:fldChar w:fldCharType="end"/>
            </w:r>
          </w:hyperlink>
        </w:p>
        <w:p>
          <w:pPr>
            <w:pStyle w:val="11"/>
            <w:ind w:left="360"/>
            <w:tabs>
              <w:tab w:val="right" w:leader="dot" w:pos="9026"/>
            </w:tabs>
            <w:spacing w:before="120" w:after="60"/>
          </w:pPr>
          <w:hyperlink w:anchor="_Toc100033" w:history="1">
            <w:r>
              <w:rPr>
                <w:rStyle w:val="Hyperlink"/>
              </w:rPr>
              <w:t>7.5 Acceptance criteria</w:t>
            </w:r>
            <w:r>
              <w:tab/>
            </w:r>
            <w:r>
              <w:fldChar w:fldCharType="begin"/>
            </w:r>
            <w:r>
              <w:instrText xml:space="preserve"> PAGEREF _Toc100033 \h </w:instrText>
            </w:r>
            <w:r>
              <w:fldChar w:fldCharType="separate"/>
            </w:r>
            <w:r>
              <w:t>19</w:t>
            </w:r>
            <w:r>
              <w:fldChar w:fldCharType="end"/>
            </w:r>
          </w:hyperlink>
        </w:p>
        <w:p>
          <w:pPr>
            <w:pStyle w:val="9"/>
            <w:tabs>
              <w:tab w:val="right" w:leader="dot" w:pos="9026"/>
            </w:tabs>
            <w:spacing w:before="120" w:after="60"/>
          </w:pPr>
          <w:hyperlink w:anchor="_Toc100034" w:history="1">
            <w:r>
              <w:rPr>
                <w:rStyle w:val="Hyperlink"/>
              </w:rPr>
              <w:t>8. Phase 5 — SSL Commerz + Payment Method Toggle + Annual Billing</w:t>
            </w:r>
            <w:r>
              <w:tab/>
            </w:r>
            <w:r>
              <w:fldChar w:fldCharType="begin"/>
            </w:r>
            <w:r>
              <w:instrText xml:space="preserve"> PAGEREF _Toc100034 \h </w:instrText>
            </w:r>
            <w:r>
              <w:fldChar w:fldCharType="separate"/>
            </w:r>
            <w:r>
              <w:t>20</w:t>
            </w:r>
            <w:r>
              <w:fldChar w:fldCharType="end"/>
            </w:r>
          </w:hyperlink>
        </w:p>
        <w:p>
          <w:pPr>
            <w:pStyle w:val="11"/>
            <w:ind w:left="360"/>
            <w:tabs>
              <w:tab w:val="right" w:leader="dot" w:pos="9026"/>
            </w:tabs>
            <w:spacing w:before="120" w:after="60"/>
          </w:pPr>
          <w:hyperlink w:anchor="_Toc100035" w:history="1">
            <w:r>
              <w:rPr>
                <w:rStyle w:val="Hyperlink"/>
              </w:rPr>
              <w:t>8.1 Rationale</w:t>
            </w:r>
            <w:r>
              <w:tab/>
            </w:r>
            <w:r>
              <w:fldChar w:fldCharType="begin"/>
            </w:r>
            <w:r>
              <w:instrText xml:space="preserve"> PAGEREF _Toc100035 \h </w:instrText>
            </w:r>
            <w:r>
              <w:fldChar w:fldCharType="separate"/>
            </w:r>
            <w:r>
              <w:t>20</w:t>
            </w:r>
            <w:r>
              <w:fldChar w:fldCharType="end"/>
            </w:r>
          </w:hyperlink>
        </w:p>
        <w:p>
          <w:pPr>
            <w:pStyle w:val="11"/>
            <w:ind w:left="360"/>
            <w:tabs>
              <w:tab w:val="right" w:leader="dot" w:pos="9026"/>
            </w:tabs>
            <w:spacing w:before="120" w:after="60"/>
          </w:pPr>
          <w:hyperlink w:anchor="_Toc100036" w:history="1">
            <w:r>
              <w:rPr>
                <w:rStyle w:val="Hyperlink"/>
              </w:rPr>
              <w:t>8.2 Scope</w:t>
            </w:r>
            <w:r>
              <w:tab/>
            </w:r>
            <w:r>
              <w:fldChar w:fldCharType="begin"/>
            </w:r>
            <w:r>
              <w:instrText xml:space="preserve"> PAGEREF _Toc100036 \h </w:instrText>
            </w:r>
            <w:r>
              <w:fldChar w:fldCharType="separate"/>
            </w:r>
            <w:r>
              <w:t>20</w:t>
            </w:r>
            <w:r>
              <w:fldChar w:fldCharType="end"/>
            </w:r>
          </w:hyperlink>
        </w:p>
        <w:p>
          <w:pPr>
            <w:pStyle w:val="11"/>
            <w:ind w:left="360"/>
            <w:tabs>
              <w:tab w:val="right" w:leader="dot" w:pos="9026"/>
            </w:tabs>
            <w:spacing w:before="120" w:after="60"/>
          </w:pPr>
          <w:hyperlink w:anchor="_Toc100037" w:history="1">
            <w:r>
              <w:rPr>
                <w:rStyle w:val="Hyperlink"/>
              </w:rPr>
              <w:t>8.3 Schema changes</w:t>
            </w:r>
            <w:r>
              <w:tab/>
            </w:r>
            <w:r>
              <w:fldChar w:fldCharType="begin"/>
            </w:r>
            <w:r>
              <w:instrText xml:space="preserve"> PAGEREF _Toc100037 \h </w:instrText>
            </w:r>
            <w:r>
              <w:fldChar w:fldCharType="separate"/>
            </w:r>
            <w:r>
              <w:t>22</w:t>
            </w:r>
            <w:r>
              <w:fldChar w:fldCharType="end"/>
            </w:r>
          </w:hyperlink>
        </w:p>
        <w:p>
          <w:pPr>
            <w:pStyle w:val="11"/>
            <w:ind w:left="360"/>
            <w:tabs>
              <w:tab w:val="right" w:leader="dot" w:pos="9026"/>
            </w:tabs>
            <w:spacing w:before="120" w:after="60"/>
          </w:pPr>
          <w:hyperlink w:anchor="_Toc100038" w:history="1">
            <w:r>
              <w:rPr>
                <w:rStyle w:val="Hyperlink"/>
              </w:rPr>
              <w:t>8.4 API changes</w:t>
            </w:r>
            <w:r>
              <w:tab/>
            </w:r>
            <w:r>
              <w:fldChar w:fldCharType="begin"/>
            </w:r>
            <w:r>
              <w:instrText xml:space="preserve"> PAGEREF _Toc100038 \h </w:instrText>
            </w:r>
            <w:r>
              <w:fldChar w:fldCharType="separate"/>
            </w:r>
            <w:r>
              <w:t>22</w:t>
            </w:r>
            <w:r>
              <w:fldChar w:fldCharType="end"/>
            </w:r>
          </w:hyperlink>
        </w:p>
        <w:p>
          <w:pPr>
            <w:pStyle w:val="11"/>
            <w:ind w:left="360"/>
            <w:tabs>
              <w:tab w:val="right" w:leader="dot" w:pos="9026"/>
            </w:tabs>
            <w:spacing w:before="120" w:after="60"/>
          </w:pPr>
          <w:hyperlink w:anchor="_Toc100039" w:history="1">
            <w:r>
              <w:rPr>
                <w:rStyle w:val="Hyperlink"/>
              </w:rPr>
              <w:t>8.5 Acceptance criteria</w:t>
            </w:r>
            <w:r>
              <w:tab/>
            </w:r>
            <w:r>
              <w:fldChar w:fldCharType="begin"/>
            </w:r>
            <w:r>
              <w:instrText xml:space="preserve"> PAGEREF _Toc100039 \h </w:instrText>
            </w:r>
            <w:r>
              <w:fldChar w:fldCharType="separate"/>
            </w:r>
            <w:r>
              <w:t>22</w:t>
            </w:r>
            <w:r>
              <w:fldChar w:fldCharType="end"/>
            </w:r>
          </w:hyperlink>
        </w:p>
        <w:p>
          <w:pPr>
            <w:pStyle w:val="9"/>
            <w:tabs>
              <w:tab w:val="right" w:leader="dot" w:pos="9026"/>
            </w:tabs>
            <w:spacing w:before="120" w:after="60"/>
          </w:pPr>
          <w:hyperlink w:anchor="_Toc100040" w:history="1">
            <w:r>
              <w:rPr>
                <w:rStyle w:val="Hyperlink"/>
              </w:rPr>
              <w:t>9. Phase 6 — Notifications + Polish + Edge Cases</w:t>
            </w:r>
            <w:r>
              <w:tab/>
            </w:r>
            <w:r>
              <w:fldChar w:fldCharType="begin"/>
            </w:r>
            <w:r>
              <w:instrText xml:space="preserve"> PAGEREF _Toc100040 \h </w:instrText>
            </w:r>
            <w:r>
              <w:fldChar w:fldCharType="separate"/>
            </w:r>
            <w:r>
              <w:t>24</w:t>
            </w:r>
            <w:r>
              <w:fldChar w:fldCharType="end"/>
            </w:r>
          </w:hyperlink>
        </w:p>
        <w:p>
          <w:pPr>
            <w:pStyle w:val="11"/>
            <w:ind w:left="360"/>
            <w:tabs>
              <w:tab w:val="right" w:leader="dot" w:pos="9026"/>
            </w:tabs>
            <w:spacing w:before="120" w:after="60"/>
          </w:pPr>
          <w:hyperlink w:anchor="_Toc100041" w:history="1">
            <w:r>
              <w:rPr>
                <w:rStyle w:val="Hyperlink"/>
              </w:rPr>
              <w:t>9.1 Rationale</w:t>
            </w:r>
            <w:r>
              <w:tab/>
            </w:r>
            <w:r>
              <w:fldChar w:fldCharType="begin"/>
            </w:r>
            <w:r>
              <w:instrText xml:space="preserve"> PAGEREF _Toc100041 \h </w:instrText>
            </w:r>
            <w:r>
              <w:fldChar w:fldCharType="separate"/>
            </w:r>
            <w:r>
              <w:t>24</w:t>
            </w:r>
            <w:r>
              <w:fldChar w:fldCharType="end"/>
            </w:r>
          </w:hyperlink>
        </w:p>
        <w:p>
          <w:pPr>
            <w:pStyle w:val="11"/>
            <w:ind w:left="360"/>
            <w:tabs>
              <w:tab w:val="right" w:leader="dot" w:pos="9026"/>
            </w:tabs>
            <w:spacing w:before="120" w:after="60"/>
          </w:pPr>
          <w:hyperlink w:anchor="_Toc100042" w:history="1">
            <w:r>
              <w:rPr>
                <w:rStyle w:val="Hyperlink"/>
              </w:rPr>
              <w:t>9.2 Scope</w:t>
            </w:r>
            <w:r>
              <w:tab/>
            </w:r>
            <w:r>
              <w:fldChar w:fldCharType="begin"/>
            </w:r>
            <w:r>
              <w:instrText xml:space="preserve"> PAGEREF _Toc100042 \h </w:instrText>
            </w:r>
            <w:r>
              <w:fldChar w:fldCharType="separate"/>
            </w:r>
            <w:r>
              <w:t>24</w:t>
            </w:r>
            <w:r>
              <w:fldChar w:fldCharType="end"/>
            </w:r>
          </w:hyperlink>
        </w:p>
        <w:p>
          <w:pPr>
            <w:pStyle w:val="11"/>
            <w:ind w:left="360"/>
            <w:tabs>
              <w:tab w:val="right" w:leader="dot" w:pos="9026"/>
            </w:tabs>
            <w:spacing w:before="120" w:after="60"/>
          </w:pPr>
          <w:hyperlink w:anchor="_Toc100043" w:history="1">
            <w:r>
              <w:rPr>
                <w:rStyle w:val="Hyperlink"/>
              </w:rPr>
              <w:t>6.3 Schema changes</w:t>
            </w:r>
            <w:r>
              <w:tab/>
            </w:r>
            <w:r>
              <w:fldChar w:fldCharType="begin"/>
            </w:r>
            <w:r>
              <w:instrText xml:space="preserve"> PAGEREF _Toc100043 \h </w:instrText>
            </w:r>
            <w:r>
              <w:fldChar w:fldCharType="separate"/>
            </w:r>
            <w:r>
              <w:t>25</w:t>
            </w:r>
            <w:r>
              <w:fldChar w:fldCharType="end"/>
            </w:r>
          </w:hyperlink>
        </w:p>
        <w:p>
          <w:pPr>
            <w:pStyle w:val="11"/>
            <w:ind w:left="360"/>
            <w:tabs>
              <w:tab w:val="right" w:leader="dot" w:pos="9026"/>
            </w:tabs>
            <w:spacing w:before="120" w:after="60"/>
          </w:pPr>
          <w:hyperlink w:anchor="_Toc100044" w:history="1">
            <w:r>
              <w:rPr>
                <w:rStyle w:val="Hyperlink"/>
              </w:rPr>
              <w:t>6.4 Acceptance criteria</w:t>
            </w:r>
            <w:r>
              <w:tab/>
            </w:r>
            <w:r>
              <w:fldChar w:fldCharType="begin"/>
            </w:r>
            <w:r>
              <w:instrText xml:space="preserve"> PAGEREF _Toc100044 \h </w:instrText>
            </w:r>
            <w:r>
              <w:fldChar w:fldCharType="separate"/>
            </w:r>
            <w:r>
              <w:t>26</w:t>
            </w:r>
            <w:r>
              <w:fldChar w:fldCharType="end"/>
            </w:r>
          </w:hyperlink>
        </w:p>
        <w:p>
          <w:pPr>
            <w:pStyle w:val="9"/>
            <w:tabs>
              <w:tab w:val="right" w:leader="dot" w:pos="9026"/>
            </w:tabs>
            <w:spacing w:before="120" w:after="60"/>
          </w:pPr>
          <w:hyperlink w:anchor="_Toc100045" w:history="1">
            <w:r>
              <w:rPr>
                <w:rStyle w:val="Hyperlink"/>
              </w:rPr>
              <w:t>10. Implementation Tracking</w:t>
            </w:r>
            <w:r>
              <w:tab/>
            </w:r>
            <w:r>
              <w:fldChar w:fldCharType="begin"/>
            </w:r>
            <w:r>
              <w:instrText xml:space="preserve"> PAGEREF _Toc100045 \h </w:instrText>
            </w:r>
            <w:r>
              <w:fldChar w:fldCharType="separate"/>
            </w:r>
            <w:r>
              <w:t>28</w:t>
            </w:r>
            <w:r>
              <w:fldChar w:fldCharType="end"/>
            </w:r>
          </w:hyperlink>
        </w:p>
        <w:p>
          <w:pPr>
            <w:pStyle w:val="11"/>
            <w:ind w:left="360"/>
            <w:tabs>
              <w:tab w:val="right" w:leader="dot" w:pos="9026"/>
            </w:tabs>
            <w:spacing w:before="120" w:after="60"/>
          </w:pPr>
          <w:hyperlink w:anchor="_Toc100046" w:history="1">
            <w:r>
              <w:rPr>
                <w:rStyle w:val="Hyperlink"/>
              </w:rPr>
              <w:t>10.1 Phase status</w:t>
            </w:r>
            <w:r>
              <w:tab/>
            </w:r>
            <w:r>
              <w:fldChar w:fldCharType="begin"/>
            </w:r>
            <w:r>
              <w:instrText xml:space="preserve"> PAGEREF _Toc100046 \h </w:instrText>
            </w:r>
            <w:r>
              <w:fldChar w:fldCharType="separate"/>
            </w:r>
            <w:r>
              <w:t>28</w:t>
            </w:r>
            <w:r>
              <w:fldChar w:fldCharType="end"/>
            </w:r>
          </w:hyperlink>
        </w:p>
        <w:p>
          <w:pPr>
            <w:pStyle w:val="11"/>
            <w:ind w:left="360"/>
            <w:tabs>
              <w:tab w:val="right" w:leader="dot" w:pos="9026"/>
            </w:tabs>
            <w:spacing w:before="120" w:after="60"/>
          </w:pPr>
          <w:hyperlink w:anchor="_Toc100047" w:history="1">
            <w:r>
              <w:rPr>
                <w:rStyle w:val="Hyperlink"/>
              </w:rPr>
              <w:t>10.2 Worklog protocol</w:t>
            </w:r>
            <w:r>
              <w:tab/>
            </w:r>
            <w:r>
              <w:fldChar w:fldCharType="begin"/>
            </w:r>
            <w:r>
              <w:instrText xml:space="preserve"> PAGEREF _Toc100047 \h </w:instrText>
            </w:r>
            <w:r>
              <w:fldChar w:fldCharType="separate"/>
            </w:r>
            <w:r>
              <w:t>28</w:t>
            </w:r>
            <w:r>
              <w:fldChar w:fldCharType="end"/>
            </w:r>
          </w:hyperlink>
        </w:p>
        <w:p>
          <w:pPr>
            <w:pStyle w:val="11"/>
            <w:ind w:left="360"/>
            <w:tabs>
              <w:tab w:val="right" w:leader="dot" w:pos="9026"/>
            </w:tabs>
            <w:spacing w:before="120" w:after="60"/>
          </w:pPr>
          <w:hyperlink w:anchor="_Toc100048" w:history="1">
            <w:r>
              <w:rPr>
                <w:rStyle w:val="Hyperlink"/>
              </w:rPr>
              <w:t>10.3 Commit + tag convention</w:t>
            </w:r>
            <w:r>
              <w:tab/>
            </w:r>
            <w:r>
              <w:fldChar w:fldCharType="begin"/>
            </w:r>
            <w:r>
              <w:instrText xml:space="preserve"> PAGEREF _Toc100048 \h </w:instrText>
            </w:r>
            <w:r>
              <w:fldChar w:fldCharType="separate"/>
            </w:r>
            <w:r>
              <w:t>28</w:t>
            </w:r>
            <w:r>
              <w:fldChar w:fldCharType="end"/>
            </w:r>
          </w:hyperlink>
        </w:p>
        <w:p>
          <w:pPr>
            <w:pStyle w:val="11"/>
            <w:ind w:left="360"/>
            <w:tabs>
              <w:tab w:val="right" w:leader="dot" w:pos="9026"/>
            </w:tabs>
            <w:spacing w:before="120" w:after="60"/>
          </w:pPr>
          <w:hyperlink w:anchor="_Toc100049" w:history="1">
            <w:r>
              <w:rPr>
                <w:rStyle w:val="Hyperlink"/>
              </w:rPr>
              <w:t>10.4 Sequencing dependencies</w:t>
            </w:r>
            <w:r>
              <w:tab/>
            </w:r>
            <w:r>
              <w:fldChar w:fldCharType="begin"/>
            </w:r>
            <w:r>
              <w:instrText xml:space="preserve"> PAGEREF _Toc100049 \h </w:instrText>
            </w:r>
            <w:r>
              <w:fldChar w:fldCharType="separate"/>
            </w:r>
            <w:r>
              <w:t>29</w:t>
            </w:r>
            <w:r>
              <w:fldChar w:fldCharType="end"/>
            </w:r>
          </w:hyperlink>
        </w:p>
        <w:p>
          <w:pPr>
            <w:pStyle w:val="11"/>
            <w:ind w:left="360"/>
            <w:tabs>
              <w:tab w:val="right" w:leader="dot" w:pos="9026"/>
            </w:tabs>
            <w:spacing w:before="120" w:after="60"/>
          </w:pPr>
          <w:hyperlink w:anchor="_Toc100050" w:history="1">
            <w:r>
              <w:rPr>
                <w:rStyle w:val="Hyperlink"/>
              </w:rPr>
              <w:t>10.5 Estimated total effort</w:t>
            </w:r>
            <w:r>
              <w:tab/>
            </w:r>
            <w:r>
              <w:fldChar w:fldCharType="begin"/>
            </w:r>
            <w:r>
              <w:instrText xml:space="preserve"> PAGEREF _Toc100050 \h </w:instrText>
            </w:r>
            <w:r>
              <w:fldChar w:fldCharType="separate"/>
            </w:r>
            <w:r>
              <w:t>30</w:t>
            </w:r>
            <w:r>
              <w:fldChar w:fldCharType="end"/>
            </w:r>
          </w:hyperlink>
        </w:p>
        <w:p>
          <w:pPr>
            <w:pStyle w:val="11"/>
            <w:ind w:left="360"/>
            <w:tabs>
              <w:tab w:val="right" w:leader="dot" w:pos="9026"/>
            </w:tabs>
            <w:spacing w:before="120" w:after="60"/>
          </w:pPr>
          <w:hyperlink w:anchor="_Toc100051" w:history="1">
            <w:r>
              <w:rPr>
                <w:rStyle w:val="Hyperlink"/>
              </w:rPr>
              <w:t>10.6 Risk + mitigation</w:t>
            </w:r>
            <w:r>
              <w:tab/>
            </w:r>
            <w:r>
              <w:fldChar w:fldCharType="begin"/>
            </w:r>
            <w:r>
              <w:instrText xml:space="preserve"> PAGEREF _Toc100051 \h </w:instrText>
            </w:r>
            <w:r>
              <w:fldChar w:fldCharType="separate"/>
            </w:r>
            <w:r>
              <w:t>30</w:t>
            </w:r>
            <w:r>
              <w:fldChar w:fldCharType="end"/>
            </w:r>
          </w:hyperlink>
        </w:p>
        <w:p>
          <w:r>
            <w:fldChar w:fldCharType="end"/>
          </w:r>
        </w:p>
      </w:sdtContent>
    </w:sdt>
    <w:p>
      <w:r>
        <w:br w:type="page"/>
      </w:r>
    </w:p>
    <w:p>
      <w:pPr>
        <w:pStyle w:val="Heading1"/>
        <w:spacing w:after="200" w:before="360" w:line="312"/>
      </w:pPr>
      <w:bookmarkStart w:id="100000" w:name="_Toc100000"/>
      <w:r>
        <w:rPr>
          <w:rFonts w:ascii="Calibri" w:eastAsia="Microsoft YaHei"/>
          <w:b/>
          <w:bCs/>
          <w:color w:val="064E3B"/>
          <w:sz w:val="32"/>
          <w:szCs w:val="32"/>
        </w:rPr>
        <w:t xml:space="preserve">1. Executive Summary</w:t>
      </w:r>
      <w:bookmarkEnd w:id="100000"/>
    </w:p>
    <w:p>
      <w:pPr>
        <w:spacing w:after="120" w:before="0" w:line="312"/>
        <w:ind w:firstLine="0"/>
        <w:jc w:val="both"/>
      </w:pPr>
      <w:r>
        <w:rPr>
          <w:rFonts w:ascii="Calibri" w:eastAsia="Microsoft YaHei"/>
          <w:color w:val="1F2937"/>
          <w:sz w:val="22"/>
          <w:szCs w:val="22"/>
        </w:rPr>
        <w:t xml:space="preserve">InventoryOS currently has a basic subscription model: each Business has a subscriptionTier (free/pro/pro_ai), a subscriptionStatus (trial/active/suspended/cancelled), and a subscriptionEnd date. The hourly cron auto-suspends expired businesses. However, there is no per-shop billing workflow, no payment submission system, no grace-period enforcement beyond simple suspension, and no super-admin monitoring of revenue or client lifecycle stages. This document specifies a complete subscription management system that closes all those gaps.</w:t>
      </w:r>
    </w:p>
    <w:p>
      <w:pPr>
        <w:spacing w:after="120" w:before="0" w:line="312"/>
        <w:ind w:firstLine="0"/>
        <w:jc w:val="both"/>
      </w:pPr>
      <w:r>
        <w:rPr>
          <w:rFonts w:ascii="Calibri" w:eastAsia="Microsoft YaHei"/>
          <w:color w:val="1F2937"/>
          <w:sz w:val="22"/>
          <w:szCs w:val="22"/>
        </w:rPr>
        <w:t xml:space="preserve">The system follows the founder's per-shop billing model: a user (Mr. X) can own multiple businesses (Shop A, B, C), each with its own subscription. Mr. X pays per shop, not per user. Employees (E1, E2, E3) created by the admin use the shop's subscription — they don't need their own. When a shop's subscription expires, it enters a 4-stage grace period: active → read-only → data-wiped, with notifications at each transition. The founder (super-admin) monitors all clients from a dedicated panel showing subscription stage, expected revenue, and received revenue.</w:t>
      </w:r>
    </w:p>
    <w:p>
      <w:pPr>
        <w:pStyle w:val="Heading3"/>
        <w:spacing w:after="100" w:before="220" w:line="312"/>
      </w:pPr>
      <w:bookmarkStart w:id="100001" w:name="_Toc100001"/>
      <w:r>
        <w:rPr>
          <w:rFonts w:ascii="Calibri" w:eastAsia="Microsoft YaHei"/>
          <w:b/>
          <w:bCs/>
          <w:color w:val="064E3B"/>
          <w:sz w:val="24"/>
          <w:szCs w:val="24"/>
        </w:rPr>
        <w:t xml:space="preserve">Key design decisions</w:t>
      </w:r>
      <w:bookmarkEnd w:id="100001"/>
    </w:p>
    <w:p>
      <w:pPr>
        <w:pStyle w:val="ListParagraph"/>
        <w:numPr>
          <w:ilvl w:val="0"/>
          <w:numId w:val="1"/>
        </w:numPr>
        <w:spacing w:after="80" w:line="312"/>
      </w:pPr>
      <w:r>
        <w:rPr>
          <w:rFonts w:ascii="Calibri" w:eastAsia="Microsoft YaHei"/>
          <w:color w:val="1F2937"/>
          <w:sz w:val="22"/>
          <w:szCs w:val="22"/>
        </w:rPr>
        <w:t xml:space="preserve">Per-shop billing: each Business has its own subscription invoice + payment history. Users are free (unlimited employees on Pro+ tiers).</w:t>
      </w:r>
    </w:p>
    <w:p>
      <w:pPr>
        <w:pStyle w:val="ListParagraph"/>
        <w:numPr>
          <w:ilvl w:val="0"/>
          <w:numId w:val="1"/>
        </w:numPr>
        <w:spacing w:after="80" w:line="312"/>
      </w:pPr>
      <w:r>
        <w:rPr>
          <w:rFonts w:ascii="Calibri" w:eastAsia="Microsoft YaHei"/>
          <w:color w:val="1F2937"/>
          <w:sz w:val="22"/>
          <w:szCs w:val="22"/>
        </w:rPr>
        <w:t xml:space="preserve">4-stage grace period: active → expiring_soon (7 days before end) → expired (7 days after, read-only mode) → data_wiped (14 days after, login + payment only). Soft-delete with 30-day recovery window before true purge.</w:t>
      </w:r>
    </w:p>
    <w:p>
      <w:pPr>
        <w:pStyle w:val="ListParagraph"/>
        <w:numPr>
          <w:ilvl w:val="0"/>
          <w:numId w:val="1"/>
        </w:numPr>
        <w:spacing w:after="80" w:line="312"/>
      </w:pPr>
      <w:r>
        <w:rPr>
          <w:rFonts w:ascii="Calibri" w:eastAsia="Microsoft YaHei"/>
          <w:color w:val="1F2937"/>
          <w:sz w:val="22"/>
          <w:szCs w:val="22"/>
        </w:rPr>
        <w:t xml:space="preserve">Manual payment first (bKash/Nagad TRX ID matching), SSL Commerz in P5. Super-admin toggles which methods are active.</w:t>
      </w:r>
    </w:p>
    <w:p>
      <w:pPr>
        <w:pStyle w:val="ListParagraph"/>
        <w:numPr>
          <w:ilvl w:val="0"/>
          <w:numId w:val="1"/>
        </w:numPr>
        <w:spacing w:after="80" w:line="312"/>
      </w:pPr>
      <w:r>
        <w:rPr>
          <w:rFonts w:ascii="Calibri" w:eastAsia="Microsoft YaHei"/>
          <w:color w:val="1F2937"/>
          <w:sz w:val="22"/>
          <w:szCs w:val="22"/>
        </w:rPr>
        <w:t xml:space="preserve">Auto-matching engine: user submits TRX ID + amount → super-admin uploads received TRX IDs → system auto-matches and extends subscription. Pending matches go to manual review.</w:t>
      </w:r>
    </w:p>
    <w:p>
      <w:pPr>
        <w:pStyle w:val="ListParagraph"/>
        <w:numPr>
          <w:ilvl w:val="0"/>
          <w:numId w:val="1"/>
        </w:numPr>
        <w:spacing w:after="80" w:line="312"/>
      </w:pPr>
      <w:r>
        <w:rPr>
          <w:rFonts w:ascii="Calibri" w:eastAsia="Microsoft YaHei"/>
          <w:color w:val="1F2937"/>
          <w:sz w:val="22"/>
          <w:szCs w:val="22"/>
        </w:rPr>
        <w:t xml:space="preserve">Admin phone uniqueness: one phone number = one admin account. Prevents duplicate accounts and simplifies recovery.</w:t>
      </w:r>
    </w:p>
    <w:p>
      <w:pPr>
        <w:pStyle w:val="ListParagraph"/>
        <w:numPr>
          <w:ilvl w:val="0"/>
          <w:numId w:val="1"/>
        </w:numPr>
        <w:spacing w:after="80" w:line="312"/>
      </w:pPr>
      <w:r>
        <w:rPr>
          <w:rFonts w:ascii="Calibri" w:eastAsia="Microsoft YaHei"/>
          <w:color w:val="1F2937"/>
          <w:sz w:val="22"/>
          <w:szCs w:val="22"/>
        </w:rPr>
        <w:t xml:space="preserve">3-tier pricing: Free (0), Pro (800 BDT/mo), Pro AI (1,500 BDT/mo). Annual billing: pay 10 months, get 12.</w:t>
      </w:r>
    </w:p>
    <w:p>
      <w:pPr>
        <w:pStyle w:val="Heading3"/>
        <w:spacing w:after="100" w:before="220" w:line="312"/>
      </w:pPr>
      <w:bookmarkStart w:id="100002" w:name="_Toc100002"/>
      <w:r>
        <w:rPr>
          <w:rFonts w:ascii="Calibri" w:eastAsia="Microsoft YaHei"/>
          <w:b/>
          <w:bCs/>
          <w:color w:val="064E3B"/>
          <w:sz w:val="24"/>
          <w:szCs w:val="24"/>
        </w:rPr>
        <w:t xml:space="preserve">Phase overview</w:t>
      </w:r>
      <w:bookmarkEnd w:id="100002"/>
    </w:p>
    <w:p>
      <w:pPr>
        <w:keepNext/>
        <w:spacing w:after="100" w:before="200"/>
        <w:jc w:val="left"/>
      </w:pPr>
      <w:r>
        <w:rPr>
          <w:rFonts w:ascii="Calibri" w:eastAsia="Microsoft YaHei"/>
          <w:b/>
          <w:bCs/>
          <w:color w:val="064E3B"/>
          <w:sz w:val="21"/>
          <w:szCs w:val="21"/>
        </w:rPr>
        <w:t xml:space="preserve">Table 1: Phase overview — themes, features, effort, and tracking status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Theme</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P1</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Schema + Per-Shop Model</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models + admin phone uniqueness + tier pricing</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P2</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Grace Period Lifecycle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4-stage enforcement: active → read-only → data-wiped</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P3</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Payments (bKash/Nagad)</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 submission + super-admin matching + auto-extend</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P4</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Super-Admin Monitoring</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Client-wise status dashboard + revenue tracking</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P5</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 Toggle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Gateway integration + payment-method toggle + annual billing</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P6</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Notifications + Polish</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In-app/email alerts + onboarding + edge cases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bl>
    <w:p>
      <w:pPr>
        <w:spacing w:after="240" w:before="0" w:line="240"/>
      </w:pPr>
      <w:r>
        <w:t xml:space="preserve"/>
      </w:r>
    </w:p>
    <w:p>
      <w:pPr>
        <w:pBdr>
          <w:left w:val="single" w:color="8B5CF6" w:sz="18" w:space="12"/>
        </w:pBdr>
        <w:spacing w:after="160" w:before="160" w:line="312"/>
        <w:ind w:left="240"/>
      </w:pPr>
      <w:r>
        <w:rPr>
          <w:rFonts w:ascii="Calibri" w:eastAsia="Microsoft YaHei"/>
          <w:i/>
          <w:iCs/>
          <w:color w:val="1F2937"/>
          <w:sz w:val="22"/>
          <w:szCs w:val="22"/>
        </w:rPr>
        <w:t xml:space="preserve">Tracking: After this spec is approved, a new §18 is added to PROJECT_CONTEXT.md. Each phase gets a status row updated as work completes. The worklog.md receives one entry per phase using the Task ID pattern subscription-p1 through subscription-p6.</w:t>
      </w:r>
    </w:p>
    <w:p>
      <w:r>
        <w:br w:type="page"/>
      </w:r>
    </w:p>
    <w:p>
      <w:pPr>
        <w:pStyle w:val="Heading1"/>
        <w:spacing w:after="200" w:before="360" w:line="312"/>
      </w:pPr>
      <w:bookmarkStart w:id="100003" w:name="_Toc100003"/>
      <w:r>
        <w:rPr>
          <w:rFonts w:ascii="Calibri" w:eastAsia="Microsoft YaHei"/>
          <w:b/>
          <w:bCs/>
          <w:color w:val="064E3B"/>
          <w:sz w:val="32"/>
          <w:szCs w:val="32"/>
        </w:rPr>
        <w:t xml:space="preserve">2. Bangladesh Market Research + Package Recommendation</w:t>
      </w:r>
      <w:bookmarkEnd w:id="100003"/>
    </w:p>
    <w:p>
      <w:pPr>
        <w:pStyle w:val="Heading2"/>
        <w:spacing w:after="140" w:before="280" w:line="312"/>
      </w:pPr>
      <w:bookmarkStart w:id="100004" w:name="_Toc100004"/>
      <w:r>
        <w:rPr>
          <w:rFonts w:ascii="Calibri" w:eastAsia="Microsoft YaHei"/>
          <w:b/>
          <w:bCs/>
          <w:color w:val="064E3B"/>
          <w:sz w:val="28"/>
          <w:szCs w:val="28"/>
        </w:rPr>
        <w:t xml:space="preserve">2.1 BD pharmacy software pricing landscape</w:t>
      </w:r>
      <w:bookmarkEnd w:id="100004"/>
    </w:p>
    <w:p>
      <w:pPr>
        <w:spacing w:after="120" w:before="0" w:line="312"/>
        <w:ind w:firstLine="0"/>
        <w:jc w:val="both"/>
      </w:pPr>
      <w:r>
        <w:rPr>
          <w:rFonts w:ascii="Calibri" w:eastAsia="Microsoft YaHei"/>
          <w:color w:val="1F2937"/>
          <w:sz w:val="22"/>
          <w:szCs w:val="22"/>
        </w:rPr>
        <w:t xml:space="preserve">Research into the Bangladesh pharmacy and POS software market reveals a price-sensitive landscape where bKash/Nagad dominate 80%+ of payments, annual billing is expected (typically 10-month pricing for 12 months), and free trials are standard practice. The table below summarizes competitor pricing.</w:t>
      </w:r>
    </w:p>
    <w:p>
      <w:pPr>
        <w:keepNext/>
        <w:spacing w:after="100" w:before="200"/>
        <w:jc w:val="left"/>
      </w:pPr>
      <w:r>
        <w:rPr>
          <w:rFonts w:ascii="Calibri" w:eastAsia="Microsoft YaHei"/>
          <w:b/>
          <w:bCs/>
          <w:color w:val="064E3B"/>
          <w:sz w:val="21"/>
          <w:szCs w:val="21"/>
        </w:rPr>
        <w:t xml:space="preserve">Table 2: BD pharmacy/POS software pricing comparison</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Software</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 (BDT)</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Annual (BDT)</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Easy Pharma</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800–1,200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8,000–12,000</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Basic inventory + POS</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Pharmacom</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1,000–1,500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10,000–15,000</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Mid-tier with reports</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Pharmacy Manager BD</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500–800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5,000–8,000</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Budget option</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General POS (Sheba, Sutra)</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500–2,000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5,000–20,000</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Multi-vertical</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Enterprise pharmacy</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2,000–5,000</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Custom</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Chain pharmacies</w:t>
            </w:r>
          </w:p>
        </w:tc>
      </w:tr>
    </w:tbl>
    <w:p>
      <w:pPr>
        <w:spacing w:after="200" w:before="0" w:line="240"/>
      </w:pPr>
      <w:r>
        <w:t xml:space="preserve"/>
      </w:r>
    </w:p>
    <w:p>
      <w:pPr>
        <w:pStyle w:val="Heading2"/>
        <w:spacing w:after="140" w:before="280" w:line="312"/>
      </w:pPr>
      <w:bookmarkStart w:id="100005" w:name="_Toc100005"/>
      <w:r>
        <w:rPr>
          <w:rFonts w:ascii="Calibri" w:eastAsia="Microsoft YaHei"/>
          <w:b/>
          <w:bCs/>
          <w:color w:val="064E3B"/>
          <w:sz w:val="28"/>
          <w:szCs w:val="28"/>
        </w:rPr>
        <w:t xml:space="preserve">2.2 Recommended 3-tier structure</w:t>
      </w:r>
      <w:bookmarkEnd w:id="100005"/>
    </w:p>
    <w:p>
      <w:pPr>
        <w:spacing w:after="120" w:before="0" w:line="312"/>
        <w:ind w:firstLine="0"/>
        <w:jc w:val="both"/>
      </w:pPr>
      <w:r>
        <w:rPr>
          <w:rFonts w:ascii="Calibri" w:eastAsia="Microsoft YaHei"/>
          <w:color w:val="1F2937"/>
          <w:sz w:val="22"/>
          <w:szCs w:val="22"/>
        </w:rPr>
        <w:t xml:space="preserve">Based on the market research and the AI cost structure (Z.ai charges ~0.03 BDT per 1K tokens; a heavy user consumes ~50K tokens/month = ~1.5 BDT cost), I recommend a 3-tier structure. Three tiers outperform two because: (a) a Free tier drives adoption in a price-sensitive market, (b) a mid-tier Pro captures established pharmacies who don't need AI, (c) a Pro AI tier covers the AI cost with healthy margin. The current codebase already has this 3-tier structure — only the prices change.</w:t>
      </w:r>
    </w:p>
    <w:p>
      <w:pPr>
        <w:keepNext/>
        <w:spacing w:after="100" w:before="200"/>
        <w:jc w:val="left"/>
      </w:pPr>
      <w:r>
        <w:rPr>
          <w:rFonts w:ascii="Calibri" w:eastAsia="Microsoft YaHei"/>
          <w:b/>
          <w:bCs/>
          <w:color w:val="064E3B"/>
          <w:sz w:val="21"/>
          <w:szCs w:val="21"/>
        </w:rPr>
        <w:t xml:space="preserve">Table 3: Recommended tier pricing (3-tier structure)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gridCol w:w="100"/>
        <w:gridCol w:w="100"/>
      </w:tblGrid>
      <w:tr>
        <w:trPr>
          <w:cantSplit/>
          <w:tblHeader/>
        </w:trPr>
        <w:tc>
          <w:tcPr>
            <w:tcW w:type="pct" w:w="1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Tier</w:t>
            </w:r>
          </w:p>
        </w:tc>
        <w:tc>
          <w:tcPr>
            <w:tcW w:type="pct" w:w="13%"/>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Monthly</w:t>
            </w:r>
          </w:p>
        </w:tc>
        <w:tc>
          <w:tcPr>
            <w:tcW w:type="pct" w:w="17%"/>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Annual (2 months free)</w:t>
            </w:r>
          </w:p>
        </w:tc>
        <w:tc>
          <w:tcPr>
            <w:tcW w:type="pct" w:w="13%"/>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Products</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Users</w:t>
            </w:r>
          </w:p>
        </w:tc>
        <w:tc>
          <w:tcPr>
            <w:tcW w:type="pct" w:w="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AI</w:t>
            </w:r>
          </w:p>
        </w:tc>
        <w:tc>
          <w:tcPr>
            <w:tcW w:type="pct" w:w="27%"/>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Target</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Free</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 BDT</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 BDT</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100</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Trial / adoption</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Pro</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800 BDT</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8,000 BDT</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Unlimited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w:t>
            </w:r>
          </w:p>
        </w:tc>
        <w:tc>
          <w:tcPr>
            <w:tcW w:type="pct" w:w="2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Established pharmacy</w:t>
            </w:r>
          </w:p>
        </w:tc>
      </w:tr>
      <w:tr>
        <w:trPr>
          <w:cantSplit/>
        </w:trPr>
        <w:tc>
          <w:tcPr>
            <w:tcW w:type="pct" w:w="12%"/>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Pro AI</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 BDT</w:t>
            </w:r>
          </w:p>
        </w:tc>
        <w:tc>
          <w:tcPr>
            <w:tcW w:type="pct" w:w="1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15,000 BDT</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Unlimited</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Unlimited</w:t>
            </w:r>
          </w:p>
        </w:tc>
        <w:tc>
          <w:tcPr>
            <w:tcW w:type="pct" w:w="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w:t>
            </w:r>
          </w:p>
        </w:tc>
        <w:tc>
          <w:tcPr>
            <w:tcW w:type="pct" w:w="2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Power user</w:t>
            </w:r>
          </w:p>
        </w:tc>
      </w:tr>
    </w:tbl>
    <w:p>
      <w:pPr>
        <w:spacing w:after="160" w:before="0" w:line="240"/>
      </w:pPr>
      <w:r>
        <w:t xml:space="preserve"/>
      </w:r>
    </w:p>
    <w:p>
      <w:pPr>
        <w:spacing w:after="120" w:before="0" w:line="312"/>
        <w:ind w:firstLine="0"/>
        <w:jc w:val="both"/>
      </w:pPr>
      <w:r>
        <w:rPr>
          <w:rFonts w:ascii="Calibri" w:eastAsia="Microsoft YaHei"/>
          <w:color w:val="1F2937"/>
          <w:sz w:val="22"/>
          <w:szCs w:val="22"/>
        </w:rPr>
        <w:t xml:space="preserve">Annual billing (pay 10, get 12) locks in customers and reduces monthly churn. The super-admin can edit these prices from the panel (P4). The current codebase prices (500/1000) are below market — the new prices (800/1500) are competitive with Easy Pharma and Pharmacom while giving AI margin.</w:t>
      </w:r>
    </w:p>
    <w:p>
      <w:pPr>
        <w:pStyle w:val="Heading2"/>
        <w:spacing w:after="140" w:before="280" w:line="312"/>
      </w:pPr>
      <w:bookmarkStart w:id="100006" w:name="_Toc100006"/>
      <w:r>
        <w:rPr>
          <w:rFonts w:ascii="Calibri" w:eastAsia="Microsoft YaHei"/>
          <w:b/>
          <w:bCs/>
          <w:color w:val="064E3B"/>
          <w:sz w:val="28"/>
          <w:szCs w:val="28"/>
        </w:rPr>
        <w:t xml:space="preserve">2.3 Why not 2 tiers?</w:t>
      </w:r>
      <w:bookmarkEnd w:id="100006"/>
    </w:p>
    <w:p>
      <w:pPr>
        <w:spacing w:after="120" w:before="0" w:line="312"/>
        <w:ind w:firstLine="0"/>
        <w:jc w:val="both"/>
      </w:pPr>
      <w:r>
        <w:rPr>
          <w:rFonts w:ascii="Calibri" w:eastAsia="Microsoft YaHei"/>
          <w:color w:val="1F2937"/>
          <w:sz w:val="22"/>
          <w:szCs w:val="22"/>
        </w:rPr>
        <w:t xml:space="preserve">A 2-tier structure (Free + Pro AI only) would force every paying customer onto the AI tier at 1,500 BDT/month. This is 87% more expensive than the cheapest competitor (Pharmacy Manager BD at 800 BDT) and would lose price-sensitive pharmacies who don't want AI. The 3-tier structure lets pharmacies start at Pro (800 BDT, competitive) and upgrade to Pro AI (1,500 BDT) when they want AI features — a natural upsell path.</w:t>
      </w:r>
    </w:p>
    <w:p>
      <w:r>
        <w:br w:type="page"/>
      </w:r>
    </w:p>
    <w:p>
      <w:pPr>
        <w:pStyle w:val="Heading1"/>
        <w:spacing w:after="200" w:before="360" w:line="312"/>
      </w:pPr>
      <w:bookmarkStart w:id="100007" w:name="_Toc100007"/>
      <w:r>
        <w:rPr>
          <w:rFonts w:ascii="Calibri" w:eastAsia="Microsoft YaHei"/>
          <w:b/>
          <w:bCs/>
          <w:color w:val="064E3B"/>
          <w:sz w:val="32"/>
          <w:szCs w:val="32"/>
        </w:rPr>
        <w:t xml:space="preserve">3. Current State &amp; Gap Analysis</w:t>
      </w:r>
      <w:bookmarkEnd w:id="100007"/>
    </w:p>
    <w:p>
      <w:pPr>
        <w:pStyle w:val="Heading2"/>
        <w:spacing w:after="140" w:before="280" w:line="312"/>
      </w:pPr>
      <w:bookmarkStart w:id="100008" w:name="_Toc100008"/>
      <w:r>
        <w:rPr>
          <w:rFonts w:ascii="Calibri" w:eastAsia="Microsoft YaHei"/>
          <w:b/>
          <w:bCs/>
          <w:color w:val="064E3B"/>
          <w:sz w:val="28"/>
          <w:szCs w:val="28"/>
        </w:rPr>
        <w:t xml:space="preserve">3.1 What exists today</w:t>
      </w:r>
      <w:bookmarkEnd w:id="100008"/>
    </w:p>
    <w:p>
      <w:pPr>
        <w:spacing w:after="120" w:before="0" w:line="312"/>
        <w:ind w:firstLine="0"/>
        <w:jc w:val="both"/>
      </w:pPr>
      <w:r>
        <w:rPr>
          <w:rFonts w:ascii="Calibri" w:eastAsia="Microsoft YaHei"/>
          <w:color w:val="1F2937"/>
          <w:sz w:val="22"/>
          <w:szCs w:val="22"/>
        </w:rPr>
        <w:t xml:space="preserve">The Business model has subscriptionTier (free/pro/pro_ai), subscriptionStatus (trial/active/suspended/cancelled), subscriptionStart, and subscriptionEnd fields. The feature-gate.ts module maps tiers to limits (max products, AI enabled, multi-user). An hourly cron job (runHourlySubscriptionsJob) auto-suspends businesses whose subscriptionEnd has passed. A GET /api/businesses/[id]/subscription endpoint returns the current subscription state. There is no payment system, no invoice generation, no grace-period stages, no read-only enforcement, and no super-admin revenue monitoring.</w:t>
      </w:r>
    </w:p>
    <w:p>
      <w:pPr>
        <w:pStyle w:val="Heading2"/>
        <w:spacing w:after="140" w:before="280" w:line="312"/>
      </w:pPr>
      <w:bookmarkStart w:id="100009" w:name="_Toc100009"/>
      <w:r>
        <w:rPr>
          <w:rFonts w:ascii="Calibri" w:eastAsia="Microsoft YaHei"/>
          <w:b/>
          <w:bCs/>
          <w:color w:val="064E3B"/>
          <w:sz w:val="28"/>
          <w:szCs w:val="28"/>
        </w:rPr>
        <w:t xml:space="preserve">3.2 The 8 gaps</w:t>
      </w:r>
      <w:bookmarkEnd w:id="100009"/>
    </w:p>
    <w:p>
      <w:pPr>
        <w:keepNext/>
        <w:spacing w:after="100" w:before="200"/>
        <w:jc w:val="left"/>
      </w:pPr>
      <w:r>
        <w:rPr>
          <w:rFonts w:ascii="Calibri" w:eastAsia="Microsoft YaHei"/>
          <w:b/>
          <w:bCs/>
          <w:color w:val="064E3B"/>
          <w:sz w:val="21"/>
          <w:szCs w:val="21"/>
        </w:rPr>
        <w:t xml:space="preserve">Table 4: Gap analysis with resolving phase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6%"/>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t>
            </w:r>
          </w:p>
        </w:tc>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Gap</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Impact</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per-shop billing workflow</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Can't collect payments or track who paid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P1+P3</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payment submission system</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Users have no way to pay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3</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invoice generation</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record of what's owed or paid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grace-period stages (read-only, data-wipe)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Expired users either work fully or are fully suspended — no middle ground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5</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read-only enforcement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Suspended users can't view their historical data</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6</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super-admin revenue monitoring</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Founder can't see expected vs received revenue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auto-matching for bKash/Nagad TRX IDs</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payment verification is error-prone</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w:t>
            </w:r>
          </w:p>
        </w:tc>
      </w:tr>
      <w:tr>
        <w:trPr>
          <w:cantSplit/>
        </w:trPr>
        <w:tc>
          <w:tcPr>
            <w:tcW w:type="pct" w:w="6%"/>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8</w:t>
            </w:r>
          </w:p>
        </w:tc>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 SSL Commerz / payment-method toggle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Only manual payment possible; no cards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P5</w:t>
            </w:r>
          </w:p>
        </w:tc>
      </w:tr>
    </w:tbl>
    <w:p>
      <w:pPr>
        <w:spacing w:after="200" w:before="0" w:line="240"/>
      </w:pPr>
      <w:r>
        <w:t xml:space="preserve"/>
      </w:r>
    </w:p>
    <w:p>
      <w:pPr>
        <w:pStyle w:val="Heading2"/>
        <w:spacing w:after="140" w:before="280" w:line="312"/>
      </w:pPr>
      <w:bookmarkStart w:id="100010" w:name="_Toc100010"/>
      <w:r>
        <w:rPr>
          <w:rFonts w:ascii="Calibri" w:eastAsia="Microsoft YaHei"/>
          <w:b/>
          <w:bCs/>
          <w:color w:val="064E3B"/>
          <w:sz w:val="28"/>
          <w:szCs w:val="28"/>
        </w:rPr>
        <w:t xml:space="preserve">3.3 The 4-stage grace period (founder's spec)</w:t>
      </w:r>
      <w:bookmarkEnd w:id="100010"/>
    </w:p>
    <w:p>
      <w:pPr>
        <w:spacing w:after="120" w:before="0" w:line="312"/>
        <w:ind w:firstLine="0"/>
        <w:jc w:val="both"/>
      </w:pPr>
      <w:r>
        <w:rPr>
          <w:rFonts w:ascii="Calibri" w:eastAsia="Microsoft YaHei"/>
          <w:color w:val="1F2937"/>
          <w:sz w:val="22"/>
          <w:szCs w:val="22"/>
        </w:rPr>
        <w:t xml:space="preserve">The founder specified a 4-stage subscription lifecycle that balances customer recovery with data protection. The system transitions businesses through these stages automatically via a daily cron job:</w:t>
      </w:r>
    </w:p>
    <w:p>
      <w:pPr>
        <w:keepNext/>
        <w:spacing w:after="100" w:before="200"/>
        <w:jc w:val="left"/>
      </w:pPr>
      <w:r>
        <w:rPr>
          <w:rFonts w:ascii="Calibri" w:eastAsia="Microsoft YaHei"/>
          <w:b/>
          <w:bCs/>
          <w:color w:val="064E3B"/>
          <w:sz w:val="21"/>
          <w:szCs w:val="21"/>
        </w:rPr>
        <w:t xml:space="preserve">Table 5: 4-stage grace period lifecycle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tblGrid>
      <w:tr>
        <w:trPr>
          <w:cantSplit/>
          <w:tblHeader/>
        </w:trPr>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Stage</w:t>
            </w:r>
          </w:p>
        </w:tc>
        <w:tc>
          <w:tcPr>
            <w:tcW w:type="pct" w:w="1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Timing</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What happens</w:t>
            </w:r>
          </w:p>
        </w:tc>
        <w:tc>
          <w:tcPr>
            <w:tcW w:type="pct" w:w="3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User experience</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bCs/>
                <w:color w:val="10B981"/>
                <w:sz w:val="20"/>
                <w:szCs w:val="20"/>
              </w:rPr>
              <w:t xml:space="preserve">1. Active</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Before subscriptionEnd</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 access</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Everything works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bCs/>
                <w:color w:val="F59E0B"/>
                <w:sz w:val="20"/>
                <w:szCs w:val="20"/>
              </w:rPr>
              <w:t xml:space="preserve">2. Expiring Soon</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7 days before end</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Full access + notification</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Banner: 'Pay within 7 days'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bCs/>
                <w:color w:val="EF4444"/>
                <w:sz w:val="20"/>
                <w:szCs w:val="20"/>
              </w:rPr>
              <w:t xml:space="preserve">3. Read-Only</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0–14 days after end</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Can view reports but no sales/purchase/entry</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write buttons disabled; banner: 'Data will be lost in 14 days'</w:t>
            </w:r>
          </w:p>
        </w:tc>
      </w:tr>
      <w:tr>
        <w:trPr>
          <w:cantSplit/>
        </w:trPr>
        <w:tc>
          <w:tcPr>
            <w:tcW w:type="pct" w:w="18%"/>
            <w:tcMar>
              <w:top w:type="dxa" w:w="100"/>
              <w:left w:type="dxa" w:w="120"/>
              <w:bottom w:type="dxa" w:w="100"/>
              <w:right w:type="dxa" w:w="120"/>
            </w:tcMar>
          </w:tcPr>
          <w:p>
            <w:pPr>
              <w:spacing w:line="280"/>
              <w:jc w:val="left"/>
            </w:pPr>
            <w:r>
              <w:rPr>
                <w:rFonts w:ascii="Calibri" w:eastAsia="Microsoft YaHei"/>
                <w:b/>
                <w:bCs/>
                <w:color w:val="6B7280"/>
                <w:sz w:val="20"/>
                <w:szCs w:val="20"/>
              </w:rPr>
              <w:t xml:space="preserve">4. Data Wiped</w:t>
            </w:r>
          </w:p>
        </w:tc>
        <w:tc>
          <w:tcPr>
            <w:tcW w:type="pct" w:w="1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14+ days after end</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Login works but no data — only payment option</w:t>
            </w:r>
          </w:p>
        </w:tc>
        <w:tc>
          <w:tcPr>
            <w:tcW w:type="pct" w:w="3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Empty dashboard + 'Pay to restore' screen. Data soft-deleted (recoverable 30 days).</w:t>
            </w:r>
          </w:p>
        </w:tc>
      </w:tr>
    </w:tbl>
    <w:p>
      <w:pPr>
        <w:spacing w:after="200" w:before="0" w:line="240"/>
      </w:pPr>
      <w:r>
        <w:t xml:space="preserve"/>
      </w:r>
    </w:p>
    <w:p>
      <w:pPr>
        <w:pBdr>
          <w:left w:val="single" w:color="8B5CF6" w:sz="18" w:space="12"/>
        </w:pBdr>
        <w:spacing w:after="160" w:before="160" w:line="312"/>
        <w:ind w:left="240"/>
      </w:pPr>
      <w:r>
        <w:rPr>
          <w:rFonts w:ascii="Calibri" w:eastAsia="Microsoft YaHei"/>
          <w:i/>
          <w:iCs/>
          <w:color w:val="1F2937"/>
          <w:sz w:val="22"/>
          <w:szCs w:val="22"/>
        </w:rPr>
        <w:t xml:space="preserve">Soft-delete recommendation: Stage 4 marks data as 'wiped' (hidden from queries) but keeps it in the DB for 30 days. If the user pays within 30 days, data is restored. After 30 days, a true purge runs. This protects against 'I paid but it didn't process' disputes.</w:t>
      </w:r>
    </w:p>
    <w:p>
      <w:r>
        <w:br w:type="page"/>
      </w:r>
    </w:p>
    <w:p>
      <w:pPr>
        <w:pStyle w:val="Heading1"/>
        <w:spacing w:after="200" w:before="360" w:line="312"/>
      </w:pPr>
      <w:bookmarkStart w:id="100011" w:name="_Toc100011"/>
      <w:r>
        <w:rPr>
          <w:rFonts w:ascii="Calibri" w:eastAsia="Microsoft YaHei"/>
          <w:b/>
          <w:bCs/>
          <w:color w:val="064E3B"/>
          <w:sz w:val="32"/>
          <w:szCs w:val="32"/>
        </w:rPr>
        <w:t xml:space="preserve">4. Phase 1 — Schema + Per-Shop Model + Admin Phone Uniqueness</w:t>
      </w:r>
      <w:bookmarkEnd w:id="100011"/>
    </w:p>
    <w:p>
      <w:pPr>
        <w:pStyle w:val="Heading2"/>
        <w:spacing w:after="140" w:before="280" w:line="312"/>
      </w:pPr>
      <w:bookmarkStart w:id="100012" w:name="_Toc100012"/>
      <w:r>
        <w:rPr>
          <w:rFonts w:ascii="Calibri" w:eastAsia="Microsoft YaHei"/>
          <w:b/>
          <w:bCs/>
          <w:color w:val="064E3B"/>
          <w:sz w:val="28"/>
          <w:szCs w:val="28"/>
        </w:rPr>
        <w:t xml:space="preserve">4.1 Rationale</w:t>
      </w:r>
      <w:bookmarkEnd w:id="100012"/>
    </w:p>
    <w:p>
      <w:pPr>
        <w:spacing w:after="120" w:before="0" w:line="312"/>
        <w:ind w:firstLine="0"/>
        <w:jc w:val="both"/>
      </w:pPr>
      <w:r>
        <w:rPr>
          <w:rFonts w:ascii="Calibri" w:eastAsia="Microsoft YaHei"/>
          <w:color w:val="1F2937"/>
          <w:sz w:val="22"/>
          <w:szCs w:val="22"/>
        </w:rPr>
        <w:t xml:space="preserve">Phase 1 builds the data foundation: new models for subscription invoices + payment transactions, updated Business fields for the 4-stage lifecycle, admin phone number uniqueness, and the updated 3-tier pricing. No user-facing behavior changes yet — just the schema + config that later phases build on.</w:t>
      </w:r>
    </w:p>
    <w:p>
      <w:pPr>
        <w:pStyle w:val="Heading2"/>
        <w:spacing w:after="140" w:before="280" w:line="312"/>
      </w:pPr>
      <w:bookmarkStart w:id="100013" w:name="_Toc100013"/>
      <w:r>
        <w:rPr>
          <w:rFonts w:ascii="Calibri" w:eastAsia="Microsoft YaHei"/>
          <w:b/>
          <w:bCs/>
          <w:color w:val="064E3B"/>
          <w:sz w:val="28"/>
          <w:szCs w:val="28"/>
        </w:rPr>
        <w:t xml:space="preserve">4.2 Scope</w:t>
      </w:r>
      <w:bookmarkEnd w:id="100013"/>
    </w:p>
    <w:p>
      <w:pPr>
        <w:pBdr>
          <w:left w:val="single" w:color="10B981" w:sz="24" w:space="12"/>
        </w:pBdr>
        <w:spacing w:after="80" w:before="160" w:line="312"/>
        <w:ind w:left="240"/>
      </w:pPr>
      <w:r>
        <w:rPr>
          <w:rFonts w:ascii="Calibri"/>
          <w:b/>
          <w:bCs/>
          <w:color w:val="10B981"/>
          <w:spacing w:val="30"/>
          <w:sz w:val="16"/>
          <w:szCs w:val="16"/>
        </w:rPr>
        <w:t xml:space="preserve">FEATURE 1.1</w:t>
      </w:r>
      <w:r>
        <w:rPr>
          <w:color w:val="6B7280"/>
          <w:sz w:val="18"/>
          <w:szCs w:val="18"/>
        </w:rPr>
        <w:t xml:space="preserve">  —  </w:t>
      </w:r>
      <w:r>
        <w:rPr>
          <w:rFonts w:ascii="Calibri"/>
          <w:b/>
          <w:bCs/>
          <w:color w:val="064E3B"/>
          <w:sz w:val="22"/>
          <w:szCs w:val="22"/>
        </w:rPr>
        <w:t xml:space="preserve">New Prisma models for billing</w:t>
      </w:r>
    </w:p>
    <w:p>
      <w:pPr>
        <w:spacing w:after="120" w:before="0" w:line="312"/>
        <w:ind w:firstLine="0"/>
        <w:jc w:val="both"/>
      </w:pPr>
      <w:r>
        <w:rPr>
          <w:rFonts w:ascii="Calibri" w:eastAsia="Microsoft YaHei"/>
          <w:color w:val="1F2937"/>
          <w:sz w:val="22"/>
          <w:szCs w:val="22"/>
        </w:rPr>
        <w:t xml:space="preserve">SubscriptionInvoice: one per billing period per business (monthly or annual). Fields: id, businessId, tier, billingPeriod (month/year), amount, status (pending/paid/overdue/cancelled), dueDate, paidAt, paymentMethod, createdAt. Generated automatically by a monthly cron or on-demand from the super-admin panel.</w:t>
      </w:r>
    </w:p>
    <w:p>
      <w:pPr>
        <w:spacing w:after="120" w:before="0" w:line="312"/>
        <w:ind w:firstLine="0"/>
        <w:jc w:val="both"/>
      </w:pPr>
      <w:r>
        <w:rPr>
          <w:rFonts w:ascii="Calibri" w:eastAsia="Microsoft YaHei"/>
          <w:color w:val="1F2937"/>
          <w:sz w:val="22"/>
          <w:szCs w:val="22"/>
        </w:rPr>
        <w:t xml:space="preserve">PaymentTransaction: one per payment attempt. Fields: id, businessId, invoiceId, method (bkash/nagad/ssl_commerz/manual), trxId, amount, status (pending/matched/rejected/refunded), submittedBy (user phone), submittedAt, matchedAt, matchedBy (super-admin id), notes. The auto-matching engine (P3) updates status from pending to matched.</w:t>
      </w:r>
    </w:p>
    <w:p>
      <w:pPr>
        <w:spacing w:after="120" w:before="0" w:line="312"/>
        <w:ind w:firstLine="0"/>
        <w:jc w:val="both"/>
      </w:pPr>
      <w:r>
        <w:rPr>
          <w:rFonts w:ascii="Calibri" w:eastAsia="Microsoft YaHei"/>
          <w:color w:val="1F2937"/>
          <w:sz w:val="22"/>
          <w:szCs w:val="22"/>
        </w:rPr>
        <w:t xml:space="preserve">ReceivedPayment: super-admin's record of money received in bKash/Nagad. Fields: id, method, trxId, amount, receivedAt, uploadedBy (super-admin id), matchedTransactionId (nullable — set when a user submission matches). The super-admin uploads these via the panel (P3).</w:t>
      </w:r>
    </w:p>
    <w:p>
      <w:pPr>
        <w:pBdr>
          <w:left w:val="single" w:color="10B981" w:sz="24" w:space="12"/>
        </w:pBdr>
        <w:spacing w:after="80" w:before="160" w:line="312"/>
        <w:ind w:left="240"/>
      </w:pPr>
      <w:r>
        <w:rPr>
          <w:rFonts w:ascii="Calibri"/>
          <w:b/>
          <w:bCs/>
          <w:color w:val="10B981"/>
          <w:spacing w:val="30"/>
          <w:sz w:val="16"/>
          <w:szCs w:val="16"/>
        </w:rPr>
        <w:t xml:space="preserve">FEATURE 1.2</w:t>
      </w:r>
      <w:r>
        <w:rPr>
          <w:color w:val="6B7280"/>
          <w:sz w:val="18"/>
          <w:szCs w:val="18"/>
        </w:rPr>
        <w:t xml:space="preserve">  —  </w:t>
      </w:r>
      <w:r>
        <w:rPr>
          <w:rFonts w:ascii="Calibri"/>
          <w:b/>
          <w:bCs/>
          <w:color w:val="064E3B"/>
          <w:sz w:val="22"/>
          <w:szCs w:val="22"/>
        </w:rPr>
        <w:t xml:space="preserve">Updated Business model for 4-stage lifecycle</w:t>
      </w:r>
    </w:p>
    <w:p>
      <w:pPr>
        <w:spacing w:after="120" w:before="0" w:line="312"/>
        <w:ind w:firstLine="0"/>
        <w:jc w:val="both"/>
      </w:pPr>
      <w:r>
        <w:rPr>
          <w:rFonts w:ascii="Calibri" w:eastAsia="Microsoft YaHei"/>
          <w:color w:val="1F2937"/>
          <w:sz w:val="22"/>
          <w:szCs w:val="22"/>
        </w:rPr>
        <w:t xml:space="preserve">Add fields to Business: subscriptionStage (active/expiring_soon/read_only/data_wiped — computed from subscriptionEnd + cron), gracePeriodEnd (14 days after subscriptionEnd), dataWipeDate (subscriptionEnd + 14 days), dataSoftDeletedAt (nullable — set when stage 4 begins), dataPurgeDate (dataSoftDeletedAt + 30 days). The nightly cron (P2) transitions these stages.</w:t>
      </w:r>
    </w:p>
    <w:p>
      <w:pPr>
        <w:pBdr>
          <w:left w:val="single" w:color="10B981" w:sz="24" w:space="12"/>
        </w:pBdr>
        <w:spacing w:after="80" w:before="160" w:line="312"/>
        <w:ind w:left="240"/>
      </w:pPr>
      <w:r>
        <w:rPr>
          <w:rFonts w:ascii="Calibri"/>
          <w:b/>
          <w:bCs/>
          <w:color w:val="10B981"/>
          <w:spacing w:val="30"/>
          <w:sz w:val="16"/>
          <w:szCs w:val="16"/>
        </w:rPr>
        <w:t xml:space="preserve">FEATURE 1.3</w:t>
      </w:r>
      <w:r>
        <w:rPr>
          <w:color w:val="6B7280"/>
          <w:sz w:val="18"/>
          <w:szCs w:val="18"/>
        </w:rPr>
        <w:t xml:space="preserve">  —  </w:t>
      </w:r>
      <w:r>
        <w:rPr>
          <w:rFonts w:ascii="Calibri"/>
          <w:b/>
          <w:bCs/>
          <w:color w:val="064E3B"/>
          <w:sz w:val="22"/>
          <w:szCs w:val="22"/>
        </w:rPr>
        <w:t xml:space="preserve">Admin phone uniqueness</w:t>
      </w:r>
    </w:p>
    <w:p>
      <w:pPr>
        <w:spacing w:after="120" w:before="0" w:line="312"/>
        <w:ind w:firstLine="0"/>
        <w:jc w:val="both"/>
      </w:pPr>
      <w:r>
        <w:rPr>
          <w:rFonts w:ascii="Calibri" w:eastAsia="Microsoft YaHei"/>
          <w:color w:val="1F2937"/>
          <w:sz w:val="22"/>
          <w:szCs w:val="22"/>
        </w:rPr>
        <w:t xml:space="preserve">Update the registration flow: when a user selects 'I have a business' and enters their phone number, the system checks if that phone is already an admin on another business. If yes, the user must log in as that admin (not create a new account). If no, a new admin account is created. Phone number becomes the unique identifier for admin accounts. This prevents duplicate accounts and simplifies recovery (one phone = one admin, regardless of how many shops they own).</w:t>
      </w:r>
    </w:p>
    <w:p>
      <w:pPr>
        <w:pBdr>
          <w:left w:val="single" w:color="10B981" w:sz="24" w:space="12"/>
        </w:pBdr>
        <w:spacing w:after="80" w:before="160" w:line="312"/>
        <w:ind w:left="240"/>
      </w:pPr>
      <w:r>
        <w:rPr>
          <w:rFonts w:ascii="Calibri"/>
          <w:b/>
          <w:bCs/>
          <w:color w:val="10B981"/>
          <w:spacing w:val="30"/>
          <w:sz w:val="16"/>
          <w:szCs w:val="16"/>
        </w:rPr>
        <w:t xml:space="preserve">FEATURE 1.4</w:t>
      </w:r>
      <w:r>
        <w:rPr>
          <w:color w:val="6B7280"/>
          <w:sz w:val="18"/>
          <w:szCs w:val="18"/>
        </w:rPr>
        <w:t xml:space="preserve">  —  </w:t>
      </w:r>
      <w:r>
        <w:rPr>
          <w:rFonts w:ascii="Calibri"/>
          <w:b/>
          <w:bCs/>
          <w:color w:val="064E3B"/>
          <w:sz w:val="22"/>
          <w:szCs w:val="22"/>
        </w:rPr>
        <w:t xml:space="preserve">Updated 3-tier pricing in feature-gate.ts</w:t>
      </w:r>
    </w:p>
    <w:p>
      <w:pPr>
        <w:spacing w:after="120" w:before="0" w:line="312"/>
        <w:ind w:firstLine="0"/>
        <w:jc w:val="both"/>
      </w:pPr>
      <w:r>
        <w:rPr>
          <w:rFonts w:ascii="Calibri" w:eastAsia="Microsoft YaHei"/>
          <w:color w:val="1F2937"/>
          <w:sz w:val="22"/>
          <w:szCs w:val="22"/>
        </w:rPr>
        <w:t xml:space="preserve">Update TIER_CONFIGS: free (0 BDT, 100 products, 1 user, no AI), pro (800 BDT, unlimited products, 5 users, no AI), pro_ai (1,500 BDT, unlimited products, unlimited users, full AI). Add annualPrice field (8,000 / 15,000 BDT). The super-admin can edit these prices from the panel (P4).</w:t>
      </w:r>
    </w:p>
    <w:p>
      <w:pPr>
        <w:pStyle w:val="Heading2"/>
        <w:spacing w:after="140" w:before="280" w:line="312"/>
      </w:pPr>
      <w:bookmarkStart w:id="100014" w:name="_Toc100014"/>
      <w:r>
        <w:rPr>
          <w:rFonts w:ascii="Calibri" w:eastAsia="Microsoft YaHei"/>
          <w:b/>
          <w:bCs/>
          <w:color w:val="064E3B"/>
          <w:sz w:val="28"/>
          <w:szCs w:val="28"/>
        </w:rPr>
        <w:t xml:space="preserve">4.3 Schema changes</w:t>
      </w:r>
      <w:bookmarkEnd w:id="100014"/>
    </w:p>
    <w:p>
      <w:pPr>
        <w:keepNext/>
        <w:spacing w:after="100" w:before="200"/>
        <w:jc w:val="left"/>
      </w:pPr>
      <w:r>
        <w:rPr>
          <w:rFonts w:ascii="Calibri" w:eastAsia="Microsoft YaHei"/>
          <w:b/>
          <w:bCs/>
          <w:color w:val="064E3B"/>
          <w:sz w:val="21"/>
          <w:szCs w:val="21"/>
        </w:rPr>
        <w:t xml:space="preserve">Table 6: P1 Prisma schema additions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Model</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New fields/relations</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SubscriptionInvoice (NEW)</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businessId, tier, billingPeriod, amount, status, dueDate, paidAt, paymentMethod, createdAt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Monthly/annual billing record per business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PaymentTransaction (NEW)</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businessId, invoiceId, method, trxId, amount, status, submittedBy, submittedAt, matchedAt, matchedBy, notes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 payment submissions</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ReceivedPayment (NEW)</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method, trxId, amount, receivedAt, uploadedBy, matchedTransactionId</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Super-admin's received money log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Business (update)</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+subscriptionStage, +gracePeriodEnd, +dataWipeDate, +dataSoftDeletedAt, +dataPurgeDate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4-stage lifecycle tracking</w:t>
            </w:r>
          </w:p>
        </w:tc>
      </w:tr>
      <w:tr>
        <w:trPr>
          <w:cantSplit/>
        </w:trPr>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BusinessUser (update)</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+isAdmin (Boolean, default false for employees)</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Distinguish admin (owner) from employees</w:t>
            </w:r>
          </w:p>
        </w:tc>
      </w:tr>
    </w:tbl>
    <w:p>
      <w:pPr>
        <w:spacing w:after="160" w:before="0" w:line="240"/>
      </w:pPr>
      <w:r>
        <w:t xml:space="preserve"/>
      </w:r>
    </w:p>
    <w:p>
      <w:pPr>
        <w:pStyle w:val="Heading2"/>
        <w:spacing w:after="140" w:before="280" w:line="312"/>
      </w:pPr>
      <w:bookmarkStart w:id="100015" w:name="_Toc100015"/>
      <w:r>
        <w:rPr>
          <w:rFonts w:ascii="Calibri" w:eastAsia="Microsoft YaHei"/>
          <w:b/>
          <w:bCs/>
          <w:color w:val="064E3B"/>
          <w:sz w:val="28"/>
          <w:szCs w:val="28"/>
        </w:rPr>
        <w:t xml:space="preserve">4.4 Acceptance criteria</w:t>
      </w:r>
      <w:bookmarkEnd w:id="100015"/>
    </w:p>
    <w:p>
      <w:pPr>
        <w:spacing w:after="80" w:before="0" w:line="312"/>
        <w:ind w:left="360" w:hanging="240"/>
      </w:pPr>
      <w:r>
        <w:rPr>
          <w:b/>
          <w:bCs/>
          <w:color w:val="10B981"/>
          <w:sz w:val="22"/>
          <w:szCs w:val="22"/>
        </w:rPr>
        <w:t xml:space="preserve">☐  </w:t>
      </w:r>
      <w:r>
        <w:rPr>
          <w:rFonts w:ascii="Calibri"/>
          <w:color w:val="1F2937"/>
          <w:sz w:val="22"/>
          <w:szCs w:val="22"/>
        </w:rPr>
        <w:t xml:space="preserve">SubscriptionInvoice model created with all fields + relations</w:t>
      </w:r>
    </w:p>
    <w:p>
      <w:pPr>
        <w:spacing w:after="80" w:before="0" w:line="312"/>
        <w:ind w:left="360" w:hanging="240"/>
      </w:pPr>
      <w:r>
        <w:rPr>
          <w:b/>
          <w:bCs/>
          <w:color w:val="10B981"/>
          <w:sz w:val="22"/>
          <w:szCs w:val="22"/>
        </w:rPr>
        <w:t xml:space="preserve">☐  </w:t>
      </w:r>
      <w:r>
        <w:rPr>
          <w:rFonts w:ascii="Calibri"/>
          <w:color w:val="1F2937"/>
          <w:sz w:val="22"/>
          <w:szCs w:val="22"/>
        </w:rPr>
        <w:t xml:space="preserve">PaymentTransaction model created with status enum (pending/matched/rejected/refunded)</w:t>
      </w:r>
    </w:p>
    <w:p>
      <w:pPr>
        <w:spacing w:after="80" w:before="0" w:line="312"/>
        <w:ind w:left="360" w:hanging="240"/>
      </w:pPr>
      <w:r>
        <w:rPr>
          <w:b/>
          <w:bCs/>
          <w:color w:val="10B981"/>
          <w:sz w:val="22"/>
          <w:szCs w:val="22"/>
        </w:rPr>
        <w:t xml:space="preserve">☐  </w:t>
      </w:r>
      <w:r>
        <w:rPr>
          <w:rFonts w:ascii="Calibri"/>
          <w:color w:val="1F2937"/>
          <w:sz w:val="22"/>
          <w:szCs w:val="22"/>
        </w:rPr>
        <w:t xml:space="preserve">ReceivedPayment model created with matchedTransactionId nullable relation</w:t>
      </w:r>
    </w:p>
    <w:p>
      <w:pPr>
        <w:spacing w:after="80" w:before="0" w:line="312"/>
        <w:ind w:left="360" w:hanging="240"/>
      </w:pPr>
      <w:r>
        <w:rPr>
          <w:b/>
          <w:bCs/>
          <w:color w:val="10B981"/>
          <w:sz w:val="22"/>
          <w:szCs w:val="22"/>
        </w:rPr>
        <w:t xml:space="preserve">☐  </w:t>
      </w:r>
      <w:r>
        <w:rPr>
          <w:rFonts w:ascii="Calibri"/>
          <w:color w:val="1F2937"/>
          <w:sz w:val="22"/>
          <w:szCs w:val="22"/>
        </w:rPr>
        <w:t xml:space="preserve">Business model has subscriptionStage, gracePeriodEnd, dataWipeDate, dataSoftDeletedAt, dataPurgeDate fields</w:t>
      </w:r>
    </w:p>
    <w:p>
      <w:pPr>
        <w:spacing w:after="80" w:before="0" w:line="312"/>
        <w:ind w:left="360" w:hanging="240"/>
      </w:pPr>
      <w:r>
        <w:rPr>
          <w:b/>
          <w:bCs/>
          <w:color w:val="10B981"/>
          <w:sz w:val="22"/>
          <w:szCs w:val="22"/>
        </w:rPr>
        <w:t xml:space="preserve">☐  </w:t>
      </w:r>
      <w:r>
        <w:rPr>
          <w:rFonts w:ascii="Calibri"/>
          <w:color w:val="1F2937"/>
          <w:sz w:val="22"/>
          <w:szCs w:val="22"/>
        </w:rPr>
        <w:t xml:space="preserve">BusinessUser has isAdmin field (default false)</w:t>
      </w:r>
    </w:p>
    <w:p>
      <w:pPr>
        <w:spacing w:after="80" w:before="0" w:line="312"/>
        <w:ind w:left="360" w:hanging="240"/>
      </w:pPr>
      <w:r>
        <w:rPr>
          <w:b/>
          <w:bCs/>
          <w:color w:val="10B981"/>
          <w:sz w:val="22"/>
          <w:szCs w:val="22"/>
        </w:rPr>
        <w:t xml:space="preserve">☐  </w:t>
      </w:r>
      <w:r>
        <w:rPr>
          <w:rFonts w:ascii="Calibri"/>
          <w:color w:val="1F2937"/>
          <w:sz w:val="22"/>
          <w:szCs w:val="22"/>
        </w:rPr>
        <w:t xml:space="preserve">feature-gate.ts updated: free=0, pro=800, pro_ai=1500, annualPrice field added</w:t>
      </w:r>
    </w:p>
    <w:p>
      <w:pPr>
        <w:spacing w:after="80" w:before="0" w:line="312"/>
        <w:ind w:left="360" w:hanging="240"/>
      </w:pPr>
      <w:r>
        <w:rPr>
          <w:b/>
          <w:bCs/>
          <w:color w:val="10B981"/>
          <w:sz w:val="22"/>
          <w:szCs w:val="22"/>
        </w:rPr>
        <w:t xml:space="preserve">☐  </w:t>
      </w:r>
      <w:r>
        <w:rPr>
          <w:rFonts w:ascii="Calibri"/>
          <w:color w:val="1F2937"/>
          <w:sz w:val="22"/>
          <w:szCs w:val="22"/>
        </w:rPr>
        <w:t xml:space="preserve">Registration flow checks phone uniqueness for admin accounts (returns error if phone already an admin)</w:t>
      </w:r>
    </w:p>
    <w:p>
      <w:pPr>
        <w:spacing w:after="80" w:before="0" w:line="312"/>
        <w:ind w:left="360" w:hanging="240"/>
      </w:pPr>
      <w:r>
        <w:rPr>
          <w:b/>
          <w:bCs/>
          <w:color w:val="10B981"/>
          <w:sz w:val="22"/>
          <w:szCs w:val="22"/>
        </w:rPr>
        <w:t xml:space="preserve">☐  </w:t>
      </w:r>
      <w:r>
        <w:rPr>
          <w:rFonts w:ascii="Calibri"/>
          <w:color w:val="1F2937"/>
          <w:sz w:val="22"/>
          <w:szCs w:val="22"/>
        </w:rPr>
        <w:t xml:space="preserve">prisma db push + generate run successfully</w:t>
      </w:r>
    </w:p>
    <w:p>
      <w:r>
        <w:br w:type="page"/>
      </w:r>
    </w:p>
    <w:p>
      <w:pPr>
        <w:pStyle w:val="Heading1"/>
        <w:spacing w:after="200" w:before="360" w:line="312"/>
      </w:pPr>
      <w:bookmarkStart w:id="100016" w:name="_Toc100016"/>
      <w:r>
        <w:rPr>
          <w:rFonts w:ascii="Calibri" w:eastAsia="Microsoft YaHei"/>
          <w:b/>
          <w:bCs/>
          <w:color w:val="064E3B"/>
          <w:sz w:val="32"/>
          <w:szCs w:val="32"/>
        </w:rPr>
        <w:t xml:space="preserve">5. Phase 2 — Grace Period Lifecycle + Read-Only Enforcement</w:t>
      </w:r>
      <w:bookmarkEnd w:id="100016"/>
    </w:p>
    <w:p>
      <w:pPr>
        <w:pStyle w:val="Heading2"/>
        <w:spacing w:after="140" w:before="280" w:line="312"/>
      </w:pPr>
      <w:bookmarkStart w:id="100017" w:name="_Toc100017"/>
      <w:r>
        <w:rPr>
          <w:rFonts w:ascii="Calibri" w:eastAsia="Microsoft YaHei"/>
          <w:b/>
          <w:bCs/>
          <w:color w:val="064E3B"/>
          <w:sz w:val="28"/>
          <w:szCs w:val="28"/>
        </w:rPr>
        <w:t xml:space="preserve">5.1 Rationale</w:t>
      </w:r>
      <w:bookmarkEnd w:id="100017"/>
    </w:p>
    <w:p>
      <w:pPr>
        <w:spacing w:after="120" w:before="0" w:line="312"/>
        <w:ind w:firstLine="0"/>
        <w:jc w:val="both"/>
      </w:pPr>
      <w:r>
        <w:rPr>
          <w:rFonts w:ascii="Calibri" w:eastAsia="Microsoft YaHei"/>
          <w:color w:val="1F2937"/>
          <w:sz w:val="22"/>
          <w:szCs w:val="22"/>
        </w:rPr>
        <w:t xml:space="preserve">Phase 2 implements the 4-stage subscription lifecycle: active → expiring_soon → read_only → data_wiped. A daily cron job transitions businesses between stages based on their subscriptionEnd date. A server-side guard blocks write operations (sales, purchases, stock entries) when a business is in read-only or data_wiped stage. Notifications fire at each transition.</w:t>
      </w:r>
    </w:p>
    <w:p>
      <w:pPr>
        <w:pStyle w:val="Heading2"/>
        <w:spacing w:after="140" w:before="280" w:line="312"/>
      </w:pPr>
      <w:bookmarkStart w:id="100018" w:name="_Toc100018"/>
      <w:r>
        <w:rPr>
          <w:rFonts w:ascii="Calibri" w:eastAsia="Microsoft YaHei"/>
          <w:b/>
          <w:bCs/>
          <w:color w:val="064E3B"/>
          <w:sz w:val="28"/>
          <w:szCs w:val="28"/>
        </w:rPr>
        <w:t xml:space="preserve">5.2 Scope</w:t>
      </w:r>
      <w:bookmarkEnd w:id="100018"/>
    </w:p>
    <w:p>
      <w:pPr>
        <w:pBdr>
          <w:left w:val="single" w:color="10B981" w:sz="24" w:space="12"/>
        </w:pBdr>
        <w:spacing w:after="80" w:before="160" w:line="312"/>
        <w:ind w:left="240"/>
      </w:pPr>
      <w:r>
        <w:rPr>
          <w:rFonts w:ascii="Calibri"/>
          <w:b/>
          <w:bCs/>
          <w:color w:val="10B981"/>
          <w:spacing w:val="30"/>
          <w:sz w:val="16"/>
          <w:szCs w:val="16"/>
        </w:rPr>
        <w:t xml:space="preserve">FEATURE 2.1</w:t>
      </w:r>
      <w:r>
        <w:rPr>
          <w:color w:val="6B7280"/>
          <w:sz w:val="18"/>
          <w:szCs w:val="18"/>
        </w:rPr>
        <w:t xml:space="preserve">  —  </w:t>
      </w:r>
      <w:r>
        <w:rPr>
          <w:rFonts w:ascii="Calibri"/>
          <w:b/>
          <w:bCs/>
          <w:color w:val="064E3B"/>
          <w:sz w:val="22"/>
          <w:szCs w:val="22"/>
        </w:rPr>
        <w:t xml:space="preserve">Daily subscription-lifecycle cron job</w:t>
      </w:r>
    </w:p>
    <w:p>
      <w:pPr>
        <w:spacing w:after="120" w:before="0" w:line="312"/>
        <w:ind w:firstLine="0"/>
        <w:jc w:val="both"/>
      </w:pPr>
      <w:r>
        <w:rPr>
          <w:rFonts w:ascii="Calibri" w:eastAsia="Microsoft YaHei"/>
          <w:color w:val="1F2937"/>
          <w:sz w:val="22"/>
          <w:szCs w:val="22"/>
        </w:rPr>
        <w:t xml:space="preserve">New cron job subscription-lifecycle runs daily at 02:00 UTC. For each business: (a) if subscriptionEnd is within 7 days → set stage to expiring_soon + send notification, (b) if subscriptionEnd has passed → set stage to read_only + send 'data loss in 14 days' notification, (c) if 14 days past subscriptionEnd → set stage to data_wiped + soft-delete data (mark dataSoftDeletedAt) + send final notification, (d) if 30 days past dataSoftDeletedAt → true purge (delete all business data except the Business row itself + payment history).</w:t>
      </w:r>
    </w:p>
    <w:p>
      <w:pPr>
        <w:pBdr>
          <w:left w:val="single" w:color="F59E0B" w:sz="24" w:space="12"/>
        </w:pBdr>
        <w:spacing w:after="80" w:before="160" w:line="312"/>
        <w:ind w:left="240"/>
      </w:pPr>
      <w:r>
        <w:rPr>
          <w:rFonts w:ascii="Calibri"/>
          <w:b/>
          <w:bCs/>
          <w:color w:val="F59E0B"/>
          <w:spacing w:val="30"/>
          <w:sz w:val="16"/>
          <w:szCs w:val="16"/>
        </w:rPr>
        <w:t xml:space="preserve">FEATURE 2.2</w:t>
      </w:r>
      <w:r>
        <w:rPr>
          <w:color w:val="6B7280"/>
          <w:sz w:val="18"/>
          <w:szCs w:val="18"/>
        </w:rPr>
        <w:t xml:space="preserve">  —  </w:t>
      </w:r>
      <w:r>
        <w:rPr>
          <w:rFonts w:ascii="Calibri"/>
          <w:b/>
          <w:bCs/>
          <w:color w:val="064E3B"/>
          <w:sz w:val="22"/>
          <w:szCs w:val="22"/>
        </w:rPr>
        <w:t xml:space="preserve">Server-side read-only guard</w:t>
      </w:r>
    </w:p>
    <w:p>
      <w:pPr>
        <w:spacing w:after="120" w:before="0" w:line="312"/>
        <w:ind w:firstLine="0"/>
        <w:jc w:val="both"/>
      </w:pPr>
      <w:r>
        <w:rPr>
          <w:rFonts w:ascii="Calibri" w:eastAsia="Microsoft YaHei"/>
          <w:color w:val="1F2937"/>
          <w:sz w:val="22"/>
          <w:szCs w:val="22"/>
        </w:rPr>
        <w:t xml:space="preserve">New middleware function requireActiveSubscription(businessId) called at the top of every write endpoint (POST/PUT/DELETE on sales, purchases, batches, stock, products, customers, suppliers). If the business is in read_only or data_wiped stage, returns 403 with a clear message: 'Subscription expired. Pay to restore full access.' Reports + export endpoints remain accessible. The client UI also disables write buttons (client-side), but the server guard is the real enforcement.</w:t>
      </w:r>
    </w:p>
    <w:p>
      <w:pPr>
        <w:pBdr>
          <w:left w:val="single" w:color="10B981" w:sz="24" w:space="12"/>
        </w:pBdr>
        <w:spacing w:after="80" w:before="160" w:line="312"/>
        <w:ind w:left="240"/>
      </w:pPr>
      <w:r>
        <w:rPr>
          <w:rFonts w:ascii="Calibri"/>
          <w:b/>
          <w:bCs/>
          <w:color w:val="10B981"/>
          <w:spacing w:val="30"/>
          <w:sz w:val="16"/>
          <w:szCs w:val="16"/>
        </w:rPr>
        <w:t xml:space="preserve">FEATURE 2.3</w:t>
      </w:r>
      <w:r>
        <w:rPr>
          <w:color w:val="6B7280"/>
          <w:sz w:val="18"/>
          <w:szCs w:val="18"/>
        </w:rPr>
        <w:t xml:space="preserve">  —  </w:t>
      </w:r>
      <w:r>
        <w:rPr>
          <w:rFonts w:ascii="Calibri"/>
          <w:b/>
          <w:bCs/>
          <w:color w:val="064E3B"/>
          <w:sz w:val="22"/>
          <w:szCs w:val="22"/>
        </w:rPr>
        <w:t xml:space="preserve">Client-side UI adaptation</w:t>
      </w:r>
    </w:p>
    <w:p>
      <w:pPr>
        <w:spacing w:after="120" w:before="0" w:line="312"/>
        <w:ind w:firstLine="0"/>
        <w:jc w:val="both"/>
      </w:pPr>
      <w:r>
        <w:rPr>
          <w:rFonts w:ascii="Calibri" w:eastAsia="Microsoft YaHei"/>
          <w:color w:val="1F2937"/>
          <w:sz w:val="22"/>
          <w:szCs w:val="22"/>
        </w:rPr>
        <w:t xml:space="preserve">When a business is in read_only stage: all 'Add', 'Sell', 'Purchase', 'Dispense' buttons are replaced with a disabled state + tooltip 'Subscription expired — pay to restore'. A persistent banner shows at the top of every screen: 'Your subscription expired on {date}. Data will be permanently lost in {N} days. Pay now to restore.' When in data_wiped stage: the dashboard shows only the payment screen + 'Your data was archived on {date}. Pay within {N} days to restore.'</w:t>
      </w:r>
    </w:p>
    <w:p>
      <w:pPr>
        <w:pBdr>
          <w:left w:val="single" w:color="F59E0B" w:sz="24" w:space="12"/>
        </w:pBdr>
        <w:spacing w:after="80" w:before="160" w:line="312"/>
        <w:ind w:left="240"/>
      </w:pPr>
      <w:r>
        <w:rPr>
          <w:rFonts w:ascii="Calibri"/>
          <w:b/>
          <w:bCs/>
          <w:color w:val="F59E0B"/>
          <w:spacing w:val="30"/>
          <w:sz w:val="16"/>
          <w:szCs w:val="16"/>
        </w:rPr>
        <w:t xml:space="preserve">FEATURE 2.4</w:t>
      </w:r>
      <w:r>
        <w:rPr>
          <w:color w:val="6B7280"/>
          <w:sz w:val="18"/>
          <w:szCs w:val="18"/>
        </w:rPr>
        <w:t xml:space="preserve">  —  </w:t>
      </w:r>
      <w:r>
        <w:rPr>
          <w:rFonts w:ascii="Calibri"/>
          <w:b/>
          <w:bCs/>
          <w:color w:val="064E3B"/>
          <w:sz w:val="22"/>
          <w:szCs w:val="22"/>
        </w:rPr>
        <w:t xml:space="preserve">Soft-delete + recovery</w:t>
      </w:r>
    </w:p>
    <w:p>
      <w:pPr>
        <w:spacing w:after="120" w:before="0" w:line="312"/>
        <w:ind w:firstLine="0"/>
        <w:jc w:val="both"/>
      </w:pPr>
      <w:r>
        <w:rPr>
          <w:rFonts w:ascii="Calibri" w:eastAsia="Microsoft YaHei"/>
          <w:color w:val="1F2937"/>
          <w:sz w:val="22"/>
          <w:szCs w:val="22"/>
        </w:rPr>
        <w:t xml:space="preserve">When stage transitions to data_wiped, set dataSoftDeletedAt = now. All product/batch/sale/purchase/customer queries filter out businesses with dataSoftDeletedAt set (unless the request is from the super-admin panel or a payment-restore endpoint). If the user pays within 30 days, a restore endpoint clears dataSoftDeletedAt + resets subscriptionStage to active + extends subscriptionEnd. After 30 days, the nightly cron purges all data except the Business row + SubscriptionInvoice + PaymentTransaction (kept for audit).</w:t>
      </w:r>
    </w:p>
    <w:p>
      <w:pPr>
        <w:pStyle w:val="Heading2"/>
        <w:spacing w:after="140" w:before="280" w:line="312"/>
      </w:pPr>
      <w:bookmarkStart w:id="100019" w:name="_Toc100019"/>
      <w:r>
        <w:rPr>
          <w:rFonts w:ascii="Calibri" w:eastAsia="Microsoft YaHei"/>
          <w:b/>
          <w:bCs/>
          <w:color w:val="064E3B"/>
          <w:sz w:val="28"/>
          <w:szCs w:val="28"/>
        </w:rPr>
        <w:t xml:space="preserve">5.3 Schema changes</w:t>
      </w:r>
      <w:bookmarkEnd w:id="100019"/>
    </w:p>
    <w:p>
      <w:pPr>
        <w:spacing w:after="120" w:before="0" w:line="312"/>
        <w:ind w:firstLine="0"/>
        <w:jc w:val="both"/>
      </w:pPr>
      <w:r>
        <w:rPr>
          <w:rFonts w:ascii="Calibri" w:eastAsia="Microsoft YaHei"/>
          <w:color w:val="1F2937"/>
          <w:sz w:val="22"/>
          <w:szCs w:val="22"/>
        </w:rPr>
        <w:t xml:space="preserve">None beyond P1 (the fields added in P1 are used here).</w:t>
      </w:r>
    </w:p>
    <w:p>
      <w:pPr>
        <w:pStyle w:val="Heading2"/>
        <w:spacing w:after="140" w:before="280" w:line="312"/>
      </w:pPr>
      <w:bookmarkStart w:id="100020" w:name="_Toc100020"/>
      <w:r>
        <w:rPr>
          <w:rFonts w:ascii="Calibri" w:eastAsia="Microsoft YaHei"/>
          <w:b/>
          <w:bCs/>
          <w:color w:val="064E3B"/>
          <w:sz w:val="28"/>
          <w:szCs w:val="28"/>
        </w:rPr>
        <w:t xml:space="preserve">5.4 API + cron changes</w:t>
      </w:r>
      <w:bookmarkEnd w:id="100020"/>
    </w:p>
    <w:p>
      <w:pPr>
        <w:keepNext/>
        <w:spacing w:after="100" w:before="200"/>
        <w:jc w:val="left"/>
      </w:pPr>
      <w:r>
        <w:rPr>
          <w:rFonts w:ascii="Calibri" w:eastAsia="Microsoft YaHei"/>
          <w:b/>
          <w:bCs/>
          <w:color w:val="064E3B"/>
          <w:sz w:val="21"/>
          <w:szCs w:val="21"/>
        </w:rPr>
        <w:t xml:space="preserve">Table 7: P2 API + cron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Component</w:t>
            </w:r>
          </w:p>
        </w:tc>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Change</w:t>
            </w:r>
          </w:p>
        </w:tc>
        <w:tc>
          <w:tcPr>
            <w:tcW w:type="pct" w:w="3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CRON_JOB_NAMES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 SUBSCRIPTION_LIFECYCLE: 'subscription-lifecycle'</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daily job</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CRON_JOB_SCHEDULES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schedule: '0 2 * * *' (02:00 UTC daily)</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stage transitions</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cron-jobs.ts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runSubscriptionLifecycleJob() function</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Stage transitions + notifications + purge</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src/lib/subscription-guard.ts (NEW)</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requireActiveSubscription(businessId) helper</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Server-side read-only enforcement</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All write API routes</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Add requireActiveSubscription() call at top</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Block writes in read_only/data_wiped</w:t>
            </w:r>
          </w:p>
        </w:tc>
      </w:tr>
      <w:tr>
        <w:trPr>
          <w:cantSplit/>
        </w:trPr>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 /api/businesses/[id]/restore-data (NEW)</w:t>
            </w:r>
          </w:p>
        </w:tc>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Restore soft-deleted data after payment</w:t>
            </w:r>
          </w:p>
        </w:tc>
        <w:tc>
          <w:tcPr>
            <w:tcW w:type="pct" w:w="3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Recovery within 30-day window</w:t>
            </w:r>
          </w:p>
        </w:tc>
      </w:tr>
    </w:tbl>
    <w:p>
      <w:pPr>
        <w:spacing w:after="160" w:before="0" w:line="240"/>
      </w:pPr>
      <w:r>
        <w:t xml:space="preserve"/>
      </w:r>
    </w:p>
    <w:p>
      <w:pPr>
        <w:pStyle w:val="Heading2"/>
        <w:spacing w:after="140" w:before="280" w:line="312"/>
      </w:pPr>
      <w:bookmarkStart w:id="100021" w:name="_Toc100021"/>
      <w:r>
        <w:rPr>
          <w:rFonts w:ascii="Calibri" w:eastAsia="Microsoft YaHei"/>
          <w:b/>
          <w:bCs/>
          <w:color w:val="064E3B"/>
          <w:sz w:val="28"/>
          <w:szCs w:val="28"/>
        </w:rPr>
        <w:t xml:space="preserve">5.5 Acceptance criteria</w:t>
      </w:r>
      <w:bookmarkEnd w:id="100021"/>
    </w:p>
    <w:p>
      <w:pPr>
        <w:spacing w:after="80" w:before="0" w:line="312"/>
        <w:ind w:left="360" w:hanging="240"/>
      </w:pPr>
      <w:r>
        <w:rPr>
          <w:b/>
          <w:bCs/>
          <w:color w:val="10B981"/>
          <w:sz w:val="22"/>
          <w:szCs w:val="22"/>
        </w:rPr>
        <w:t xml:space="preserve">☐  </w:t>
      </w:r>
      <w:r>
        <w:rPr>
          <w:rFonts w:ascii="Calibri"/>
          <w:color w:val="1F2937"/>
          <w:sz w:val="22"/>
          <w:szCs w:val="22"/>
        </w:rPr>
        <w:t xml:space="preserve">Daily cron job transitions businesses through 4 stages based on subscriptionEnd</w:t>
      </w:r>
    </w:p>
    <w:p>
      <w:pPr>
        <w:spacing w:after="80" w:before="0" w:line="312"/>
        <w:ind w:left="360" w:hanging="240"/>
      </w:pPr>
      <w:r>
        <w:rPr>
          <w:b/>
          <w:bCs/>
          <w:color w:val="10B981"/>
          <w:sz w:val="22"/>
          <w:szCs w:val="22"/>
        </w:rPr>
        <w:t xml:space="preserve">☐  </w:t>
      </w:r>
      <w:r>
        <w:rPr>
          <w:rFonts w:ascii="Calibri"/>
          <w:color w:val="1F2937"/>
          <w:sz w:val="22"/>
          <w:szCs w:val="22"/>
        </w:rPr>
        <w:t xml:space="preserve">Businesses 7 days before expiry get 'expiring_soon' stage + notification</w:t>
      </w:r>
    </w:p>
    <w:p>
      <w:pPr>
        <w:spacing w:after="80" w:before="0" w:line="312"/>
        <w:ind w:left="360" w:hanging="240"/>
      </w:pPr>
      <w:r>
        <w:rPr>
          <w:b/>
          <w:bCs/>
          <w:color w:val="10B981"/>
          <w:sz w:val="22"/>
          <w:szCs w:val="22"/>
        </w:rPr>
        <w:t xml:space="preserve">☐  </w:t>
      </w:r>
      <w:r>
        <w:rPr>
          <w:rFonts w:ascii="Calibri"/>
          <w:color w:val="1F2937"/>
          <w:sz w:val="22"/>
          <w:szCs w:val="22"/>
        </w:rPr>
        <w:t xml:space="preserve">Businesses past expiry get 'read_only' stage + 'data loss in 14 days' notification</w:t>
      </w:r>
    </w:p>
    <w:p>
      <w:pPr>
        <w:spacing w:after="80" w:before="0" w:line="312"/>
        <w:ind w:left="360" w:hanging="240"/>
      </w:pPr>
      <w:r>
        <w:rPr>
          <w:b/>
          <w:bCs/>
          <w:color w:val="10B981"/>
          <w:sz w:val="22"/>
          <w:szCs w:val="22"/>
        </w:rPr>
        <w:t xml:space="preserve">☐  </w:t>
      </w:r>
      <w:r>
        <w:rPr>
          <w:rFonts w:ascii="Calibri"/>
          <w:color w:val="1F2937"/>
          <w:sz w:val="22"/>
          <w:szCs w:val="22"/>
        </w:rPr>
        <w:t xml:space="preserve">Businesses 14 days past expiry get 'data_wiped' stage + soft-delete + final notification</w:t>
      </w:r>
    </w:p>
    <w:p>
      <w:pPr>
        <w:spacing w:after="80" w:before="0" w:line="312"/>
        <w:ind w:left="360" w:hanging="240"/>
      </w:pPr>
      <w:r>
        <w:rPr>
          <w:b/>
          <w:bCs/>
          <w:color w:val="10B981"/>
          <w:sz w:val="22"/>
          <w:szCs w:val="22"/>
        </w:rPr>
        <w:t xml:space="preserve">☐  </w:t>
      </w:r>
      <w:r>
        <w:rPr>
          <w:rFonts w:ascii="Calibri"/>
          <w:color w:val="1F2937"/>
          <w:sz w:val="22"/>
          <w:szCs w:val="22"/>
        </w:rPr>
        <w:t xml:space="preserve">Write endpoints (sales, purchases, batches, stock) return 403 in read_only/data_wiped stages</w:t>
      </w:r>
    </w:p>
    <w:p>
      <w:pPr>
        <w:spacing w:after="80" w:before="0" w:line="312"/>
        <w:ind w:left="360" w:hanging="240"/>
      </w:pPr>
      <w:r>
        <w:rPr>
          <w:b/>
          <w:bCs/>
          <w:color w:val="10B981"/>
          <w:sz w:val="22"/>
          <w:szCs w:val="22"/>
        </w:rPr>
        <w:t xml:space="preserve">☐  </w:t>
      </w:r>
      <w:r>
        <w:rPr>
          <w:rFonts w:ascii="Calibri"/>
          <w:color w:val="1F2937"/>
          <w:sz w:val="22"/>
          <w:szCs w:val="22"/>
        </w:rPr>
        <w:t xml:space="preserve">Report + export endpoints remain accessible in all stages</w:t>
      </w:r>
    </w:p>
    <w:p>
      <w:pPr>
        <w:spacing w:after="80" w:before="0" w:line="312"/>
        <w:ind w:left="360" w:hanging="240"/>
      </w:pPr>
      <w:r>
        <w:rPr>
          <w:b/>
          <w:bCs/>
          <w:color w:val="10B981"/>
          <w:sz w:val="22"/>
          <w:szCs w:val="22"/>
        </w:rPr>
        <w:t xml:space="preserve">☐  </w:t>
      </w:r>
      <w:r>
        <w:rPr>
          <w:rFonts w:ascii="Calibri"/>
          <w:color w:val="1F2937"/>
          <w:sz w:val="22"/>
          <w:szCs w:val="22"/>
        </w:rPr>
        <w:t xml:space="preserve">Client UI disables write buttons + shows persistent banner in read_only stage</w:t>
      </w:r>
    </w:p>
    <w:p>
      <w:pPr>
        <w:spacing w:after="80" w:before="0" w:line="312"/>
        <w:ind w:left="360" w:hanging="240"/>
      </w:pPr>
      <w:r>
        <w:rPr>
          <w:b/>
          <w:bCs/>
          <w:color w:val="10B981"/>
          <w:sz w:val="22"/>
          <w:szCs w:val="22"/>
        </w:rPr>
        <w:t xml:space="preserve">☐  </w:t>
      </w:r>
      <w:r>
        <w:rPr>
          <w:rFonts w:ascii="Calibri"/>
          <w:color w:val="1F2937"/>
          <w:sz w:val="22"/>
          <w:szCs w:val="22"/>
        </w:rPr>
        <w:t xml:space="preserve">Data-wiped businesses see only payment screen on login</w:t>
      </w:r>
    </w:p>
    <w:p>
      <w:pPr>
        <w:spacing w:after="80" w:before="0" w:line="312"/>
        <w:ind w:left="360" w:hanging="240"/>
      </w:pPr>
      <w:r>
        <w:rPr>
          <w:b/>
          <w:bCs/>
          <w:color w:val="10B981"/>
          <w:sz w:val="22"/>
          <w:szCs w:val="22"/>
        </w:rPr>
        <w:t xml:space="preserve">☐  </w:t>
      </w:r>
      <w:r>
        <w:rPr>
          <w:rFonts w:ascii="Calibri"/>
          <w:color w:val="1F2937"/>
          <w:sz w:val="22"/>
          <w:szCs w:val="22"/>
        </w:rPr>
        <w:t xml:space="preserve">Soft-deleted data is restorable within 30 days via restore endpoint</w:t>
      </w:r>
    </w:p>
    <w:p>
      <w:pPr>
        <w:spacing w:after="80" w:before="0" w:line="312"/>
        <w:ind w:left="360" w:hanging="240"/>
      </w:pPr>
      <w:r>
        <w:rPr>
          <w:b/>
          <w:bCs/>
          <w:color w:val="10B981"/>
          <w:sz w:val="22"/>
          <w:szCs w:val="22"/>
        </w:rPr>
        <w:t xml:space="preserve">☐  </w:t>
      </w:r>
      <w:r>
        <w:rPr>
          <w:rFonts w:ascii="Calibri"/>
          <w:color w:val="1F2937"/>
          <w:sz w:val="22"/>
          <w:szCs w:val="22"/>
        </w:rPr>
        <w:t xml:space="preserve">True purge runs after 30 days (keeps Business + invoices + payments for audit)</w:t>
      </w:r>
    </w:p>
    <w:p>
      <w:r>
        <w:br w:type="page"/>
      </w:r>
    </w:p>
    <w:p>
      <w:pPr>
        <w:pStyle w:val="Heading1"/>
        <w:spacing w:after="200" w:before="360" w:line="312"/>
      </w:pPr>
      <w:bookmarkStart w:id="100022" w:name="_Toc100022"/>
      <w:r>
        <w:rPr>
          <w:rFonts w:ascii="Calibri" w:eastAsia="Microsoft YaHei"/>
          <w:b/>
          <w:bCs/>
          <w:color w:val="064E3B"/>
          <w:sz w:val="32"/>
          <w:szCs w:val="32"/>
        </w:rPr>
        <w:t xml:space="preserve">6. Phase 3 — Manual Payments (bKash/Nagad)</w:t>
      </w:r>
      <w:bookmarkEnd w:id="100022"/>
    </w:p>
    <w:p>
      <w:pPr>
        <w:pStyle w:val="Heading2"/>
        <w:spacing w:after="140" w:before="280" w:line="312"/>
      </w:pPr>
      <w:bookmarkStart w:id="100023" w:name="_Toc100023"/>
      <w:r>
        <w:rPr>
          <w:rFonts w:ascii="Calibri" w:eastAsia="Microsoft YaHei"/>
          <w:b/>
          <w:bCs/>
          <w:color w:val="064E3B"/>
          <w:sz w:val="28"/>
          <w:szCs w:val="28"/>
        </w:rPr>
        <w:t xml:space="preserve">6.1 Rationale</w:t>
      </w:r>
      <w:bookmarkEnd w:id="100023"/>
    </w:p>
    <w:p>
      <w:pPr>
        <w:spacing w:after="120" w:before="0" w:line="312"/>
        <w:ind w:firstLine="0"/>
        <w:jc w:val="both"/>
      </w:pPr>
      <w:r>
        <w:rPr>
          <w:rFonts w:ascii="Calibri" w:eastAsia="Microsoft YaHei"/>
          <w:color w:val="1F2937"/>
          <w:sz w:val="22"/>
          <w:szCs w:val="22"/>
        </w:rPr>
        <w:t xml:space="preserve">Phase 3 implements the manual payment workflow: user selects bKash or Nagad, sends money to the super-admin's account, enters the TRX ID + amount in the app. The super-admin uploads received TRX IDs + amounts from their bKash/Nagad statement. The auto-matching engine matches user submissions to received payments by TRX ID + amount (±5 BDT tolerance). On match, the subscription is auto-extended.</w:t>
      </w:r>
    </w:p>
    <w:p>
      <w:pPr>
        <w:pStyle w:val="Heading2"/>
        <w:spacing w:after="140" w:before="280" w:line="312"/>
      </w:pPr>
      <w:bookmarkStart w:id="100024" w:name="_Toc100024"/>
      <w:r>
        <w:rPr>
          <w:rFonts w:ascii="Calibri" w:eastAsia="Microsoft YaHei"/>
          <w:b/>
          <w:bCs/>
          <w:color w:val="064E3B"/>
          <w:sz w:val="28"/>
          <w:szCs w:val="28"/>
        </w:rPr>
        <w:t xml:space="preserve">6.2 Scope</w:t>
      </w:r>
      <w:bookmarkEnd w:id="100024"/>
    </w:p>
    <w:p>
      <w:pPr>
        <w:pBdr>
          <w:left w:val="single" w:color="10B981" w:sz="24" w:space="12"/>
        </w:pBdr>
        <w:spacing w:after="80" w:before="160" w:line="312"/>
        <w:ind w:left="240"/>
      </w:pPr>
      <w:r>
        <w:rPr>
          <w:rFonts w:ascii="Calibri"/>
          <w:b/>
          <w:bCs/>
          <w:color w:val="10B981"/>
          <w:spacing w:val="30"/>
          <w:sz w:val="16"/>
          <w:szCs w:val="16"/>
        </w:rPr>
        <w:t xml:space="preserve">FEATURE 3.1</w:t>
      </w:r>
      <w:r>
        <w:rPr>
          <w:color w:val="6B7280"/>
          <w:sz w:val="18"/>
          <w:szCs w:val="18"/>
        </w:rPr>
        <w:t xml:space="preserve">  —  </w:t>
      </w:r>
      <w:r>
        <w:rPr>
          <w:rFonts w:ascii="Calibri"/>
          <w:b/>
          <w:bCs/>
          <w:color w:val="064E3B"/>
          <w:sz w:val="22"/>
          <w:szCs w:val="22"/>
        </w:rPr>
        <w:t xml:space="preserve">User payment submission</w:t>
      </w:r>
    </w:p>
    <w:p>
      <w:pPr>
        <w:spacing w:after="120" w:before="0" w:line="312"/>
        <w:ind w:firstLine="0"/>
        <w:jc w:val="both"/>
      </w:pPr>
      <w:r>
        <w:rPr>
          <w:rFonts w:ascii="Calibri" w:eastAsia="Microsoft YaHei"/>
          <w:color w:val="1F2937"/>
          <w:sz w:val="22"/>
          <w:szCs w:val="22"/>
        </w:rPr>
        <w:t xml:space="preserve">New page in the pharmacy UI: 'Pay Subscription'. Shows the current invoice (amount due, due date), a method selector (bKash / Nagad — only methods enabled by super-admin), the super-admin's bKash/Nagad account number (configurable from admin panel), and a form: TRX ID (10 chars) + amount + optional note. On submit, creates a PaymentTransaction with status='pending'. Shows pending submissions + payment history.</w:t>
      </w:r>
    </w:p>
    <w:p>
      <w:pPr>
        <w:pBdr>
          <w:left w:val="single" w:color="10B981" w:sz="24" w:space="12"/>
        </w:pBdr>
        <w:spacing w:after="80" w:before="160" w:line="312"/>
        <w:ind w:left="240"/>
      </w:pPr>
      <w:r>
        <w:rPr>
          <w:rFonts w:ascii="Calibri"/>
          <w:b/>
          <w:bCs/>
          <w:color w:val="10B981"/>
          <w:spacing w:val="30"/>
          <w:sz w:val="16"/>
          <w:szCs w:val="16"/>
        </w:rPr>
        <w:t xml:space="preserve">FEATURE 3.2</w:t>
      </w:r>
      <w:r>
        <w:rPr>
          <w:color w:val="6B7280"/>
          <w:sz w:val="18"/>
          <w:szCs w:val="18"/>
        </w:rPr>
        <w:t xml:space="preserve">  —  </w:t>
      </w:r>
      <w:r>
        <w:rPr>
          <w:rFonts w:ascii="Calibri"/>
          <w:b/>
          <w:bCs/>
          <w:color w:val="064E3B"/>
          <w:sz w:val="22"/>
          <w:szCs w:val="22"/>
        </w:rPr>
        <w:t xml:space="preserve">Super-admin received-payments panel</w:t>
      </w:r>
    </w:p>
    <w:p>
      <w:pPr>
        <w:spacing w:after="120" w:before="0" w:line="312"/>
        <w:ind w:firstLine="0"/>
        <w:jc w:val="both"/>
      </w:pPr>
      <w:r>
        <w:rPr>
          <w:rFonts w:ascii="Calibri" w:eastAsia="Microsoft YaHei"/>
          <w:color w:val="1F2937"/>
          <w:sz w:val="22"/>
          <w:szCs w:val="22"/>
        </w:rPr>
        <w:t xml:space="preserve">New section in /admin: 'Received Payments'. The super-admin enters TRX IDs + amounts they received in bKash/Nagad (can bulk-paste from their statement). Each entry creates a ReceivedPayment row. The panel shows: all received payments, which are matched (matchedTransactionId set) vs unmatched, and a list of pending user submissions awaiting match.</w:t>
      </w:r>
    </w:p>
    <w:p>
      <w:pPr>
        <w:pBdr>
          <w:left w:val="single" w:color="8B5CF6" w:sz="24" w:space="12"/>
        </w:pBdr>
        <w:spacing w:after="80" w:before="160" w:line="312"/>
        <w:ind w:left="240"/>
      </w:pPr>
      <w:r>
        <w:rPr>
          <w:rFonts w:ascii="Calibri"/>
          <w:b/>
          <w:bCs/>
          <w:color w:val="8B5CF6"/>
          <w:spacing w:val="30"/>
          <w:sz w:val="16"/>
          <w:szCs w:val="16"/>
        </w:rPr>
        <w:t xml:space="preserve">FEATURE 3.3</w:t>
      </w:r>
      <w:r>
        <w:rPr>
          <w:color w:val="6B7280"/>
          <w:sz w:val="18"/>
          <w:szCs w:val="18"/>
        </w:rPr>
        <w:t xml:space="preserve">  —  </w:t>
      </w:r>
      <w:r>
        <w:rPr>
          <w:rFonts w:ascii="Calibri"/>
          <w:b/>
          <w:bCs/>
          <w:color w:val="064E3B"/>
          <w:sz w:val="22"/>
          <w:szCs w:val="22"/>
        </w:rPr>
        <w:t xml:space="preserve">Auto-matching engine</w:t>
      </w:r>
    </w:p>
    <w:p>
      <w:pPr>
        <w:spacing w:after="120" w:before="0" w:line="312"/>
        <w:ind w:firstLine="0"/>
        <w:jc w:val="both"/>
      </w:pPr>
      <w:r>
        <w:rPr>
          <w:rFonts w:ascii="Calibri" w:eastAsia="Microsoft YaHei"/>
          <w:color w:val="1F2937"/>
          <w:sz w:val="22"/>
          <w:szCs w:val="22"/>
        </w:rPr>
        <w:t xml:space="preserve">When a super-admin uploads a ReceivedPayment, the system searches for a pending PaymentTransaction with the same TRX ID + amount (±5 BDT tolerance). If found: set PaymentTransaction.status='matched', set ReceivedPayment.matchedTransactionId, extend the business's subscriptionEnd by 1 month (or 1 year for annual), set subscriptionStage='active', create a SubscriptionInvoice with status='paid'. If no match: the received payment stays unmatched (super-admin can manually review pending submissions).</w:t>
      </w:r>
    </w:p>
    <w:p>
      <w:pPr>
        <w:pBdr>
          <w:left w:val="single" w:color="F59E0B" w:sz="24" w:space="12"/>
        </w:pBdr>
        <w:spacing w:after="80" w:before="160" w:line="312"/>
        <w:ind w:left="240"/>
      </w:pPr>
      <w:r>
        <w:rPr>
          <w:rFonts w:ascii="Calibri"/>
          <w:b/>
          <w:bCs/>
          <w:color w:val="F59E0B"/>
          <w:spacing w:val="30"/>
          <w:sz w:val="16"/>
          <w:szCs w:val="16"/>
        </w:rPr>
        <w:t xml:space="preserve">FEATURE 3.4</w:t>
      </w:r>
      <w:r>
        <w:rPr>
          <w:color w:val="6B7280"/>
          <w:sz w:val="18"/>
          <w:szCs w:val="18"/>
        </w:rPr>
        <w:t xml:space="preserve">  —  </w:t>
      </w:r>
      <w:r>
        <w:rPr>
          <w:rFonts w:ascii="Calibri"/>
          <w:b/>
          <w:bCs/>
          <w:color w:val="064E3B"/>
          <w:sz w:val="22"/>
          <w:szCs w:val="22"/>
        </w:rPr>
        <w:t xml:space="preserve">Manual review for unmatched submissions</w:t>
      </w:r>
    </w:p>
    <w:p>
      <w:pPr>
        <w:spacing w:after="120" w:before="0" w:line="312"/>
        <w:ind w:firstLine="0"/>
        <w:jc w:val="both"/>
      </w:pPr>
      <w:r>
        <w:rPr>
          <w:rFonts w:ascii="Calibri" w:eastAsia="Microsoft YaHei"/>
          <w:color w:val="1F2937"/>
          <w:sz w:val="22"/>
          <w:szCs w:val="22"/>
        </w:rPr>
        <w:t xml:space="preserve">If a user submits a TRX ID that doesn't match any received payment (typo, wrong amount, or super-admin hasn't uploaded yet), the submission stays 'pending'. The super-admin panel shows all pending submissions with a 'Match manually' button — the super-admin can link it to a received payment or reject it with a reason. This prevents false rejections from TRX ID typos.</w:t>
      </w:r>
    </w:p>
    <w:p>
      <w:pPr>
        <w:pStyle w:val="Heading2"/>
        <w:spacing w:after="140" w:before="280" w:line="312"/>
      </w:pPr>
      <w:bookmarkStart w:id="100025" w:name="_Toc100025"/>
      <w:r>
        <w:rPr>
          <w:rFonts w:ascii="Calibri" w:eastAsia="Microsoft YaHei"/>
          <w:b/>
          <w:bCs/>
          <w:color w:val="064E3B"/>
          <w:sz w:val="28"/>
          <w:szCs w:val="28"/>
        </w:rPr>
        <w:t xml:space="preserve">6.3 Schema changes</w:t>
      </w:r>
      <w:bookmarkEnd w:id="100025"/>
    </w:p>
    <w:p>
      <w:pPr>
        <w:spacing w:after="120" w:before="0" w:line="312"/>
        <w:ind w:firstLine="0"/>
        <w:jc w:val="both"/>
      </w:pPr>
      <w:r>
        <w:rPr>
          <w:rFonts w:ascii="Calibri" w:eastAsia="Microsoft YaHei"/>
          <w:color w:val="1F2937"/>
          <w:sz w:val="22"/>
          <w:szCs w:val="22"/>
        </w:rPr>
        <w:t xml:space="preserve">None beyond P1 (uses PaymentTransaction + ReceivedPayment + SubscriptionInvoice from P1).</w:t>
      </w:r>
    </w:p>
    <w:p>
      <w:pPr>
        <w:pStyle w:val="Heading2"/>
        <w:spacing w:after="140" w:before="280" w:line="312"/>
      </w:pPr>
      <w:bookmarkStart w:id="100026" w:name="_Toc100026"/>
      <w:r>
        <w:rPr>
          <w:rFonts w:ascii="Calibri" w:eastAsia="Microsoft YaHei"/>
          <w:b/>
          <w:bCs/>
          <w:color w:val="064E3B"/>
          <w:sz w:val="28"/>
          <w:szCs w:val="28"/>
        </w:rPr>
        <w:t xml:space="preserve">6.4 API changes</w:t>
      </w:r>
      <w:bookmarkEnd w:id="100026"/>
    </w:p>
    <w:p>
      <w:pPr>
        <w:keepNext/>
        <w:spacing w:after="100" w:before="200"/>
        <w:jc w:val="left"/>
      </w:pPr>
      <w:r>
        <w:rPr>
          <w:rFonts w:ascii="Calibri" w:eastAsia="Microsoft YaHei"/>
          <w:b/>
          <w:bCs/>
          <w:color w:val="064E3B"/>
          <w:sz w:val="21"/>
          <w:szCs w:val="21"/>
        </w:rPr>
        <w:t xml:space="preserve">Table 8: P3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4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13%"/>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4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/api/businesses/[id]/subscription/pay</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 submits bKash/Nagad TRX ID + amount</w:t>
            </w:r>
          </w:p>
        </w:tc>
      </w:tr>
      <w:tr>
        <w:trPr>
          <w:cantSplit/>
        </w:trPr>
        <w:tc>
          <w:tcPr>
            <w:tcW w:type="pct" w:w="4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/api/businesses/[id]/subscription/payments</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User's payment history</w:t>
            </w:r>
          </w:p>
        </w:tc>
      </w:tr>
      <w:tr>
        <w:trPr>
          <w:cantSplit/>
        </w:trPr>
        <w:tc>
          <w:tcPr>
            <w:tcW w:type="pct" w:w="4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/api/super-admin/received-payments</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GET/POST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Super-admin uploads received TRX IDs</w:t>
            </w:r>
          </w:p>
        </w:tc>
      </w:tr>
      <w:tr>
        <w:trPr>
          <w:cantSplit/>
        </w:trPr>
        <w:tc>
          <w:tcPr>
            <w:tcW w:type="pct" w:w="4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/api/super-admin/received-payments/[id]/match</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Manually match a received payment to a pending submission</w:t>
            </w:r>
          </w:p>
        </w:tc>
      </w:tr>
      <w:tr>
        <w:trPr>
          <w:cantSplit/>
        </w:trPr>
        <w:tc>
          <w:tcPr>
            <w:tcW w:type="pct" w:w="4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/api/super-admin/pending-payments</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pending user submissions for manual review</w:t>
            </w:r>
          </w:p>
        </w:tc>
      </w:tr>
      <w:tr>
        <w:trPr>
          <w:cantSplit/>
        </w:trPr>
        <w:tc>
          <w:tcPr>
            <w:tcW w:type="pct" w:w="4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/api/super-admin/payments/[id]/reject</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Reject a pending submission with reason</w:t>
            </w:r>
          </w:p>
        </w:tc>
      </w:tr>
    </w:tbl>
    <w:p>
      <w:pPr>
        <w:spacing w:after="160" w:before="0" w:line="240"/>
      </w:pPr>
      <w:r>
        <w:t xml:space="preserve"/>
      </w:r>
    </w:p>
    <w:p>
      <w:pPr>
        <w:pStyle w:val="Heading2"/>
        <w:spacing w:after="140" w:before="280" w:line="312"/>
      </w:pPr>
      <w:bookmarkStart w:id="100027" w:name="_Toc100027"/>
      <w:r>
        <w:rPr>
          <w:rFonts w:ascii="Calibri" w:eastAsia="Microsoft YaHei"/>
          <w:b/>
          <w:bCs/>
          <w:color w:val="064E3B"/>
          <w:sz w:val="28"/>
          <w:szCs w:val="28"/>
        </w:rPr>
        <w:t xml:space="preserve">6.5 Acceptance criteria</w:t>
      </w:r>
      <w:bookmarkEnd w:id="100027"/>
    </w:p>
    <w:p>
      <w:pPr>
        <w:spacing w:after="80" w:before="0" w:line="312"/>
        <w:ind w:left="360" w:hanging="240"/>
      </w:pPr>
      <w:r>
        <w:rPr>
          <w:b/>
          <w:bCs/>
          <w:color w:val="10B981"/>
          <w:sz w:val="22"/>
          <w:szCs w:val="22"/>
        </w:rPr>
        <w:t xml:space="preserve">☐  </w:t>
      </w:r>
      <w:r>
        <w:rPr>
          <w:rFonts w:ascii="Calibri"/>
          <w:color w:val="1F2937"/>
          <w:sz w:val="22"/>
          <w:szCs w:val="22"/>
        </w:rPr>
        <w:t xml:space="preserve">User sees current invoice (amount + due date) + bKash/Nagad account numbers on Pay Subscription page</w:t>
      </w:r>
    </w:p>
    <w:p>
      <w:pPr>
        <w:spacing w:after="80" w:before="0" w:line="312"/>
        <w:ind w:left="360" w:hanging="240"/>
      </w:pPr>
      <w:r>
        <w:rPr>
          <w:b/>
          <w:bCs/>
          <w:color w:val="10B981"/>
          <w:sz w:val="22"/>
          <w:szCs w:val="22"/>
        </w:rPr>
        <w:t xml:space="preserve">☐  </w:t>
      </w:r>
      <w:r>
        <w:rPr>
          <w:rFonts w:ascii="Calibri"/>
          <w:color w:val="1F2937"/>
          <w:sz w:val="22"/>
          <w:szCs w:val="22"/>
        </w:rPr>
        <w:t xml:space="preserve">User can submit TRX ID (10 chars) + amount + optional note — creates pending PaymentTransaction</w:t>
      </w:r>
    </w:p>
    <w:p>
      <w:pPr>
        <w:spacing w:after="80" w:before="0" w:line="312"/>
        <w:ind w:left="360" w:hanging="240"/>
      </w:pPr>
      <w:r>
        <w:rPr>
          <w:b/>
          <w:bCs/>
          <w:color w:val="10B981"/>
          <w:sz w:val="22"/>
          <w:szCs w:val="22"/>
        </w:rPr>
        <w:t xml:space="preserve">☐  </w:t>
      </w:r>
      <w:r>
        <w:rPr>
          <w:rFonts w:ascii="Calibri"/>
          <w:color w:val="1F2937"/>
          <w:sz w:val="22"/>
          <w:szCs w:val="22"/>
        </w:rPr>
        <w:t xml:space="preserve">Super-admin can upload received TRX IDs + amounts (single or bulk paste) from /admin</w:t>
      </w:r>
    </w:p>
    <w:p>
      <w:pPr>
        <w:spacing w:after="80" w:before="0" w:line="312"/>
        <w:ind w:left="360" w:hanging="240"/>
      </w:pPr>
      <w:r>
        <w:rPr>
          <w:b/>
          <w:bCs/>
          <w:color w:val="10B981"/>
          <w:sz w:val="22"/>
          <w:szCs w:val="22"/>
        </w:rPr>
        <w:t xml:space="preserve">☐  </w:t>
      </w:r>
      <w:r>
        <w:rPr>
          <w:rFonts w:ascii="Calibri"/>
          <w:color w:val="1F2937"/>
          <w:sz w:val="22"/>
          <w:szCs w:val="22"/>
        </w:rPr>
        <w:t xml:space="preserve">Auto-matching: TRX ID + amount (±5 BDT) match → status='matched' + subscription extended</w:t>
      </w:r>
    </w:p>
    <w:p>
      <w:pPr>
        <w:spacing w:after="80" w:before="0" w:line="312"/>
        <w:ind w:left="360" w:hanging="240"/>
      </w:pPr>
      <w:r>
        <w:rPr>
          <w:b/>
          <w:bCs/>
          <w:color w:val="10B981"/>
          <w:sz w:val="22"/>
          <w:szCs w:val="22"/>
        </w:rPr>
        <w:t xml:space="preserve">☐  </w:t>
      </w:r>
      <w:r>
        <w:rPr>
          <w:rFonts w:ascii="Calibri"/>
          <w:color w:val="1F2937"/>
          <w:sz w:val="22"/>
          <w:szCs w:val="22"/>
        </w:rPr>
        <w:t xml:space="preserve">On match: subscriptionEnd extended by 1 month (or 1 year for annual), stage reset to 'active'</w:t>
      </w:r>
    </w:p>
    <w:p>
      <w:pPr>
        <w:spacing w:after="80" w:before="0" w:line="312"/>
        <w:ind w:left="360" w:hanging="240"/>
      </w:pPr>
      <w:r>
        <w:rPr>
          <w:b/>
          <w:bCs/>
          <w:color w:val="10B981"/>
          <w:sz w:val="22"/>
          <w:szCs w:val="22"/>
        </w:rPr>
        <w:t xml:space="preserve">☐  </w:t>
      </w:r>
      <w:r>
        <w:rPr>
          <w:rFonts w:ascii="Calibri"/>
          <w:color w:val="1F2937"/>
          <w:sz w:val="22"/>
          <w:szCs w:val="22"/>
        </w:rPr>
        <w:t xml:space="preserve">Unmatched submissions appear in super-admin 'Pending Payments' list for manual review</w:t>
      </w:r>
    </w:p>
    <w:p>
      <w:pPr>
        <w:spacing w:after="80" w:before="0" w:line="312"/>
        <w:ind w:left="360" w:hanging="240"/>
      </w:pPr>
      <w:r>
        <w:rPr>
          <w:b/>
          <w:bCs/>
          <w:color w:val="10B981"/>
          <w:sz w:val="22"/>
          <w:szCs w:val="22"/>
        </w:rPr>
        <w:t xml:space="preserve">☐  </w:t>
      </w:r>
      <w:r>
        <w:rPr>
          <w:rFonts w:ascii="Calibri"/>
          <w:color w:val="1F2937"/>
          <w:sz w:val="22"/>
          <w:szCs w:val="22"/>
        </w:rPr>
        <w:t xml:space="preserve">Super-admin can manually match or reject pending submissions with a reason</w:t>
      </w:r>
    </w:p>
    <w:p>
      <w:pPr>
        <w:spacing w:after="80" w:before="0" w:line="312"/>
        <w:ind w:left="360" w:hanging="240"/>
      </w:pPr>
      <w:r>
        <w:rPr>
          <w:b/>
          <w:bCs/>
          <w:color w:val="10B981"/>
          <w:sz w:val="22"/>
          <w:szCs w:val="22"/>
        </w:rPr>
        <w:t xml:space="preserve">☐  </w:t>
      </w:r>
      <w:r>
        <w:rPr>
          <w:rFonts w:ascii="Calibri"/>
          <w:color w:val="1F2937"/>
          <w:sz w:val="22"/>
          <w:szCs w:val="22"/>
        </w:rPr>
        <w:t xml:space="preserve">User sees payment history (pending + matched + rejected) on the Pay Subscription page</w:t>
      </w:r>
    </w:p>
    <w:p>
      <w:pPr>
        <w:spacing w:after="80" w:before="0" w:line="312"/>
        <w:ind w:left="360" w:hanging="240"/>
      </w:pPr>
      <w:r>
        <w:rPr>
          <w:b/>
          <w:bCs/>
          <w:color w:val="10B981"/>
          <w:sz w:val="22"/>
          <w:szCs w:val="22"/>
        </w:rPr>
        <w:t xml:space="preserve">☐  </w:t>
      </w:r>
      <w:r>
        <w:rPr>
          <w:rFonts w:ascii="Calibri"/>
          <w:color w:val="1F2937"/>
          <w:sz w:val="22"/>
          <w:szCs w:val="22"/>
        </w:rPr>
        <w:t xml:space="preserve">TRX ID tolerance: exact match first, then ±5 BDT amount tolerance, then manual review</w:t>
      </w:r>
    </w:p>
    <w:p>
      <w:r>
        <w:br w:type="page"/>
      </w:r>
    </w:p>
    <w:p>
      <w:pPr>
        <w:pStyle w:val="Heading1"/>
        <w:spacing w:after="200" w:before="360" w:line="312"/>
      </w:pPr>
      <w:bookmarkStart w:id="100028" w:name="_Toc100028"/>
      <w:r>
        <w:rPr>
          <w:rFonts w:ascii="Calibri" w:eastAsia="Microsoft YaHei"/>
          <w:b/>
          <w:bCs/>
          <w:color w:val="064E3B"/>
          <w:sz w:val="32"/>
          <w:szCs w:val="32"/>
        </w:rPr>
        <w:t xml:space="preserve">7. Phase 4 — Super-Admin Monitoring Dashboard</w:t>
      </w:r>
      <w:bookmarkEnd w:id="100028"/>
    </w:p>
    <w:p>
      <w:pPr>
        <w:pStyle w:val="Heading2"/>
        <w:spacing w:after="140" w:before="280" w:line="312"/>
      </w:pPr>
      <w:bookmarkStart w:id="100029" w:name="_Toc100029"/>
      <w:r>
        <w:rPr>
          <w:rFonts w:ascii="Calibri" w:eastAsia="Microsoft YaHei"/>
          <w:b/>
          <w:bCs/>
          <w:color w:val="064E3B"/>
          <w:sz w:val="28"/>
          <w:szCs w:val="28"/>
        </w:rPr>
        <w:t xml:space="preserve">7.1 Rationale</w:t>
      </w:r>
      <w:bookmarkEnd w:id="100029"/>
    </w:p>
    <w:p>
      <w:pPr>
        <w:spacing w:after="120" w:before="0" w:line="312"/>
        <w:ind w:firstLine="0"/>
        <w:jc w:val="both"/>
      </w:pPr>
      <w:r>
        <w:rPr>
          <w:rFonts w:ascii="Calibri" w:eastAsia="Microsoft YaHei"/>
          <w:color w:val="1F2937"/>
          <w:sz w:val="22"/>
          <w:szCs w:val="22"/>
        </w:rPr>
        <w:t xml:space="preserve">Phase 4 gives the founder a single dashboard to monitor every client's subscription stage, expected revenue, and received revenue. The founder can see at a glance: how many businesses are active, expiring, read-only, or data-wiped; how much money is expected this month; how much has been received; how much is outstanding. Per-client detail shows the full subscription timeline + payment history.</w:t>
      </w:r>
    </w:p>
    <w:p>
      <w:pPr>
        <w:pStyle w:val="Heading2"/>
        <w:spacing w:after="140" w:before="280" w:line="312"/>
      </w:pPr>
      <w:bookmarkStart w:id="100030" w:name="_Toc100030"/>
      <w:r>
        <w:rPr>
          <w:rFonts w:ascii="Calibri" w:eastAsia="Microsoft YaHei"/>
          <w:b/>
          <w:bCs/>
          <w:color w:val="064E3B"/>
          <w:sz w:val="28"/>
          <w:szCs w:val="28"/>
        </w:rPr>
        <w:t xml:space="preserve">7.2 Scope</w:t>
      </w:r>
      <w:bookmarkEnd w:id="100030"/>
    </w:p>
    <w:p>
      <w:pPr>
        <w:pBdr>
          <w:left w:val="single" w:color="10B981" w:sz="24" w:space="12"/>
        </w:pBdr>
        <w:spacing w:after="80" w:before="160" w:line="312"/>
        <w:ind w:left="240"/>
      </w:pPr>
      <w:r>
        <w:rPr>
          <w:rFonts w:ascii="Calibri"/>
          <w:b/>
          <w:bCs/>
          <w:color w:val="10B981"/>
          <w:spacing w:val="30"/>
          <w:sz w:val="16"/>
          <w:szCs w:val="16"/>
        </w:rPr>
        <w:t xml:space="preserve">FEATURE 4.1</w:t>
      </w:r>
      <w:r>
        <w:rPr>
          <w:color w:val="6B7280"/>
          <w:sz w:val="18"/>
          <w:szCs w:val="18"/>
        </w:rPr>
        <w:t xml:space="preserve">  —  </w:t>
      </w:r>
      <w:r>
        <w:rPr>
          <w:rFonts w:ascii="Calibri"/>
          <w:b/>
          <w:bCs/>
          <w:color w:val="064E3B"/>
          <w:sz w:val="22"/>
          <w:szCs w:val="22"/>
        </w:rPr>
        <w:t xml:space="preserve">Client list with subscription stage badges</w:t>
      </w:r>
    </w:p>
    <w:p>
      <w:pPr>
        <w:spacing w:after="120" w:before="0" w:line="312"/>
        <w:ind w:firstLine="0"/>
        <w:jc w:val="both"/>
      </w:pPr>
      <w:r>
        <w:rPr>
          <w:rFonts w:ascii="Calibri" w:eastAsia="Microsoft YaHei"/>
          <w:color w:val="1F2937"/>
          <w:sz w:val="22"/>
          <w:szCs w:val="22"/>
        </w:rPr>
        <w:t xml:space="preserve">New page at /admin/clients: searchable, filterable table of all businesses. Columns: business name, owner phone, tier, stage (color-coded badge: green=active, amber=expiring_soon, red=read_only, gray=data_wiped), subscriptionEnd, monthly amount, last payment date, status (paid/pending/overdue). Filter by stage, tier, or payment status. Search by name or phone.</w:t>
      </w:r>
    </w:p>
    <w:p>
      <w:pPr>
        <w:pBdr>
          <w:left w:val="single" w:color="10B981" w:sz="24" w:space="12"/>
        </w:pBdr>
        <w:spacing w:after="80" w:before="160" w:line="312"/>
        <w:ind w:left="240"/>
      </w:pPr>
      <w:r>
        <w:rPr>
          <w:rFonts w:ascii="Calibri"/>
          <w:b/>
          <w:bCs/>
          <w:color w:val="10B981"/>
          <w:spacing w:val="30"/>
          <w:sz w:val="16"/>
          <w:szCs w:val="16"/>
        </w:rPr>
        <w:t xml:space="preserve">FEATURE 4.2</w:t>
      </w:r>
      <w:r>
        <w:rPr>
          <w:color w:val="6B7280"/>
          <w:sz w:val="18"/>
          <w:szCs w:val="18"/>
        </w:rPr>
        <w:t xml:space="preserve">  —  </w:t>
      </w:r>
      <w:r>
        <w:rPr>
          <w:rFonts w:ascii="Calibri"/>
          <w:b/>
          <w:bCs/>
          <w:color w:val="064E3B"/>
          <w:sz w:val="22"/>
          <w:szCs w:val="22"/>
        </w:rPr>
        <w:t xml:space="preserve">Revenue summary cards</w:t>
      </w:r>
    </w:p>
    <w:p>
      <w:pPr>
        <w:spacing w:after="120" w:before="0" w:line="312"/>
        <w:ind w:firstLine="0"/>
        <w:jc w:val="both"/>
      </w:pPr>
      <w:r>
        <w:rPr>
          <w:rFonts w:ascii="Calibri" w:eastAsia="Microsoft YaHei"/>
          <w:color w:val="1F2937"/>
          <w:sz w:val="22"/>
          <w:szCs w:val="22"/>
        </w:rPr>
        <w:t xml:space="preserve">Top of /admin/clients: 4 summary cards. (1) Monthly Expected: sum of all active businesses' tier prices. (2) Monthly Received: sum of matched PaymentTransactions this month. (3) Outstanding: expected minus received. (4) Churn Risk: count of businesses in expiring_soon + read_only stages (potential revenue loss). Below the cards: a simple bar chart of received vs expected over the last 6 months.</w:t>
      </w:r>
    </w:p>
    <w:p>
      <w:pPr>
        <w:pBdr>
          <w:left w:val="single" w:color="10B981" w:sz="24" w:space="12"/>
        </w:pBdr>
        <w:spacing w:after="80" w:before="160" w:line="312"/>
        <w:ind w:left="240"/>
      </w:pPr>
      <w:r>
        <w:rPr>
          <w:rFonts w:ascii="Calibri"/>
          <w:b/>
          <w:bCs/>
          <w:color w:val="10B981"/>
          <w:spacing w:val="30"/>
          <w:sz w:val="16"/>
          <w:szCs w:val="16"/>
        </w:rPr>
        <w:t xml:space="preserve">FEATURE 4.3</w:t>
      </w:r>
      <w:r>
        <w:rPr>
          <w:color w:val="6B7280"/>
          <w:sz w:val="18"/>
          <w:szCs w:val="18"/>
        </w:rPr>
        <w:t xml:space="preserve">  —  </w:t>
      </w:r>
      <w:r>
        <w:rPr>
          <w:rFonts w:ascii="Calibri"/>
          <w:b/>
          <w:bCs/>
          <w:color w:val="064E3B"/>
          <w:sz w:val="22"/>
          <w:szCs w:val="22"/>
        </w:rPr>
        <w:t xml:space="preserve">Client detail view</w:t>
      </w:r>
    </w:p>
    <w:p>
      <w:pPr>
        <w:spacing w:after="120" w:before="0" w:line="312"/>
        <w:ind w:firstLine="0"/>
        <w:jc w:val="both"/>
      </w:pPr>
      <w:r>
        <w:rPr>
          <w:rFonts w:ascii="Calibri" w:eastAsia="Microsoft YaHei"/>
          <w:color w:val="1F2937"/>
          <w:sz w:val="22"/>
          <w:szCs w:val="22"/>
        </w:rPr>
        <w:t xml:space="preserve">Clicking a client opens a detail page: business info, subscription timeline (visual timeline of stage transitions), payment history (all PaymentTransactions + ReceivedPayments), expected vs received for this client, quick actions (extend subscription manually, change tier, override stage, send payment reminder).</w:t>
      </w:r>
    </w:p>
    <w:p>
      <w:pPr>
        <w:pBdr>
          <w:left w:val="single" w:color="10B981" w:sz="24" w:space="12"/>
        </w:pBdr>
        <w:spacing w:after="80" w:before="160" w:line="312"/>
        <w:ind w:left="240"/>
      </w:pPr>
      <w:r>
        <w:rPr>
          <w:rFonts w:ascii="Calibri"/>
          <w:b/>
          <w:bCs/>
          <w:color w:val="10B981"/>
          <w:spacing w:val="30"/>
          <w:sz w:val="16"/>
          <w:szCs w:val="16"/>
        </w:rPr>
        <w:t xml:space="preserve">FEATURE 4.4</w:t>
      </w:r>
      <w:r>
        <w:rPr>
          <w:color w:val="6B7280"/>
          <w:sz w:val="18"/>
          <w:szCs w:val="18"/>
        </w:rPr>
        <w:t xml:space="preserve">  —  </w:t>
      </w:r>
      <w:r>
        <w:rPr>
          <w:rFonts w:ascii="Calibri"/>
          <w:b/>
          <w:bCs/>
          <w:color w:val="064E3B"/>
          <w:sz w:val="22"/>
          <w:szCs w:val="22"/>
        </w:rPr>
        <w:t xml:space="preserve">Package price management</w:t>
      </w:r>
    </w:p>
    <w:p>
      <w:pPr>
        <w:spacing w:after="120" w:before="0" w:line="312"/>
        <w:ind w:firstLine="0"/>
        <w:jc w:val="both"/>
      </w:pPr>
      <w:r>
        <w:rPr>
          <w:rFonts w:ascii="Calibri" w:eastAsia="Microsoft YaHei"/>
          <w:color w:val="1F2937"/>
          <w:sz w:val="22"/>
          <w:szCs w:val="22"/>
        </w:rPr>
        <w:t xml:space="preserve">New section in /admin: 'Packages'. The founder can edit tier prices (monthly + annual), toggle which payment methods are active (bKash/Nagad/SSL Commerz — P5 adds SSL), and set the bKash/Nagad account numbers that users see on the Pay Subscription page. Changes take effect immediately for new invoices.</w:t>
      </w:r>
    </w:p>
    <w:p>
      <w:pPr>
        <w:pStyle w:val="Heading2"/>
        <w:spacing w:after="140" w:before="280" w:line="312"/>
      </w:pPr>
      <w:bookmarkStart w:id="100031" w:name="_Toc100031"/>
      <w:r>
        <w:rPr>
          <w:rFonts w:ascii="Calibri" w:eastAsia="Microsoft YaHei"/>
          <w:b/>
          <w:bCs/>
          <w:color w:val="064E3B"/>
          <w:sz w:val="28"/>
          <w:szCs w:val="28"/>
        </w:rPr>
        <w:t xml:space="preserve">7.3 Schema changes</w:t>
      </w:r>
      <w:bookmarkEnd w:id="100031"/>
    </w:p>
    <w:p>
      <w:pPr>
        <w:spacing w:after="120" w:before="0" w:line="312"/>
        <w:ind w:firstLine="0"/>
        <w:jc w:val="both"/>
      </w:pPr>
      <w:r>
        <w:rPr>
          <w:rFonts w:ascii="Calibri" w:eastAsia="Microsoft YaHei"/>
          <w:color w:val="1F2937"/>
          <w:sz w:val="22"/>
          <w:szCs w:val="22"/>
        </w:rPr>
        <w:t xml:space="preserve">None beyond P1. Uses existing models + the new billing models.</w:t>
      </w:r>
    </w:p>
    <w:p>
      <w:pPr>
        <w:pStyle w:val="Heading2"/>
        <w:spacing w:after="140" w:before="280" w:line="312"/>
      </w:pPr>
      <w:bookmarkStart w:id="100032" w:name="_Toc100032"/>
      <w:r>
        <w:rPr>
          <w:rFonts w:ascii="Calibri" w:eastAsia="Microsoft YaHei"/>
          <w:b/>
          <w:bCs/>
          <w:color w:val="064E3B"/>
          <w:sz w:val="28"/>
          <w:szCs w:val="28"/>
        </w:rPr>
        <w:t xml:space="preserve">7.4 API changes</w:t>
      </w:r>
      <w:bookmarkEnd w:id="100032"/>
    </w:p>
    <w:p>
      <w:pPr>
        <w:keepNext/>
        <w:spacing w:after="100" w:before="200"/>
        <w:jc w:val="left"/>
      </w:pPr>
      <w:r>
        <w:rPr>
          <w:rFonts w:ascii="Calibri" w:eastAsia="Microsoft YaHei"/>
          <w:b/>
          <w:bCs/>
          <w:color w:val="064E3B"/>
          <w:sz w:val="21"/>
          <w:szCs w:val="21"/>
        </w:rPr>
        <w:t xml:space="preserve">Table 9: P4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14%"/>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4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/api/super-admin/clients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List all businesses with subscription stage + revenue</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/api/super-admin/clients/[id]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Client detail: timeline + payments + expected/received</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/api/super-admin/clients/[id]/extend</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Manually extend subscription (admin override)</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/api/super-admin/revenue-summary</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Monthly expected, received, outstanding, churn risk</w:t>
            </w:r>
          </w:p>
        </w:tc>
      </w:tr>
      <w:tr>
        <w:trPr>
          <w:cantSplit/>
        </w:trPr>
        <w:tc>
          <w:tcPr>
            <w:tcW w:type="pct" w:w="3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/api/super-admin/packages</w:t>
            </w:r>
          </w:p>
        </w:tc>
        <w:tc>
          <w:tcPr>
            <w:tcW w:type="pct" w:w="14%"/>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GET/PUT</w:t>
            </w:r>
          </w:p>
        </w:tc>
        <w:tc>
          <w:tcPr>
            <w:tcW w:type="pct" w:w="48%"/>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Edit tier prices + payment method toggles + account numbers</w:t>
            </w:r>
          </w:p>
        </w:tc>
      </w:tr>
    </w:tbl>
    <w:p>
      <w:pPr>
        <w:spacing w:after="160" w:before="0" w:line="240"/>
      </w:pPr>
      <w:r>
        <w:t xml:space="preserve"/>
      </w:r>
    </w:p>
    <w:p>
      <w:pPr>
        <w:pStyle w:val="Heading2"/>
        <w:spacing w:after="140" w:before="280" w:line="312"/>
      </w:pPr>
      <w:bookmarkStart w:id="100033" w:name="_Toc100033"/>
      <w:r>
        <w:rPr>
          <w:rFonts w:ascii="Calibri" w:eastAsia="Microsoft YaHei"/>
          <w:b/>
          <w:bCs/>
          <w:color w:val="064E3B"/>
          <w:sz w:val="28"/>
          <w:szCs w:val="28"/>
        </w:rPr>
        <w:t xml:space="preserve">7.5 Acceptance criteria</w:t>
      </w:r>
      <w:bookmarkEnd w:id="100033"/>
    </w:p>
    <w:p>
      <w:pPr>
        <w:spacing w:after="80" w:before="0" w:line="312"/>
        <w:ind w:left="360" w:hanging="240"/>
      </w:pPr>
      <w:r>
        <w:rPr>
          <w:b/>
          <w:bCs/>
          <w:color w:val="10B981"/>
          <w:sz w:val="22"/>
          <w:szCs w:val="22"/>
        </w:rPr>
        <w:t xml:space="preserve">☐  </w:t>
      </w:r>
      <w:r>
        <w:rPr>
          <w:rFonts w:ascii="Calibri"/>
          <w:color w:val="1F2937"/>
          <w:sz w:val="22"/>
          <w:szCs w:val="22"/>
        </w:rPr>
        <w:t xml:space="preserve">/admin/clients shows all businesses with color-coded stage badges</w:t>
      </w:r>
    </w:p>
    <w:p>
      <w:pPr>
        <w:spacing w:after="80" w:before="0" w:line="312"/>
        <w:ind w:left="360" w:hanging="240"/>
      </w:pPr>
      <w:r>
        <w:rPr>
          <w:b/>
          <w:bCs/>
          <w:color w:val="10B981"/>
          <w:sz w:val="22"/>
          <w:szCs w:val="22"/>
        </w:rPr>
        <w:t xml:space="preserve">☐  </w:t>
      </w:r>
      <w:r>
        <w:rPr>
          <w:rFonts w:ascii="Calibri"/>
          <w:color w:val="1F2937"/>
          <w:sz w:val="22"/>
          <w:szCs w:val="22"/>
        </w:rPr>
        <w:t xml:space="preserve">Filter by stage (active/expiring_soon/read_only/data_wiped) + tier + payment status</w:t>
      </w:r>
    </w:p>
    <w:p>
      <w:pPr>
        <w:spacing w:after="80" w:before="0" w:line="312"/>
        <w:ind w:left="360" w:hanging="240"/>
      </w:pPr>
      <w:r>
        <w:rPr>
          <w:b/>
          <w:bCs/>
          <w:color w:val="10B981"/>
          <w:sz w:val="22"/>
          <w:szCs w:val="22"/>
        </w:rPr>
        <w:t xml:space="preserve">☐  </w:t>
      </w:r>
      <w:r>
        <w:rPr>
          <w:rFonts w:ascii="Calibri"/>
          <w:color w:val="1F2937"/>
          <w:sz w:val="22"/>
          <w:szCs w:val="22"/>
        </w:rPr>
        <w:t xml:space="preserve">Search by business name or owner phone</w:t>
      </w:r>
    </w:p>
    <w:p>
      <w:pPr>
        <w:spacing w:after="80" w:before="0" w:line="312"/>
        <w:ind w:left="360" w:hanging="240"/>
      </w:pPr>
      <w:r>
        <w:rPr>
          <w:b/>
          <w:bCs/>
          <w:color w:val="10B981"/>
          <w:sz w:val="22"/>
          <w:szCs w:val="22"/>
        </w:rPr>
        <w:t xml:space="preserve">☐  </w:t>
      </w:r>
      <w:r>
        <w:rPr>
          <w:rFonts w:ascii="Calibri"/>
          <w:color w:val="1F2937"/>
          <w:sz w:val="22"/>
          <w:szCs w:val="22"/>
        </w:rPr>
        <w:t xml:space="preserve">4 revenue summary cards: Monthly Expected, Monthly Received, Outstanding, Churn Risk</w:t>
      </w:r>
    </w:p>
    <w:p>
      <w:pPr>
        <w:spacing w:after="80" w:before="0" w:line="312"/>
        <w:ind w:left="360" w:hanging="240"/>
      </w:pPr>
      <w:r>
        <w:rPr>
          <w:b/>
          <w:bCs/>
          <w:color w:val="10B981"/>
          <w:sz w:val="22"/>
          <w:szCs w:val="22"/>
        </w:rPr>
        <w:t xml:space="preserve">☐  </w:t>
      </w:r>
      <w:r>
        <w:rPr>
          <w:rFonts w:ascii="Calibri"/>
          <w:color w:val="1F2937"/>
          <w:sz w:val="22"/>
          <w:szCs w:val="22"/>
        </w:rPr>
        <w:t xml:space="preserve">6-month received vs expected bar chart</w:t>
      </w:r>
    </w:p>
    <w:p>
      <w:pPr>
        <w:spacing w:after="80" w:before="0" w:line="312"/>
        <w:ind w:left="360" w:hanging="240"/>
      </w:pPr>
      <w:r>
        <w:rPr>
          <w:b/>
          <w:bCs/>
          <w:color w:val="10B981"/>
          <w:sz w:val="22"/>
          <w:szCs w:val="22"/>
        </w:rPr>
        <w:t xml:space="preserve">☐  </w:t>
      </w:r>
      <w:r>
        <w:rPr>
          <w:rFonts w:ascii="Calibri"/>
          <w:color w:val="1F2937"/>
          <w:sz w:val="22"/>
          <w:szCs w:val="22"/>
        </w:rPr>
        <w:t xml:space="preserve">Client detail page shows subscription timeline + payment history</w:t>
      </w:r>
    </w:p>
    <w:p>
      <w:pPr>
        <w:spacing w:after="80" w:before="0" w:line="312"/>
        <w:ind w:left="360" w:hanging="240"/>
      </w:pPr>
      <w:r>
        <w:rPr>
          <w:b/>
          <w:bCs/>
          <w:color w:val="10B981"/>
          <w:sz w:val="22"/>
          <w:szCs w:val="22"/>
        </w:rPr>
        <w:t xml:space="preserve">☐  </w:t>
      </w:r>
      <w:r>
        <w:rPr>
          <w:rFonts w:ascii="Calibri"/>
          <w:color w:val="1F2937"/>
          <w:sz w:val="22"/>
          <w:szCs w:val="22"/>
        </w:rPr>
        <w:t xml:space="preserve">Founder can manually extend a subscription from the client detail page</w:t>
      </w:r>
    </w:p>
    <w:p>
      <w:pPr>
        <w:spacing w:after="80" w:before="0" w:line="312"/>
        <w:ind w:left="360" w:hanging="240"/>
      </w:pPr>
      <w:r>
        <w:rPr>
          <w:b/>
          <w:bCs/>
          <w:color w:val="10B981"/>
          <w:sz w:val="22"/>
          <w:szCs w:val="22"/>
        </w:rPr>
        <w:t xml:space="preserve">☐  </w:t>
      </w:r>
      <w:r>
        <w:rPr>
          <w:rFonts w:ascii="Calibri"/>
          <w:color w:val="1F2937"/>
          <w:sz w:val="22"/>
          <w:szCs w:val="22"/>
        </w:rPr>
        <w:t xml:space="preserve">Founder can edit tier prices (monthly + annual) from /admin/packages</w:t>
      </w:r>
    </w:p>
    <w:p>
      <w:pPr>
        <w:spacing w:after="80" w:before="0" w:line="312"/>
        <w:ind w:left="360" w:hanging="240"/>
      </w:pPr>
      <w:r>
        <w:rPr>
          <w:b/>
          <w:bCs/>
          <w:color w:val="10B981"/>
          <w:sz w:val="22"/>
          <w:szCs w:val="22"/>
        </w:rPr>
        <w:t xml:space="preserve">☐  </w:t>
      </w:r>
      <w:r>
        <w:rPr>
          <w:rFonts w:ascii="Calibri"/>
          <w:color w:val="1F2937"/>
          <w:sz w:val="22"/>
          <w:szCs w:val="22"/>
        </w:rPr>
        <w:t xml:space="preserve">Founder can toggle active payment methods (bKash/Nagad) + set account numbers</w:t>
      </w:r>
    </w:p>
    <w:p>
      <w:pPr>
        <w:spacing w:after="80" w:before="0" w:line="312"/>
        <w:ind w:left="360" w:hanging="240"/>
      </w:pPr>
      <w:r>
        <w:rPr>
          <w:b/>
          <w:bCs/>
          <w:color w:val="10B981"/>
          <w:sz w:val="22"/>
          <w:szCs w:val="22"/>
        </w:rPr>
        <w:t xml:space="preserve">☐  </w:t>
      </w:r>
      <w:r>
        <w:rPr>
          <w:rFonts w:ascii="Calibri"/>
          <w:color w:val="1F2937"/>
          <w:sz w:val="22"/>
          <w:szCs w:val="22"/>
        </w:rPr>
        <w:t xml:space="preserve">Changes to package prices apply to new invoices immediately</w:t>
      </w:r>
    </w:p>
    <w:p>
      <w:r>
        <w:br w:type="page"/>
      </w:r>
    </w:p>
    <w:p>
      <w:pPr>
        <w:pStyle w:val="Heading1"/>
        <w:spacing w:after="200" w:before="360" w:line="312"/>
      </w:pPr>
      <w:bookmarkStart w:id="100034" w:name="_Toc100034"/>
      <w:r>
        <w:rPr>
          <w:rFonts w:ascii="Calibri" w:eastAsia="Microsoft YaHei"/>
          <w:b/>
          <w:bCs/>
          <w:color w:val="064E3B"/>
          <w:sz w:val="32"/>
          <w:szCs w:val="32"/>
        </w:rPr>
        <w:t xml:space="preserve">8. Phase 5 — SSL Commerz + Payment Method Toggle + Annual Billing</w:t>
      </w:r>
      <w:bookmarkEnd w:id="100034"/>
    </w:p>
    <w:p>
      <w:pPr>
        <w:pStyle w:val="Heading2"/>
        <w:spacing w:after="140" w:before="280" w:line="312"/>
      </w:pPr>
      <w:bookmarkStart w:id="100035" w:name="_Toc100035"/>
      <w:r>
        <w:rPr>
          <w:rFonts w:ascii="Calibri" w:eastAsia="Microsoft YaHei"/>
          <w:b/>
          <w:bCs/>
          <w:color w:val="064E3B"/>
          <w:sz w:val="28"/>
          <w:szCs w:val="28"/>
        </w:rPr>
        <w:t xml:space="preserve">8.1 Rationale</w:t>
      </w:r>
      <w:bookmarkEnd w:id="100035"/>
    </w:p>
    <w:p>
      <w:pPr>
        <w:spacing w:after="120" w:before="0" w:line="312"/>
        <w:ind w:firstLine="0"/>
        <w:jc w:val="both"/>
      </w:pPr>
      <w:r>
        <w:rPr>
          <w:rFonts w:ascii="Calibri" w:eastAsia="Microsoft YaHei"/>
          <w:color w:val="1F2937"/>
          <w:sz w:val="22"/>
          <w:szCs w:val="22"/>
        </w:rPr>
        <w:t xml:space="preserve">Phase 5 adds SSL Commerz (card payments) alongside the manual bKash/Nagad system. The super-admin chooses which payment methods are active from the panel. SSL Commerz payments are instant (no TRX ID matching needed) — the gateway callback auto-extends the subscription on success. Annual billing (pay 10, get 12) is also added as a billing-period option.</w:t>
      </w:r>
    </w:p>
    <w:p>
      <w:pPr>
        <w:pStyle w:val="Heading2"/>
        <w:spacing w:after="140" w:before="280" w:line="312"/>
      </w:pPr>
      <w:bookmarkStart w:id="100036" w:name="_Toc100036"/>
      <w:r>
        <w:rPr>
          <w:rFonts w:ascii="Calibri" w:eastAsia="Microsoft YaHei"/>
          <w:b/>
          <w:bCs/>
          <w:color w:val="064E3B"/>
          <w:sz w:val="28"/>
          <w:szCs w:val="28"/>
        </w:rPr>
        <w:t xml:space="preserve">8.2 Scope</w:t>
      </w:r>
      <w:bookmarkEnd w:id="100036"/>
    </w:p>
    <w:p>
      <w:pPr>
        <w:pBdr>
          <w:left w:val="single" w:color="10B981" w:sz="24" w:space="12"/>
        </w:pBdr>
        <w:spacing w:after="80" w:before="160" w:line="312"/>
        <w:ind w:left="240"/>
      </w:pPr>
      <w:r>
        <w:rPr>
          <w:rFonts w:ascii="Calibri"/>
          <w:b/>
          <w:bCs/>
          <w:color w:val="10B981"/>
          <w:spacing w:val="30"/>
          <w:sz w:val="16"/>
          <w:szCs w:val="16"/>
        </w:rPr>
        <w:t xml:space="preserve">FEATURE 5.1</w:t>
      </w:r>
      <w:r>
        <w:rPr>
          <w:color w:val="6B7280"/>
          <w:sz w:val="18"/>
          <w:szCs w:val="18"/>
        </w:rPr>
        <w:t xml:space="preserve">  —  </w:t>
      </w:r>
      <w:r>
        <w:rPr>
          <w:rFonts w:ascii="Calibri"/>
          <w:b/>
          <w:bCs/>
          <w:color w:val="064E3B"/>
          <w:sz w:val="22"/>
          <w:szCs w:val="22"/>
        </w:rPr>
        <w:t xml:space="preserve">SSL Commerz gateway integration</w:t>
      </w:r>
    </w:p>
    <w:p>
      <w:pPr>
        <w:spacing w:after="120" w:before="0" w:line="312"/>
        <w:ind w:firstLine="0"/>
        <w:jc w:val="both"/>
      </w:pPr>
      <w:r>
        <w:rPr>
          <w:rFonts w:ascii="Calibri" w:eastAsia="Microsoft YaHei"/>
          <w:color w:val="1F2937"/>
          <w:sz w:val="22"/>
          <w:szCs w:val="22"/>
        </w:rPr>
        <w:t xml:space="preserve">Integrate the SSL Commerz sandbox (test) + production API. New endpoint POST /api/businesses/[id]/subscription/pay/ssl initiates a payment session: calls SSL Commerz EasyCheckout with the invoice amount + business info, returns the gateway URL. SSL Commerz sends callbacks to POST /api/payment/ssl/success + POST /api/payment/ssl/fail + POST /api/payment/ssl/cancel. On success callback: verify the transaction with SSL Commerz's validation API, then auto-extend the subscription (same as a matched manual payment).</w:t>
      </w:r>
    </w:p>
    <w:p>
      <w:pPr>
        <w:pBdr>
          <w:left w:val="single" w:color="10B981" w:sz="24" w:space="12"/>
        </w:pBdr>
        <w:spacing w:after="80" w:before="160" w:line="312"/>
        <w:ind w:left="240"/>
      </w:pPr>
      <w:r>
        <w:rPr>
          <w:rFonts w:ascii="Calibri"/>
          <w:b/>
          <w:bCs/>
          <w:color w:val="10B981"/>
          <w:spacing w:val="30"/>
          <w:sz w:val="16"/>
          <w:szCs w:val="16"/>
        </w:rPr>
        <w:t xml:space="preserve">FEATURE 5.2</w:t>
      </w:r>
      <w:r>
        <w:rPr>
          <w:color w:val="6B7280"/>
          <w:sz w:val="18"/>
          <w:szCs w:val="18"/>
        </w:rPr>
        <w:t xml:space="preserve">  —  </w:t>
      </w:r>
      <w:r>
        <w:rPr>
          <w:rFonts w:ascii="Calibri"/>
          <w:b/>
          <w:bCs/>
          <w:color w:val="064E3B"/>
          <w:sz w:val="22"/>
          <w:szCs w:val="22"/>
        </w:rPr>
        <w:t xml:space="preserve">Payment method toggle</w:t>
      </w:r>
    </w:p>
    <w:p>
      <w:pPr>
        <w:spacing w:after="120" w:before="0" w:line="312"/>
        <w:ind w:firstLine="0"/>
        <w:jc w:val="both"/>
      </w:pPr>
      <w:r>
        <w:rPr>
          <w:rFonts w:ascii="Calibri" w:eastAsia="Microsoft YaHei"/>
          <w:color w:val="1F2937"/>
          <w:sz w:val="22"/>
          <w:szCs w:val="22"/>
        </w:rPr>
        <w:t xml:space="preserve">The super-admin panel (P4 /packages) has toggles for each payment method: bKash (manual), Nagad (manual), SSL Commerz (cards). Only enabled methods appear on the user's Pay Subscription page. The founder can enable SSL Commerz only, manual only, or both side by side. SSL Commerz requires API keys (store_id + store_passwd) configured via env vars or the admin panel.</w:t>
      </w:r>
    </w:p>
    <w:p>
      <w:pPr>
        <w:pBdr>
          <w:left w:val="single" w:color="10B981" w:sz="24" w:space="12"/>
        </w:pBdr>
        <w:spacing w:after="80" w:before="160" w:line="312"/>
        <w:ind w:left="240"/>
      </w:pPr>
      <w:r>
        <w:rPr>
          <w:rFonts w:ascii="Calibri"/>
          <w:b/>
          <w:bCs/>
          <w:color w:val="10B981"/>
          <w:spacing w:val="30"/>
          <w:sz w:val="16"/>
          <w:szCs w:val="16"/>
        </w:rPr>
        <w:t xml:space="preserve">FEATURE 5.3</w:t>
      </w:r>
      <w:r>
        <w:rPr>
          <w:color w:val="6B7280"/>
          <w:sz w:val="18"/>
          <w:szCs w:val="18"/>
        </w:rPr>
        <w:t xml:space="preserve">  —  </w:t>
      </w:r>
      <w:r>
        <w:rPr>
          <w:rFonts w:ascii="Calibri"/>
          <w:b/>
          <w:bCs/>
          <w:color w:val="064E3B"/>
          <w:sz w:val="22"/>
          <w:szCs w:val="22"/>
        </w:rPr>
        <w:t xml:space="preserve">Annual billing option</w:t>
      </w:r>
    </w:p>
    <w:p>
      <w:pPr>
        <w:spacing w:after="120" w:before="0" w:line="312"/>
        <w:ind w:firstLine="0"/>
        <w:jc w:val="both"/>
      </w:pPr>
      <w:r>
        <w:rPr>
          <w:rFonts w:ascii="Calibri" w:eastAsia="Microsoft YaHei"/>
          <w:color w:val="1F2937"/>
          <w:sz w:val="22"/>
          <w:szCs w:val="22"/>
        </w:rPr>
        <w:t xml:space="preserve">On the Pay Subscription page, the user sees two billing period options: Monthly (1 month, 800/1500 BDT) and Annual (12 months for the price of 10: 8,000/15,000 BDT). Selecting annual generates a SubscriptionInvoice with billingPeriod='year' + amount=annualPrice. On payment (manual match or SSL success), subscriptionEnd extends by 12 months instead of 1.</w:t>
      </w:r>
    </w:p>
    <w:p>
      <w:pPr>
        <w:pBdr>
          <w:left w:val="single" w:color="10B981" w:sz="24" w:space="12"/>
        </w:pBdr>
        <w:spacing w:after="80" w:before="160" w:line="312"/>
        <w:ind w:left="240"/>
      </w:pPr>
      <w:r>
        <w:rPr>
          <w:rFonts w:ascii="Calibri"/>
          <w:b/>
          <w:bCs/>
          <w:color w:val="10B981"/>
          <w:spacing w:val="30"/>
          <w:sz w:val="16"/>
          <w:szCs w:val="16"/>
        </w:rPr>
        <w:t xml:space="preserve">FEATURE 5.4</w:t>
      </w:r>
      <w:r>
        <w:rPr>
          <w:color w:val="6B7280"/>
          <w:sz w:val="18"/>
          <w:szCs w:val="18"/>
        </w:rPr>
        <w:t xml:space="preserve">  —  </w:t>
      </w:r>
      <w:r>
        <w:rPr>
          <w:rFonts w:ascii="Calibri"/>
          <w:b/>
          <w:bCs/>
          <w:color w:val="064E3B"/>
          <w:sz w:val="22"/>
          <w:szCs w:val="22"/>
        </w:rPr>
        <w:t xml:space="preserve">SSL Commerz config in admin panel</w:t>
      </w:r>
    </w:p>
    <w:p>
      <w:pPr>
        <w:spacing w:after="120" w:before="0" w:line="312"/>
        <w:ind w:firstLine="0"/>
        <w:jc w:val="both"/>
      </w:pPr>
      <w:r>
        <w:rPr>
          <w:rFonts w:ascii="Calibri" w:eastAsia="Microsoft YaHei"/>
          <w:color w:val="1F2937"/>
          <w:sz w:val="22"/>
          <w:szCs w:val="22"/>
        </w:rPr>
        <w:t xml:space="preserve">New section in /admin: 'SSL Commerz Configuration'. Fields: store_id, store_passwd, mode (sandbox/production), callback URL. Test button initiates a 10 BDT test transaction. The config is stored in the SmtpConfig-style table (or a new PaymentConfig table) so the founder can change it without redeploying.</w:t>
      </w:r>
    </w:p>
    <w:p>
      <w:pPr>
        <w:pStyle w:val="Heading2"/>
        <w:spacing w:after="140" w:before="280" w:line="312"/>
      </w:pPr>
      <w:bookmarkStart w:id="100037" w:name="_Toc100037"/>
      <w:r>
        <w:rPr>
          <w:rFonts w:ascii="Calibri" w:eastAsia="Microsoft YaHei"/>
          <w:b/>
          <w:bCs/>
          <w:color w:val="064E3B"/>
          <w:sz w:val="28"/>
          <w:szCs w:val="28"/>
        </w:rPr>
        <w:t xml:space="preserve">8.3 Schema changes</w:t>
      </w:r>
      <w:bookmarkEnd w:id="100037"/>
    </w:p>
    <w:p>
      <w:pPr>
        <w:keepNext/>
        <w:spacing w:after="100" w:before="200"/>
        <w:jc w:val="left"/>
      </w:pPr>
      <w:r>
        <w:rPr>
          <w:rFonts w:ascii="Calibri" w:eastAsia="Microsoft YaHei"/>
          <w:b/>
          <w:bCs/>
          <w:color w:val="064E3B"/>
          <w:sz w:val="21"/>
          <w:szCs w:val="21"/>
        </w:rPr>
        <w:t xml:space="preserve">Table 10: P5 schema additions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Model</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Fields</w:t>
            </w:r>
          </w:p>
        </w:tc>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PaymentConfig (NEW)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sslStoreId, sslStorePasswd, sslMode, activeMethods (Json), bkashNumber, nagadNumber, updatedAt</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Admin-editable payment config</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SubscriptionInvoice (update)</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+billingPeriod already in P1</w:t>
            </w:r>
          </w:p>
        </w:tc>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Already supports 'month' / 'year'</w:t>
            </w:r>
          </w:p>
        </w:tc>
      </w:tr>
    </w:tbl>
    <w:p>
      <w:pPr>
        <w:spacing w:after="160" w:before="0" w:line="240"/>
      </w:pPr>
      <w:r>
        <w:t xml:space="preserve"/>
      </w:r>
    </w:p>
    <w:p>
      <w:pPr>
        <w:pStyle w:val="Heading2"/>
        <w:spacing w:after="140" w:before="280" w:line="312"/>
      </w:pPr>
      <w:bookmarkStart w:id="100038" w:name="_Toc100038"/>
      <w:r>
        <w:rPr>
          <w:rFonts w:ascii="Calibri" w:eastAsia="Microsoft YaHei"/>
          <w:b/>
          <w:bCs/>
          <w:color w:val="064E3B"/>
          <w:sz w:val="28"/>
          <w:szCs w:val="28"/>
        </w:rPr>
        <w:t xml:space="preserve">8.4 API changes</w:t>
      </w:r>
      <w:bookmarkEnd w:id="100038"/>
    </w:p>
    <w:p>
      <w:pPr>
        <w:keepNext/>
        <w:spacing w:after="100" w:before="200"/>
        <w:jc w:val="left"/>
      </w:pPr>
      <w:r>
        <w:rPr>
          <w:rFonts w:ascii="Calibri" w:eastAsia="Microsoft YaHei"/>
          <w:b/>
          <w:bCs/>
          <w:color w:val="064E3B"/>
          <w:sz w:val="21"/>
          <w:szCs w:val="21"/>
        </w:rPr>
        <w:t xml:space="preserve">Table 11: P5 API changes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4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Route</w:t>
            </w:r>
          </w:p>
        </w:tc>
        <w:tc>
          <w:tcPr>
            <w:tcW w:type="pct" w:w="13%"/>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Method</w:t>
            </w:r>
          </w:p>
        </w:tc>
        <w:tc>
          <w:tcPr>
            <w:tcW w:type="pct" w:w="47%"/>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/api/businesses/[id]/subscription/pay/ssl</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Initiate SSL Commerz payment session</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/api/payment/ssl/success</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success callback</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/api/payment/ssl/fail</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failure callback</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/api/payment/ssl/cancel</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POST</w:t>
            </w:r>
          </w:p>
        </w:tc>
        <w:tc>
          <w:tcPr>
            <w:tcW w:type="pct" w:w="4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cancel callback</w:t>
            </w:r>
          </w:p>
        </w:tc>
      </w:tr>
      <w:tr>
        <w:trPr>
          <w:cantSplit/>
        </w:trPr>
        <w:tc>
          <w:tcPr>
            <w:tcW w:type="pct" w:w="4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/api/super-admin/payment-config</w:t>
            </w:r>
          </w:p>
        </w:tc>
        <w:tc>
          <w:tcPr>
            <w:tcW w:type="pct" w:w="13%"/>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GET/PUT</w:t>
            </w:r>
          </w:p>
        </w:tc>
        <w:tc>
          <w:tcPr>
            <w:tcW w:type="pct" w:w="47%"/>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Edit SSL Commerz config + active methods + account numbers</w:t>
            </w:r>
          </w:p>
        </w:tc>
      </w:tr>
    </w:tbl>
    <w:p>
      <w:pPr>
        <w:spacing w:after="160" w:before="0" w:line="240"/>
      </w:pPr>
      <w:r>
        <w:t xml:space="preserve"/>
      </w:r>
    </w:p>
    <w:p>
      <w:pPr>
        <w:pStyle w:val="Heading2"/>
        <w:spacing w:after="140" w:before="280" w:line="312"/>
      </w:pPr>
      <w:bookmarkStart w:id="100039" w:name="_Toc100039"/>
      <w:r>
        <w:rPr>
          <w:rFonts w:ascii="Calibri" w:eastAsia="Microsoft YaHei"/>
          <w:b/>
          <w:bCs/>
          <w:color w:val="064E3B"/>
          <w:sz w:val="28"/>
          <w:szCs w:val="28"/>
        </w:rPr>
        <w:t xml:space="preserve">8.5 Acceptance criteria</w:t>
      </w:r>
      <w:bookmarkEnd w:id="100039"/>
    </w:p>
    <w:p>
      <w:pPr>
        <w:spacing w:after="80" w:before="0" w:line="312"/>
        <w:ind w:left="360" w:hanging="240"/>
      </w:pPr>
      <w:r>
        <w:rPr>
          <w:b/>
          <w:bCs/>
          <w:color w:val="10B981"/>
          <w:sz w:val="22"/>
          <w:szCs w:val="22"/>
        </w:rPr>
        <w:t xml:space="preserve">☐  </w:t>
      </w:r>
      <w:r>
        <w:rPr>
          <w:rFonts w:ascii="Calibri"/>
          <w:color w:val="1F2937"/>
          <w:sz w:val="22"/>
          <w:szCs w:val="22"/>
        </w:rPr>
        <w:t xml:space="preserve">SSL Commerz payment session initiates with correct amount + business info</w:t>
      </w:r>
    </w:p>
    <w:p>
      <w:pPr>
        <w:spacing w:after="80" w:before="0" w:line="312"/>
        <w:ind w:left="360" w:hanging="240"/>
      </w:pPr>
      <w:r>
        <w:rPr>
          <w:b/>
          <w:bCs/>
          <w:color w:val="10B981"/>
          <w:sz w:val="22"/>
          <w:szCs w:val="22"/>
        </w:rPr>
        <w:t xml:space="preserve">☐  </w:t>
      </w:r>
      <w:r>
        <w:rPr>
          <w:rFonts w:ascii="Calibri"/>
          <w:color w:val="1F2937"/>
          <w:sz w:val="22"/>
          <w:szCs w:val="22"/>
        </w:rPr>
        <w:t xml:space="preserve">SSL Commerz success callback verifies transaction + auto-extends subscription</w:t>
      </w:r>
    </w:p>
    <w:p>
      <w:pPr>
        <w:spacing w:after="80" w:before="0" w:line="312"/>
        <w:ind w:left="360" w:hanging="240"/>
      </w:pPr>
      <w:r>
        <w:rPr>
          <w:b/>
          <w:bCs/>
          <w:color w:val="10B981"/>
          <w:sz w:val="22"/>
          <w:szCs w:val="22"/>
        </w:rPr>
        <w:t xml:space="preserve">☐  </w:t>
      </w:r>
      <w:r>
        <w:rPr>
          <w:rFonts w:ascii="Calibri"/>
          <w:color w:val="1F2937"/>
          <w:sz w:val="22"/>
          <w:szCs w:val="22"/>
        </w:rPr>
        <w:t xml:space="preserve">SSL Commerz fail/cancel callbacks handle gracefully (no subscription change)</w:t>
      </w:r>
    </w:p>
    <w:p>
      <w:pPr>
        <w:spacing w:after="80" w:before="0" w:line="312"/>
        <w:ind w:left="360" w:hanging="240"/>
      </w:pPr>
      <w:r>
        <w:rPr>
          <w:b/>
          <w:bCs/>
          <w:color w:val="10B981"/>
          <w:sz w:val="22"/>
          <w:szCs w:val="22"/>
        </w:rPr>
        <w:t xml:space="preserve">☐  </w:t>
      </w:r>
      <w:r>
        <w:rPr>
          <w:rFonts w:ascii="Calibri"/>
          <w:color w:val="1F2937"/>
          <w:sz w:val="22"/>
          <w:szCs w:val="22"/>
        </w:rPr>
        <w:t xml:space="preserve">Super-admin can toggle bKash/Nagad/SSL Commerz on/off from /admin</w:t>
      </w:r>
    </w:p>
    <w:p>
      <w:pPr>
        <w:spacing w:after="80" w:before="0" w:line="312"/>
        <w:ind w:left="360" w:hanging="240"/>
      </w:pPr>
      <w:r>
        <w:rPr>
          <w:b/>
          <w:bCs/>
          <w:color w:val="10B981"/>
          <w:sz w:val="22"/>
          <w:szCs w:val="22"/>
        </w:rPr>
        <w:t xml:space="preserve">☐  </w:t>
      </w:r>
      <w:r>
        <w:rPr>
          <w:rFonts w:ascii="Calibri"/>
          <w:color w:val="1F2937"/>
          <w:sz w:val="22"/>
          <w:szCs w:val="22"/>
        </w:rPr>
        <w:t xml:space="preserve">User's Pay Subscription page shows only enabled payment methods</w:t>
      </w:r>
    </w:p>
    <w:p>
      <w:pPr>
        <w:spacing w:after="80" w:before="0" w:line="312"/>
        <w:ind w:left="360" w:hanging="240"/>
      </w:pPr>
      <w:r>
        <w:rPr>
          <w:b/>
          <w:bCs/>
          <w:color w:val="10B981"/>
          <w:sz w:val="22"/>
          <w:szCs w:val="22"/>
        </w:rPr>
        <w:t xml:space="preserve">☐  </w:t>
      </w:r>
      <w:r>
        <w:rPr>
          <w:rFonts w:ascii="Calibri"/>
          <w:color w:val="1F2937"/>
          <w:sz w:val="22"/>
          <w:szCs w:val="22"/>
        </w:rPr>
        <w:t xml:space="preserve">Annual billing option (pay 10, get 12) available for both manual + SSL</w:t>
      </w:r>
    </w:p>
    <w:p>
      <w:pPr>
        <w:spacing w:after="80" w:before="0" w:line="312"/>
        <w:ind w:left="360" w:hanging="240"/>
      </w:pPr>
      <w:r>
        <w:rPr>
          <w:b/>
          <w:bCs/>
          <w:color w:val="10B981"/>
          <w:sz w:val="22"/>
          <w:szCs w:val="22"/>
        </w:rPr>
        <w:t xml:space="preserve">☐  </w:t>
      </w:r>
      <w:r>
        <w:rPr>
          <w:rFonts w:ascii="Calibri"/>
          <w:color w:val="1F2937"/>
          <w:sz w:val="22"/>
          <w:szCs w:val="22"/>
        </w:rPr>
        <w:t xml:space="preserve">Annual payment extends subscriptionEnd by 12 months</w:t>
      </w:r>
    </w:p>
    <w:p>
      <w:pPr>
        <w:spacing w:after="80" w:before="0" w:line="312"/>
        <w:ind w:left="360" w:hanging="240"/>
      </w:pPr>
      <w:r>
        <w:rPr>
          <w:b/>
          <w:bCs/>
          <w:color w:val="10B981"/>
          <w:sz w:val="22"/>
          <w:szCs w:val="22"/>
        </w:rPr>
        <w:t xml:space="preserve">☐  </w:t>
      </w:r>
      <w:r>
        <w:rPr>
          <w:rFonts w:ascii="Calibri"/>
          <w:color w:val="1F2937"/>
          <w:sz w:val="22"/>
          <w:szCs w:val="22"/>
        </w:rPr>
        <w:t xml:space="preserve">SSL Commerz config (store_id, store_passwd, mode) editable from /admin</w:t>
      </w:r>
    </w:p>
    <w:p>
      <w:pPr>
        <w:spacing w:after="80" w:before="0" w:line="312"/>
        <w:ind w:left="360" w:hanging="240"/>
      </w:pPr>
      <w:r>
        <w:rPr>
          <w:b/>
          <w:bCs/>
          <w:color w:val="10B981"/>
          <w:sz w:val="22"/>
          <w:szCs w:val="22"/>
        </w:rPr>
        <w:t xml:space="preserve">☐  </w:t>
      </w:r>
      <w:r>
        <w:rPr>
          <w:rFonts w:ascii="Calibri"/>
          <w:color w:val="1F2937"/>
          <w:sz w:val="22"/>
          <w:szCs w:val="22"/>
        </w:rPr>
        <w:t xml:space="preserve">Test transaction button in admin verifies SSL Commerz config</w:t>
      </w:r>
    </w:p>
    <w:p>
      <w:r>
        <w:br w:type="page"/>
      </w:r>
    </w:p>
    <w:p>
      <w:pPr>
        <w:pStyle w:val="Heading1"/>
        <w:spacing w:after="200" w:before="360" w:line="312"/>
      </w:pPr>
      <w:bookmarkStart w:id="100040" w:name="_Toc100040"/>
      <w:r>
        <w:rPr>
          <w:rFonts w:ascii="Calibri" w:eastAsia="Microsoft YaHei"/>
          <w:b/>
          <w:bCs/>
          <w:color w:val="064E3B"/>
          <w:sz w:val="32"/>
          <w:szCs w:val="32"/>
        </w:rPr>
        <w:t xml:space="preserve">9. Phase 6 — Notifications + Polish + Edge Cases</w:t>
      </w:r>
      <w:bookmarkEnd w:id="100040"/>
    </w:p>
    <w:p>
      <w:pPr>
        <w:pStyle w:val="Heading2"/>
        <w:spacing w:after="140" w:before="280" w:line="312"/>
      </w:pPr>
      <w:bookmarkStart w:id="100041" w:name="_Toc100041"/>
      <w:r>
        <w:rPr>
          <w:rFonts w:ascii="Calibri" w:eastAsia="Microsoft YaHei"/>
          <w:b/>
          <w:bCs/>
          <w:color w:val="064E3B"/>
          <w:sz w:val="28"/>
          <w:szCs w:val="28"/>
        </w:rPr>
        <w:t xml:space="preserve">9.1 Rationale</w:t>
      </w:r>
      <w:bookmarkEnd w:id="100041"/>
    </w:p>
    <w:p>
      <w:pPr>
        <w:spacing w:after="120" w:before="0" w:line="312"/>
        <w:ind w:firstLine="0"/>
        <w:jc w:val="both"/>
      </w:pPr>
      <w:r>
        <w:rPr>
          <w:rFonts w:ascii="Calibri" w:eastAsia="Microsoft YaHei"/>
          <w:color w:val="1F2937"/>
          <w:sz w:val="22"/>
          <w:szCs w:val="22"/>
        </w:rPr>
        <w:t xml:space="preserve">Phase 6 adds the notification system for all subscription events, first-time onboarding for the payment page, edge-case handling (refunds, partial payments, plan changes), and super-admin documentation. This phase ensures the subscription system is production-ready and the founder + users know what to expect at each stage.</w:t>
      </w:r>
    </w:p>
    <w:p>
      <w:pPr>
        <w:pStyle w:val="Heading2"/>
        <w:spacing w:after="140" w:before="280" w:line="312"/>
      </w:pPr>
      <w:bookmarkStart w:id="100042" w:name="_Toc100042"/>
      <w:r>
        <w:rPr>
          <w:rFonts w:ascii="Calibri" w:eastAsia="Microsoft YaHei"/>
          <w:b/>
          <w:bCs/>
          <w:color w:val="064E3B"/>
          <w:sz w:val="28"/>
          <w:szCs w:val="28"/>
        </w:rPr>
        <w:t xml:space="preserve">9.2 Scope</w:t>
      </w:r>
      <w:bookmarkEnd w:id="100042"/>
    </w:p>
    <w:p>
      <w:pPr>
        <w:pBdr>
          <w:left w:val="single" w:color="10B981" w:sz="24" w:space="12"/>
        </w:pBdr>
        <w:spacing w:after="80" w:before="160" w:line="312"/>
        <w:ind w:left="240"/>
      </w:pPr>
      <w:r>
        <w:rPr>
          <w:rFonts w:ascii="Calibri"/>
          <w:b/>
          <w:bCs/>
          <w:color w:val="10B981"/>
          <w:spacing w:val="30"/>
          <w:sz w:val="16"/>
          <w:szCs w:val="16"/>
        </w:rPr>
        <w:t xml:space="preserve">FEATURE 6.1</w:t>
      </w:r>
      <w:r>
        <w:rPr>
          <w:color w:val="6B7280"/>
          <w:sz w:val="18"/>
          <w:szCs w:val="18"/>
        </w:rPr>
        <w:t xml:space="preserve">  —  </w:t>
      </w:r>
      <w:r>
        <w:rPr>
          <w:rFonts w:ascii="Calibri"/>
          <w:b/>
          <w:bCs/>
          <w:color w:val="064E3B"/>
          <w:sz w:val="22"/>
          <w:szCs w:val="22"/>
        </w:rPr>
        <w:t xml:space="preserve">Subscription event notifications</w:t>
      </w:r>
    </w:p>
    <w:p>
      <w:pPr>
        <w:spacing w:after="120" w:before="0" w:line="312"/>
        <w:ind w:firstLine="0"/>
        <w:jc w:val="both"/>
      </w:pPr>
      <w:r>
        <w:rPr>
          <w:rFonts w:ascii="Calibri" w:eastAsia="Microsoft YaHei"/>
          <w:color w:val="1F2937"/>
          <w:sz w:val="22"/>
          <w:szCs w:val="22"/>
        </w:rPr>
        <w:t xml:space="preserve">NotificationLog entries (in-app) + optional emails for: (a) invoice generated (7 days before due), (b) payment received (matched/SSL success), (c) subscription expiring soon (7 days before end), (d) subscription expired + read-only mode entered, (e) data wipe warning (7 days before wipe), (f) data wiped (stage 4 entered), (g) data restored after payment. Each notification is per-business (shop-wise as the founder specified).</w:t>
      </w:r>
    </w:p>
    <w:p>
      <w:pPr>
        <w:pBdr>
          <w:left w:val="single" w:color="10B981" w:sz="24" w:space="12"/>
        </w:pBdr>
        <w:spacing w:after="80" w:before="160" w:line="312"/>
        <w:ind w:left="240"/>
      </w:pPr>
      <w:r>
        <w:rPr>
          <w:rFonts w:ascii="Calibri"/>
          <w:b/>
          <w:bCs/>
          <w:color w:val="10B981"/>
          <w:spacing w:val="30"/>
          <w:sz w:val="16"/>
          <w:szCs w:val="16"/>
        </w:rPr>
        <w:t xml:space="preserve">FEATURE 6.2</w:t>
      </w:r>
      <w:r>
        <w:rPr>
          <w:color w:val="6B7280"/>
          <w:sz w:val="18"/>
          <w:szCs w:val="18"/>
        </w:rPr>
        <w:t xml:space="preserve">  —  </w:t>
      </w:r>
      <w:r>
        <w:rPr>
          <w:rFonts w:ascii="Calibri"/>
          <w:b/>
          <w:bCs/>
          <w:color w:val="064E3B"/>
          <w:sz w:val="22"/>
          <w:szCs w:val="22"/>
        </w:rPr>
        <w:t xml:space="preserve">First-time payment onboarding</w:t>
      </w:r>
    </w:p>
    <w:p>
      <w:pPr>
        <w:spacing w:after="120" w:before="0" w:line="312"/>
        <w:ind w:firstLine="0"/>
        <w:jc w:val="both"/>
      </w:pPr>
      <w:r>
        <w:rPr>
          <w:rFonts w:ascii="Calibri" w:eastAsia="Microsoft YaHei"/>
          <w:color w:val="1F2937"/>
          <w:sz w:val="22"/>
          <w:szCs w:val="22"/>
        </w:rPr>
        <w:t xml:space="preserve">When a trial business first approaches the subscription end, a one-time tooltip highlights the 'Subscription' page + explains the billing cycle. A dismissible banner on the dashboard shows: 'Your free trial ends in {N} days. Subscribe now to keep full access.' with a 'Subscribe' CTA.</w:t>
      </w:r>
    </w:p>
    <w:p>
      <w:pPr>
        <w:pBdr>
          <w:left w:val="single" w:color="F59E0B" w:sz="24" w:space="12"/>
        </w:pBdr>
        <w:spacing w:after="80" w:before="160" w:line="312"/>
        <w:ind w:left="240"/>
      </w:pPr>
      <w:r>
        <w:rPr>
          <w:rFonts w:ascii="Calibri"/>
          <w:b/>
          <w:bCs/>
          <w:color w:val="F59E0B"/>
          <w:spacing w:val="30"/>
          <w:sz w:val="16"/>
          <w:szCs w:val="16"/>
        </w:rPr>
        <w:t xml:space="preserve">FEATURE 6.3</w:t>
      </w:r>
      <w:r>
        <w:rPr>
          <w:color w:val="6B7280"/>
          <w:sz w:val="18"/>
          <w:szCs w:val="18"/>
        </w:rPr>
        <w:t xml:space="preserve">  —  </w:t>
      </w:r>
      <w:r>
        <w:rPr>
          <w:rFonts w:ascii="Calibri"/>
          <w:b/>
          <w:bCs/>
          <w:color w:val="064E3B"/>
          <w:sz w:val="22"/>
          <w:szCs w:val="22"/>
        </w:rPr>
        <w:t xml:space="preserve">Refund + adjustment handling</w:t>
      </w:r>
    </w:p>
    <w:p>
      <w:pPr>
        <w:spacing w:after="120" w:before="0" w:line="312"/>
        <w:ind w:firstLine="0"/>
        <w:jc w:val="both"/>
      </w:pPr>
      <w:r>
        <w:rPr>
          <w:rFonts w:ascii="Calibri" w:eastAsia="Microsoft YaHei"/>
          <w:color w:val="1F2937"/>
          <w:sz w:val="22"/>
          <w:szCs w:val="22"/>
        </w:rPr>
        <w:t xml:space="preserve">Super-admin can issue a refund from the client detail page: sets PaymentTransaction.status='refunded', reverses the subscription extension (shortens subscriptionEnd by the refunded period), logs the refund reason. Super-admin can also make manual adjustments (extend/reduce subscription by N days) with a required reason field. All refunds + adjustments are logged in a SubscriptionAdjustment model for audit.</w:t>
      </w:r>
    </w:p>
    <w:p>
      <w:pPr>
        <w:pBdr>
          <w:left w:val="single" w:color="10B981" w:sz="24" w:space="12"/>
        </w:pBdr>
        <w:spacing w:after="80" w:before="160" w:line="312"/>
        <w:ind w:left="240"/>
      </w:pPr>
      <w:r>
        <w:rPr>
          <w:rFonts w:ascii="Calibri"/>
          <w:b/>
          <w:bCs/>
          <w:color w:val="10B981"/>
          <w:spacing w:val="30"/>
          <w:sz w:val="16"/>
          <w:szCs w:val="16"/>
        </w:rPr>
        <w:t xml:space="preserve">FEATURE 6.4</w:t>
      </w:r>
      <w:r>
        <w:rPr>
          <w:color w:val="6B7280"/>
          <w:sz w:val="18"/>
          <w:szCs w:val="18"/>
        </w:rPr>
        <w:t xml:space="preserve">  —  </w:t>
      </w:r>
      <w:r>
        <w:rPr>
          <w:rFonts w:ascii="Calibri"/>
          <w:b/>
          <w:bCs/>
          <w:color w:val="064E3B"/>
          <w:sz w:val="22"/>
          <w:szCs w:val="22"/>
        </w:rPr>
        <w:t xml:space="preserve">Plan changes (upgrade/downgrade)</w:t>
      </w:r>
    </w:p>
    <w:p>
      <w:pPr>
        <w:spacing w:after="120" w:before="0" w:line="312"/>
        <w:ind w:firstLine="0"/>
        <w:jc w:val="both"/>
      </w:pPr>
      <w:r>
        <w:rPr>
          <w:rFonts w:ascii="Calibri" w:eastAsia="Microsoft YaHei"/>
          <w:color w:val="1F2937"/>
          <w:sz w:val="22"/>
          <w:szCs w:val="22"/>
        </w:rPr>
        <w:t xml:space="preserve">User can upgrade (Free→Pro, Pro→Pro AI) or downgrade (Pro AI→Pro) from the Subscription page. Upgrades: prorate the remaining days, charge the difference, extend subscriptionEnd. Downgrades: take effect at the next billing cycle (no immediate change, no refund). Plan changes create a new SubscriptionInvoice for the prorated amount.</w:t>
      </w:r>
    </w:p>
    <w:p>
      <w:pPr>
        <w:pBdr>
          <w:left w:val="single" w:color="10B981" w:sz="24" w:space="12"/>
        </w:pBdr>
        <w:spacing w:after="80" w:before="160" w:line="312"/>
        <w:ind w:left="240"/>
      </w:pPr>
      <w:r>
        <w:rPr>
          <w:rFonts w:ascii="Calibri"/>
          <w:b/>
          <w:bCs/>
          <w:color w:val="10B981"/>
          <w:spacing w:val="30"/>
          <w:sz w:val="16"/>
          <w:szCs w:val="16"/>
        </w:rPr>
        <w:t xml:space="preserve">FEATURE 6.5</w:t>
      </w:r>
      <w:r>
        <w:rPr>
          <w:color w:val="6B7280"/>
          <w:sz w:val="18"/>
          <w:szCs w:val="18"/>
        </w:rPr>
        <w:t xml:space="preserve">  —  </w:t>
      </w:r>
      <w:r>
        <w:rPr>
          <w:rFonts w:ascii="Calibri"/>
          <w:b/>
          <w:bCs/>
          <w:color w:val="064E3B"/>
          <w:sz w:val="22"/>
          <w:szCs w:val="22"/>
        </w:rPr>
        <w:t xml:space="preserve">SuperAdminHelp entries</w:t>
      </w:r>
    </w:p>
    <w:p>
      <w:pPr>
        <w:spacing w:after="120" w:before="0" w:line="312"/>
        <w:ind w:firstLine="0"/>
        <w:jc w:val="both"/>
      </w:pPr>
      <w:r>
        <w:rPr>
          <w:rFonts w:ascii="Calibri" w:eastAsia="Microsoft YaHei"/>
          <w:color w:val="1F2937"/>
          <w:sz w:val="22"/>
          <w:szCs w:val="22"/>
        </w:rPr>
        <w:t xml:space="preserve">Add help entries for: Subscription Lifecycle (4 stages), Manual Payment Matching (bKash/Nagad), SSL Commerz Configuration, Package Price Management, Client Monitoring Dashboard, Refunds + Adjustments. Each entry follows the existing whatItIs/whatHappensIfNotSet/whyYouNeedIt/howToUse format.</w:t>
      </w:r>
    </w:p>
    <w:p>
      <w:pPr>
        <w:pStyle w:val="Heading2"/>
        <w:spacing w:after="140" w:before="280" w:line="312"/>
      </w:pPr>
      <w:bookmarkStart w:id="100043" w:name="_Toc100043"/>
      <w:r>
        <w:rPr>
          <w:rFonts w:ascii="Calibri" w:eastAsia="Microsoft YaHei"/>
          <w:b/>
          <w:bCs/>
          <w:color w:val="064E3B"/>
          <w:sz w:val="28"/>
          <w:szCs w:val="28"/>
        </w:rPr>
        <w:t xml:space="preserve">6.3 Schema changes</w:t>
      </w:r>
      <w:bookmarkEnd w:id="100043"/>
    </w:p>
    <w:p>
      <w:pPr>
        <w:keepNext/>
        <w:spacing w:after="100" w:before="200"/>
        <w:jc w:val="left"/>
      </w:pPr>
      <w:r>
        <w:rPr>
          <w:rFonts w:ascii="Calibri" w:eastAsia="Microsoft YaHei"/>
          <w:b/>
          <w:bCs/>
          <w:color w:val="064E3B"/>
          <w:sz w:val="21"/>
          <w:szCs w:val="21"/>
        </w:rPr>
        <w:t xml:space="preserve">Table 12: P6 schema additions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2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Model</w:t>
            </w:r>
          </w:p>
        </w:tc>
        <w:tc>
          <w:tcPr>
            <w:tcW w:type="pct" w:w="5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Fields</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Purpose</w:t>
            </w:r>
          </w:p>
        </w:tc>
      </w:tr>
      <w:tr>
        <w:trPr>
          <w:cantSplit/>
        </w:trPr>
        <w:tc>
          <w:tcPr>
            <w:tcW w:type="pct" w:w="2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SubscriptionAdjustment (NEW)</w:t>
            </w:r>
          </w:p>
        </w:tc>
        <w:tc>
          <w:tcPr>
            <w:tcW w:type="pct" w:w="5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 businessId, type (refund/extension/reduction), daysAdjusted, amount, reason, createdBy, createdAt</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Audit trail for manual changes</w:t>
            </w:r>
          </w:p>
        </w:tc>
      </w:tr>
    </w:tbl>
    <w:p>
      <w:pPr>
        <w:spacing w:after="160" w:before="0" w:line="240"/>
      </w:pPr>
      <w:r>
        <w:t xml:space="preserve"/>
      </w:r>
    </w:p>
    <w:p>
      <w:pPr>
        <w:pStyle w:val="Heading2"/>
        <w:spacing w:after="140" w:before="280" w:line="312"/>
      </w:pPr>
      <w:bookmarkStart w:id="100044" w:name="_Toc100044"/>
      <w:r>
        <w:rPr>
          <w:rFonts w:ascii="Calibri" w:eastAsia="Microsoft YaHei"/>
          <w:b/>
          <w:bCs/>
          <w:color w:val="064E3B"/>
          <w:sz w:val="28"/>
          <w:szCs w:val="28"/>
        </w:rPr>
        <w:t xml:space="preserve">6.4 Acceptance criteria</w:t>
      </w:r>
      <w:bookmarkEnd w:id="100044"/>
    </w:p>
    <w:p>
      <w:pPr>
        <w:spacing w:after="80" w:before="0" w:line="312"/>
        <w:ind w:left="360" w:hanging="240"/>
      </w:pPr>
      <w:r>
        <w:rPr>
          <w:b/>
          <w:bCs/>
          <w:color w:val="10B981"/>
          <w:sz w:val="22"/>
          <w:szCs w:val="22"/>
        </w:rPr>
        <w:t xml:space="preserve">☐  </w:t>
      </w:r>
      <w:r>
        <w:rPr>
          <w:rFonts w:ascii="Calibri"/>
          <w:color w:val="1F2937"/>
          <w:sz w:val="22"/>
          <w:szCs w:val="22"/>
        </w:rPr>
        <w:t xml:space="preserve">In-app notifications fire at each subscription stage transition</w:t>
      </w:r>
    </w:p>
    <w:p>
      <w:pPr>
        <w:spacing w:after="80" w:before="0" w:line="312"/>
        <w:ind w:left="360" w:hanging="240"/>
      </w:pPr>
      <w:r>
        <w:rPr>
          <w:b/>
          <w:bCs/>
          <w:color w:val="10B981"/>
          <w:sz w:val="22"/>
          <w:szCs w:val="22"/>
        </w:rPr>
        <w:t xml:space="preserve">☐  </w:t>
      </w:r>
      <w:r>
        <w:rPr>
          <w:rFonts w:ascii="Calibri"/>
          <w:color w:val="1F2937"/>
          <w:sz w:val="22"/>
          <w:szCs w:val="22"/>
        </w:rPr>
        <w:t xml:space="preserve">Emails sent for stage transitions if ownerEmail + SMTP configured</w:t>
      </w:r>
    </w:p>
    <w:p>
      <w:pPr>
        <w:spacing w:after="80" w:before="0" w:line="312"/>
        <w:ind w:left="360" w:hanging="240"/>
      </w:pPr>
      <w:r>
        <w:rPr>
          <w:b/>
          <w:bCs/>
          <w:color w:val="10B981"/>
          <w:sz w:val="22"/>
          <w:szCs w:val="22"/>
        </w:rPr>
        <w:t xml:space="preserve">☐  </w:t>
      </w:r>
      <w:r>
        <w:rPr>
          <w:rFonts w:ascii="Calibri"/>
          <w:color w:val="1F2937"/>
          <w:sz w:val="22"/>
          <w:szCs w:val="22"/>
        </w:rPr>
        <w:t xml:space="preserve">All notifications are per-business (shop-wise)</w:t>
      </w:r>
    </w:p>
    <w:p>
      <w:pPr>
        <w:spacing w:after="80" w:before="0" w:line="312"/>
        <w:ind w:left="360" w:hanging="240"/>
      </w:pPr>
      <w:r>
        <w:rPr>
          <w:b/>
          <w:bCs/>
          <w:color w:val="10B981"/>
          <w:sz w:val="22"/>
          <w:szCs w:val="22"/>
        </w:rPr>
        <w:t xml:space="preserve">☐  </w:t>
      </w:r>
      <w:r>
        <w:rPr>
          <w:rFonts w:ascii="Calibri"/>
          <w:color w:val="1F2937"/>
          <w:sz w:val="22"/>
          <w:szCs w:val="22"/>
        </w:rPr>
        <w:t xml:space="preserve">First-time tooltip highlights Subscription page when trial nears end</w:t>
      </w:r>
    </w:p>
    <w:p>
      <w:pPr>
        <w:spacing w:after="80" w:before="0" w:line="312"/>
        <w:ind w:left="360" w:hanging="240"/>
      </w:pPr>
      <w:r>
        <w:rPr>
          <w:b/>
          <w:bCs/>
          <w:color w:val="10B981"/>
          <w:sz w:val="22"/>
          <w:szCs w:val="22"/>
        </w:rPr>
        <w:t xml:space="preserve">☐  </w:t>
      </w:r>
      <w:r>
        <w:rPr>
          <w:rFonts w:ascii="Calibri"/>
          <w:color w:val="1F2937"/>
          <w:sz w:val="22"/>
          <w:szCs w:val="22"/>
        </w:rPr>
        <w:t xml:space="preserve">Dismissible trial-ending banner on dashboard with Subscribe CTA</w:t>
      </w:r>
    </w:p>
    <w:p>
      <w:pPr>
        <w:spacing w:after="80" w:before="0" w:line="312"/>
        <w:ind w:left="360" w:hanging="240"/>
      </w:pPr>
      <w:r>
        <w:rPr>
          <w:b/>
          <w:bCs/>
          <w:color w:val="10B981"/>
          <w:sz w:val="22"/>
          <w:szCs w:val="22"/>
        </w:rPr>
        <w:t xml:space="preserve">☐  </w:t>
      </w:r>
      <w:r>
        <w:rPr>
          <w:rFonts w:ascii="Calibri"/>
          <w:color w:val="1F2937"/>
          <w:sz w:val="22"/>
          <w:szCs w:val="22"/>
        </w:rPr>
        <w:t xml:space="preserve">Super-admin can issue refunds from client detail page</w:t>
      </w:r>
    </w:p>
    <w:p>
      <w:pPr>
        <w:spacing w:after="80" w:before="0" w:line="312"/>
        <w:ind w:left="360" w:hanging="240"/>
      </w:pPr>
      <w:r>
        <w:rPr>
          <w:b/>
          <w:bCs/>
          <w:color w:val="10B981"/>
          <w:sz w:val="22"/>
          <w:szCs w:val="22"/>
        </w:rPr>
        <w:t xml:space="preserve">☐  </w:t>
      </w:r>
      <w:r>
        <w:rPr>
          <w:rFonts w:ascii="Calibri"/>
          <w:color w:val="1F2937"/>
          <w:sz w:val="22"/>
          <w:szCs w:val="22"/>
        </w:rPr>
        <w:t xml:space="preserve">Refunds reverse the subscription extension + log the reason</w:t>
      </w:r>
    </w:p>
    <w:p>
      <w:pPr>
        <w:spacing w:after="80" w:before="0" w:line="312"/>
        <w:ind w:left="360" w:hanging="240"/>
      </w:pPr>
      <w:r>
        <w:rPr>
          <w:b/>
          <w:bCs/>
          <w:color w:val="10B981"/>
          <w:sz w:val="22"/>
          <w:szCs w:val="22"/>
        </w:rPr>
        <w:t xml:space="preserve">☐  </w:t>
      </w:r>
      <w:r>
        <w:rPr>
          <w:rFonts w:ascii="Calibri"/>
          <w:color w:val="1F2937"/>
          <w:sz w:val="22"/>
          <w:szCs w:val="22"/>
        </w:rPr>
        <w:t xml:space="preserve">Super-admin can make manual adjustments (extend/reduce) with required reason</w:t>
      </w:r>
    </w:p>
    <w:p>
      <w:pPr>
        <w:spacing w:after="80" w:before="0" w:line="312"/>
        <w:ind w:left="360" w:hanging="240"/>
      </w:pPr>
      <w:r>
        <w:rPr>
          <w:b/>
          <w:bCs/>
          <w:color w:val="10B981"/>
          <w:sz w:val="22"/>
          <w:szCs w:val="22"/>
        </w:rPr>
        <w:t xml:space="preserve">☐  </w:t>
      </w:r>
      <w:r>
        <w:rPr>
          <w:rFonts w:ascii="Calibri"/>
          <w:color w:val="1F2937"/>
          <w:sz w:val="22"/>
          <w:szCs w:val="22"/>
        </w:rPr>
        <w:t xml:space="preserve">User can upgrade tier (prorated charge + immediate effect)</w:t>
      </w:r>
    </w:p>
    <w:p>
      <w:pPr>
        <w:spacing w:after="80" w:before="0" w:line="312"/>
        <w:ind w:left="360" w:hanging="240"/>
      </w:pPr>
      <w:r>
        <w:rPr>
          <w:b/>
          <w:bCs/>
          <w:color w:val="10B981"/>
          <w:sz w:val="22"/>
          <w:szCs w:val="22"/>
        </w:rPr>
        <w:t xml:space="preserve">☐  </w:t>
      </w:r>
      <w:r>
        <w:rPr>
          <w:rFonts w:ascii="Calibri"/>
          <w:color w:val="1F2937"/>
          <w:sz w:val="22"/>
          <w:szCs w:val="22"/>
        </w:rPr>
        <w:t xml:space="preserve">Downgrades take effect at next billing cycle (no immediate change)</w:t>
      </w:r>
    </w:p>
    <w:p>
      <w:pPr>
        <w:spacing w:after="80" w:before="0" w:line="312"/>
        <w:ind w:left="360" w:hanging="240"/>
      </w:pPr>
      <w:r>
        <w:rPr>
          <w:b/>
          <w:bCs/>
          <w:color w:val="10B981"/>
          <w:sz w:val="22"/>
          <w:szCs w:val="22"/>
        </w:rPr>
        <w:t xml:space="preserve">☐  </w:t>
      </w:r>
      <w:r>
        <w:rPr>
          <w:rFonts w:ascii="Calibri"/>
          <w:color w:val="1F2937"/>
          <w:sz w:val="22"/>
          <w:szCs w:val="22"/>
        </w:rPr>
        <w:t xml:space="preserve">All adjustments + refunds logged in SubscriptionAdjustment for audit</w:t>
      </w:r>
    </w:p>
    <w:p>
      <w:pPr>
        <w:spacing w:after="80" w:before="0" w:line="312"/>
        <w:ind w:left="360" w:hanging="240"/>
      </w:pPr>
      <w:r>
        <w:rPr>
          <w:b/>
          <w:bCs/>
          <w:color w:val="10B981"/>
          <w:sz w:val="22"/>
          <w:szCs w:val="22"/>
        </w:rPr>
        <w:t xml:space="preserve">☐  </w:t>
      </w:r>
      <w:r>
        <w:rPr>
          <w:rFonts w:ascii="Calibri"/>
          <w:color w:val="1F2937"/>
          <w:sz w:val="22"/>
          <w:szCs w:val="22"/>
        </w:rPr>
        <w:t xml:space="preserve">SuperAdminHelp has 6 new entries covering all subscription features</w:t>
      </w:r>
    </w:p>
    <w:p>
      <w:r>
        <w:br w:type="page"/>
      </w:r>
    </w:p>
    <w:p>
      <w:pPr>
        <w:pStyle w:val="Heading1"/>
        <w:spacing w:after="200" w:before="360" w:line="312"/>
      </w:pPr>
      <w:bookmarkStart w:id="100045" w:name="_Toc100045"/>
      <w:r>
        <w:rPr>
          <w:rFonts w:ascii="Calibri" w:eastAsia="Microsoft YaHei"/>
          <w:b/>
          <w:bCs/>
          <w:color w:val="064E3B"/>
          <w:sz w:val="32"/>
          <w:szCs w:val="32"/>
        </w:rPr>
        <w:t xml:space="preserve">10. Implementation Tracking</w:t>
      </w:r>
      <w:bookmarkEnd w:id="100045"/>
    </w:p>
    <w:p>
      <w:pPr>
        <w:pStyle w:val="Heading2"/>
        <w:spacing w:after="140" w:before="280" w:line="312"/>
      </w:pPr>
      <w:bookmarkStart w:id="100046" w:name="_Toc100046"/>
      <w:r>
        <w:rPr>
          <w:rFonts w:ascii="Calibri" w:eastAsia="Microsoft YaHei"/>
          <w:b/>
          <w:bCs/>
          <w:color w:val="064E3B"/>
          <w:sz w:val="28"/>
          <w:szCs w:val="28"/>
        </w:rPr>
        <w:t xml:space="preserve">10.1 Phase status</w:t>
      </w:r>
      <w:bookmarkEnd w:id="100046"/>
    </w:p>
    <w:p>
      <w:pPr>
        <w:spacing w:after="120" w:before="0" w:line="312"/>
        <w:ind w:firstLine="0"/>
        <w:jc w:val="both"/>
      </w:pPr>
      <w:r>
        <w:rPr>
          <w:rFonts w:ascii="Calibri" w:eastAsia="Microsoft YaHei"/>
          <w:color w:val="1F2937"/>
          <w:sz w:val="22"/>
          <w:szCs w:val="22"/>
        </w:rPr>
        <w:t xml:space="preserve">The table below is the single source of truth for subscription system progress. It is duplicated in PROJECT_CONTEXT.md §18 so any agent starting a new session can see the current state at a glance.</w:t>
      </w:r>
    </w:p>
    <w:p>
      <w:pPr>
        <w:keepNext/>
        <w:spacing w:after="100" w:before="200"/>
        <w:jc w:val="left"/>
      </w:pPr>
      <w:r>
        <w:rPr>
          <w:rFonts w:ascii="Calibri" w:eastAsia="Microsoft YaHei"/>
          <w:b/>
          <w:bCs/>
          <w:color w:val="064E3B"/>
          <w:sz w:val="21"/>
          <w:szCs w:val="21"/>
        </w:rPr>
        <w:t xml:space="preserve">Table 13: Phase status tracker</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gridCol w:w="100"/>
        <w:gridCol w:w="100"/>
      </w:tblGrid>
      <w:tr>
        <w:trPr>
          <w:cantSplit/>
          <w:tblHeader/>
        </w:trPr>
        <w:tc>
          <w:tcPr>
            <w:tcW w:type="pct" w:w="8%"/>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2%"/>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Theme</w:t>
            </w:r>
          </w:p>
        </w:tc>
        <w:tc>
          <w:tcPr>
            <w:tcW w:type="pct" w:w="4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Features</w:t>
            </w:r>
          </w:p>
        </w:tc>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Effort</w:t>
            </w:r>
          </w:p>
        </w:tc>
        <w:tc>
          <w:tcPr>
            <w:tcW w:type="pct" w:w="1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Status</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P1</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Schema + Per-Shop Model</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New models + admin phone uniqueness + tier pricing</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P2</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Grace Period Lifecycle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4-stage enforcement: active → read-only → data-wiped</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P3</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Manual Payments (bKash/Nagad)</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User submission + super-admin matching + auto-extend</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P4</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Super-Admin Monitoring</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Client-wise status dashboard + revenue tracking</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P5</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 Toggle</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Gateway integration + payment-method toggle + annual billing</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 sessions</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r>
        <w:trPr>
          <w:cantSplit/>
        </w:trPr>
        <w:tc>
          <w:tcPr>
            <w:tcW w:type="pct" w:w="8%"/>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P6</w:t>
            </w:r>
          </w:p>
        </w:tc>
        <w:tc>
          <w:tcPr>
            <w:tcW w:type="pct" w:w="22%"/>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Notifications + Polish</w:t>
            </w:r>
          </w:p>
        </w:tc>
        <w:tc>
          <w:tcPr>
            <w:tcW w:type="pct" w:w="4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In-app/email alerts + onboarding + edge cases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 session</w:t>
            </w:r>
          </w:p>
        </w:tc>
        <w:tc>
          <w:tcPr>
            <w:tcW w:type="pct" w:w="1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Pending</w:t>
            </w:r>
          </w:p>
        </w:tc>
      </w:tr>
    </w:tbl>
    <w:p>
      <w:pPr>
        <w:spacing w:after="240" w:before="0" w:line="240"/>
      </w:pPr>
      <w:r>
        <w:t xml:space="preserve"/>
      </w:r>
    </w:p>
    <w:p>
      <w:pPr>
        <w:pStyle w:val="Heading2"/>
        <w:spacing w:after="140" w:before="280" w:line="312"/>
      </w:pPr>
      <w:bookmarkStart w:id="100047" w:name="_Toc100047"/>
      <w:r>
        <w:rPr>
          <w:rFonts w:ascii="Calibri" w:eastAsia="Microsoft YaHei"/>
          <w:b/>
          <w:bCs/>
          <w:color w:val="064E3B"/>
          <w:sz w:val="28"/>
          <w:szCs w:val="28"/>
        </w:rPr>
        <w:t xml:space="preserve">10.2 Worklog protocol</w:t>
      </w:r>
      <w:bookmarkEnd w:id="100047"/>
    </w:p>
    <w:p>
      <w:pPr>
        <w:spacing w:after="120" w:before="0" w:line="312"/>
        <w:ind w:firstLine="0"/>
        <w:jc w:val="both"/>
      </w:pPr>
      <w:r>
        <w:rPr>
          <w:rFonts w:ascii="Calibri" w:eastAsia="Microsoft YaHei"/>
          <w:color w:val="1F2937"/>
          <w:sz w:val="22"/>
          <w:szCs w:val="22"/>
        </w:rPr>
        <w:t xml:space="preserve">Each phase gets one worklog.md entry on completion, using the Task ID pattern subscription-pN (where N is the phase number). The entry follows the standard template (Task ID / Agent / Task / Work Log / Stage Summary) and must reference this spec doc. After committing a phase, update the status column in Table 13 above and in PROJECT_CONTEXT.md §18 to 'Done' with the tag.</w:t>
      </w:r>
    </w:p>
    <w:p>
      <w:pPr>
        <w:pStyle w:val="Heading2"/>
        <w:spacing w:after="140" w:before="280" w:line="312"/>
      </w:pPr>
      <w:bookmarkStart w:id="100048" w:name="_Toc100048"/>
      <w:r>
        <w:rPr>
          <w:rFonts w:ascii="Calibri" w:eastAsia="Microsoft YaHei"/>
          <w:b/>
          <w:bCs/>
          <w:color w:val="064E3B"/>
          <w:sz w:val="28"/>
          <w:szCs w:val="28"/>
        </w:rPr>
        <w:t xml:space="preserve">10.3 Commit + tag convention</w:t>
      </w:r>
      <w:bookmarkEnd w:id="100048"/>
    </w:p>
    <w:p>
      <w:pPr>
        <w:pStyle w:val="ListParagraph"/>
        <w:numPr>
          <w:ilvl w:val="0"/>
          <w:numId w:val="1"/>
        </w:numPr>
        <w:spacing w:after="80" w:line="312"/>
      </w:pPr>
      <w:r>
        <w:rPr>
          <w:rFonts w:ascii="Calibri" w:eastAsia="Microsoft YaHei"/>
          <w:color w:val="1F2937"/>
          <w:sz w:val="22"/>
          <w:szCs w:val="22"/>
        </w:rPr>
        <w:t xml:space="preserve">Commit message: feat(subscription): P1 — schema + per-shop model + admin phone uniqueness</w:t>
      </w:r>
    </w:p>
    <w:p>
      <w:pPr>
        <w:pStyle w:val="ListParagraph"/>
        <w:numPr>
          <w:ilvl w:val="0"/>
          <w:numId w:val="1"/>
        </w:numPr>
        <w:spacing w:after="80" w:line="312"/>
      </w:pPr>
      <w:r>
        <w:rPr>
          <w:rFonts w:ascii="Calibri" w:eastAsia="Microsoft YaHei"/>
          <w:color w:val="1F2937"/>
          <w:sz w:val="22"/>
          <w:szCs w:val="22"/>
        </w:rPr>
        <w:t xml:space="preserve">Tag on phase completion: v1.8.0-subscription-p1, v1.8.1-subscription-p2, etc.</w:t>
      </w:r>
    </w:p>
    <w:p>
      <w:pPr>
        <w:pStyle w:val="ListParagraph"/>
        <w:numPr>
          <w:ilvl w:val="0"/>
          <w:numId w:val="1"/>
        </w:numPr>
        <w:spacing w:after="80" w:line="312"/>
      </w:pPr>
      <w:r>
        <w:rPr>
          <w:rFonts w:ascii="Calibri" w:eastAsia="Microsoft YaHei"/>
          <w:color w:val="1F2937"/>
          <w:sz w:val="22"/>
          <w:szCs w:val="22"/>
        </w:rPr>
        <w:t xml:space="preserve">All changes go through the pre-push guardrail (scripts/pre-push-check.sh) per DEPLOYMENT_WORKFLOW.md</w:t>
      </w:r>
    </w:p>
    <w:p>
      <w:pPr>
        <w:pStyle w:val="Heading2"/>
        <w:spacing w:after="140" w:before="280" w:line="312"/>
      </w:pPr>
      <w:bookmarkStart w:id="100049" w:name="_Toc100049"/>
      <w:r>
        <w:rPr>
          <w:rFonts w:ascii="Calibri" w:eastAsia="Microsoft YaHei"/>
          <w:b/>
          <w:bCs/>
          <w:color w:val="064E3B"/>
          <w:sz w:val="28"/>
          <w:szCs w:val="28"/>
        </w:rPr>
        <w:t xml:space="preserve">10.4 Sequencing dependencies</w:t>
      </w:r>
      <w:bookmarkEnd w:id="100049"/>
    </w:p>
    <w:p>
      <w:pPr>
        <w:spacing w:after="120" w:before="0" w:line="312"/>
        <w:ind w:firstLine="0"/>
        <w:jc w:val="both"/>
      </w:pPr>
      <w:r>
        <w:rPr>
          <w:rFonts w:ascii="Calibri" w:eastAsia="Microsoft YaHei"/>
          <w:color w:val="1F2937"/>
          <w:sz w:val="22"/>
          <w:szCs w:val="22"/>
        </w:rPr>
        <w:t xml:space="preserve">Phases are strictly sequential — each builds on the previous:</w:t>
      </w:r>
    </w:p>
    <w:p>
      <w:pPr>
        <w:pStyle w:val="ListParagraph"/>
        <w:numPr>
          <w:ilvl w:val="0"/>
          <w:numId w:val="1"/>
        </w:numPr>
        <w:spacing w:after="80" w:line="312"/>
      </w:pPr>
      <w:r>
        <w:rPr>
          <w:rFonts w:ascii="Calibri" w:eastAsia="Microsoft YaHei"/>
          <w:color w:val="1F2937"/>
          <w:sz w:val="22"/>
          <w:szCs w:val="22"/>
        </w:rPr>
        <w:t xml:space="preserve">P2 (lifecycle) depends on P1 (schema) — the stage fields + cron use the P1 models</w:t>
      </w:r>
    </w:p>
    <w:p>
      <w:pPr>
        <w:pStyle w:val="ListParagraph"/>
        <w:numPr>
          <w:ilvl w:val="0"/>
          <w:numId w:val="1"/>
        </w:numPr>
        <w:spacing w:after="80" w:line="312"/>
      </w:pPr>
      <w:r>
        <w:rPr>
          <w:rFonts w:ascii="Calibri" w:eastAsia="Microsoft YaHei"/>
          <w:color w:val="1F2937"/>
          <w:sz w:val="22"/>
          <w:szCs w:val="22"/>
        </w:rPr>
        <w:t xml:space="preserve">P3 (payments) depends on P1 (schema) + P2 (lifecycle) — payments extend subscriptions which use the stage system</w:t>
      </w:r>
    </w:p>
    <w:p>
      <w:pPr>
        <w:pStyle w:val="ListParagraph"/>
        <w:numPr>
          <w:ilvl w:val="0"/>
          <w:numId w:val="1"/>
        </w:numPr>
        <w:spacing w:after="80" w:line="312"/>
      </w:pPr>
      <w:r>
        <w:rPr>
          <w:rFonts w:ascii="Calibri" w:eastAsia="Microsoft YaHei"/>
          <w:color w:val="1F2937"/>
          <w:sz w:val="22"/>
          <w:szCs w:val="22"/>
        </w:rPr>
        <w:t xml:space="preserve">P4 (monitoring) depends on P1+P2+P3 — the dashboard shows stages + payments from all prior phases</w:t>
      </w:r>
    </w:p>
    <w:p>
      <w:pPr>
        <w:pStyle w:val="ListParagraph"/>
        <w:numPr>
          <w:ilvl w:val="0"/>
          <w:numId w:val="1"/>
        </w:numPr>
        <w:spacing w:after="80" w:line="312"/>
      </w:pPr>
      <w:r>
        <w:rPr>
          <w:rFonts w:ascii="Calibri" w:eastAsia="Microsoft YaHei"/>
          <w:color w:val="1F2937"/>
          <w:sz w:val="22"/>
          <w:szCs w:val="22"/>
        </w:rPr>
        <w:t xml:space="preserve">P5 (SSL Commerz) depends on P3 (payments) — SSL uses the same SubscriptionInvoice + extension logic</w:t>
      </w:r>
    </w:p>
    <w:p>
      <w:pPr>
        <w:pStyle w:val="ListParagraph"/>
        <w:numPr>
          <w:ilvl w:val="0"/>
          <w:numId w:val="1"/>
        </w:numPr>
        <w:spacing w:after="80" w:line="312"/>
      </w:pPr>
      <w:r>
        <w:rPr>
          <w:rFonts w:ascii="Calibri" w:eastAsia="Microsoft YaHei"/>
          <w:color w:val="1F2937"/>
          <w:sz w:val="22"/>
          <w:szCs w:val="22"/>
        </w:rPr>
        <w:t xml:space="preserve">P6 (polish) depends on all prior phases — notifications + onboarding reference the full system</w:t>
      </w:r>
    </w:p>
    <w:p>
      <w:pPr>
        <w:pBdr>
          <w:left w:val="single" w:color="8B5CF6" w:sz="18" w:space="12"/>
        </w:pBdr>
        <w:spacing w:after="160" w:before="160" w:line="312"/>
        <w:ind w:left="240"/>
      </w:pPr>
      <w:r>
        <w:rPr>
          <w:rFonts w:ascii="Calibri" w:eastAsia="Microsoft YaHei"/>
          <w:i/>
          <w:iCs/>
          <w:color w:val="1F2937"/>
          <w:sz w:val="22"/>
          <w:szCs w:val="22"/>
        </w:rPr>
        <w:t xml:space="preserve">Recommended order: P1 → P2 → P3 → P4 → P5 → P6. No parallelism — each phase's output is the next phase's input.</w:t>
      </w:r>
    </w:p>
    <w:p>
      <w:pPr>
        <w:pStyle w:val="Heading2"/>
        <w:spacing w:after="140" w:before="280" w:line="312"/>
      </w:pPr>
      <w:bookmarkStart w:id="100050" w:name="_Toc100050"/>
      <w:r>
        <w:rPr>
          <w:rFonts w:ascii="Calibri" w:eastAsia="Microsoft YaHei"/>
          <w:b/>
          <w:bCs/>
          <w:color w:val="064E3B"/>
          <w:sz w:val="28"/>
          <w:szCs w:val="28"/>
        </w:rPr>
        <w:t xml:space="preserve">10.5 Estimated total effort</w:t>
      </w:r>
      <w:bookmarkEnd w:id="100050"/>
    </w:p>
    <w:p>
      <w:pPr>
        <w:keepNext/>
        <w:spacing w:after="100" w:before="200"/>
        <w:jc w:val="left"/>
      </w:pPr>
      <w:r>
        <w:rPr>
          <w:rFonts w:ascii="Calibri" w:eastAsia="Microsoft YaHei"/>
          <w:b/>
          <w:bCs/>
          <w:color w:val="064E3B"/>
          <w:sz w:val="21"/>
          <w:szCs w:val="21"/>
        </w:rPr>
        <w:t xml:space="preserve">Table 14: Effort estimate per phase</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Phase</w:t>
            </w:r>
          </w:p>
        </w:tc>
        <w:tc>
          <w:tcPr>
            <w:tcW w:type="pct" w:w="2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Sessions</w:t>
            </w:r>
          </w:p>
        </w:tc>
        <w:tc>
          <w:tcPr>
            <w:tcW w:type="pct" w:w="6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Notes</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P1</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Schema + config. Largest schema phase.</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P2</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Cron + server guard + client UI adaptation. Largest enforcement phase.</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P3</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Payment submission + matching engine. Core business logic.</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P4</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Dashboard + client detail. UI-heavy.</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P5</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1–2</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integration. Requires SSL Commerz account.</w:t>
            </w:r>
          </w:p>
        </w:tc>
      </w:tr>
      <w:tr>
        <w:trPr>
          <w:cantSplit/>
        </w:trPr>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P6</w:t>
            </w:r>
          </w:p>
        </w:tc>
        <w:tc>
          <w:tcPr>
            <w:tcW w:type="pct" w:w="2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1</w:t>
            </w:r>
          </w:p>
        </w:tc>
        <w:tc>
          <w:tcPr>
            <w:tcW w:type="pct" w:w="6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Notifications + onboarding + edge cases</w:t>
            </w:r>
          </w:p>
        </w:tc>
      </w:tr>
      <w:tr>
        <w:trPr>
          <w:cantSplit/>
        </w:trPr>
        <w:tc>
          <w:tcPr>
            <w:tcW w:type="pct" w:w="15%"/>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Total</w:t>
            </w:r>
          </w:p>
        </w:tc>
        <w:tc>
          <w:tcPr>
            <w:tcW w:type="pct" w:w="20%"/>
            <w:shd w:fill="F0FDF4" w:val="clear"/>
            <w:tcMar>
              <w:top w:type="dxa" w:w="100"/>
              <w:left w:type="dxa" w:w="120"/>
              <w:bottom w:type="dxa" w:w="100"/>
              <w:right w:type="dxa" w:w="120"/>
            </w:tcMar>
          </w:tcPr>
          <w:p>
            <w:pPr>
              <w:spacing w:line="280"/>
              <w:jc w:val="left"/>
            </w:pPr>
            <w:r>
              <w:rPr>
                <w:rFonts w:ascii="Calibri" w:eastAsia="Microsoft YaHei"/>
                <w:b/>
                <w:bCs/>
                <w:color w:val="1F2937"/>
                <w:sz w:val="20"/>
                <w:szCs w:val="20"/>
              </w:rPr>
              <w:t xml:space="preserve">8–11 sessions</w:t>
            </w:r>
          </w:p>
        </w:tc>
        <w:tc>
          <w:tcPr>
            <w:tcW w:type="pct" w:w="65%"/>
            <w:shd w:fill="F0FDF4" w:val="clear"/>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Approx 2–3 weeks of part-time work</w:t>
            </w:r>
          </w:p>
        </w:tc>
      </w:tr>
    </w:tbl>
    <w:p>
      <w:pPr>
        <w:pStyle w:val="Heading2"/>
        <w:spacing w:after="140" w:before="280" w:line="312"/>
      </w:pPr>
      <w:bookmarkStart w:id="100051" w:name="_Toc100051"/>
      <w:r>
        <w:rPr>
          <w:rFonts w:ascii="Calibri" w:eastAsia="Microsoft YaHei"/>
          <w:b/>
          <w:bCs/>
          <w:color w:val="064E3B"/>
          <w:sz w:val="28"/>
          <w:szCs w:val="28"/>
        </w:rPr>
        <w:t xml:space="preserve">10.6 Risk + mitigation</w:t>
      </w:r>
      <w:bookmarkEnd w:id="100051"/>
    </w:p>
    <w:p>
      <w:pPr>
        <w:keepNext/>
        <w:spacing w:after="100" w:before="200"/>
        <w:jc w:val="left"/>
      </w:pPr>
      <w:r>
        <w:rPr>
          <w:rFonts w:ascii="Calibri" w:eastAsia="Microsoft YaHei"/>
          <w:b/>
          <w:bCs/>
          <w:color w:val="064E3B"/>
          <w:sz w:val="21"/>
          <w:szCs w:val="21"/>
        </w:rPr>
        <w:t xml:space="preserve">Table 15: Key risks and mitigations</w:t>
      </w:r>
    </w:p>
    <w:tbl>
      <w:tblPr>
        <w:tblW w:type="pct" w:w="100%"/>
        <w:tblBorders>
          <w:top w:val="single" w:color="10B981" w:sz="6"/>
          <w:left w:val="none"/>
          <w:bottom w:val="single" w:color="10B981" w:sz="6"/>
          <w:right w:val="none"/>
          <w:insideH w:val="single" w:color="E5E7EB" w:sz="2"/>
          <w:insideV w:val="none"/>
        </w:tblBorders>
        <w:tblLayout w:type="fixed"/>
      </w:tblPr>
      <w:tblGrid>
        <w:gridCol w:w="100"/>
        <w:gridCol w:w="100"/>
        <w:gridCol w:w="100"/>
      </w:tblGrid>
      <w:tr>
        <w:trPr>
          <w:cantSplit/>
          <w:tblHeader/>
        </w:trPr>
        <w:tc>
          <w:tcPr>
            <w:tcW w:type="pct" w:w="3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Risk</w:t>
            </w:r>
          </w:p>
        </w:tc>
        <w:tc>
          <w:tcPr>
            <w:tcW w:type="pct" w:w="15%"/>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Likelihood</w:t>
            </w:r>
          </w:p>
        </w:tc>
        <w:tc>
          <w:tcPr>
            <w:tcW w:type="pct" w:w="50%"/>
            <w:shd w:fill="064E3B" w:val="clear"/>
            <w:tcMar>
              <w:top w:type="dxa" w:w="100"/>
              <w:left w:type="dxa" w:w="120"/>
              <w:bottom w:type="dxa" w:w="100"/>
              <w:right w:type="dxa" w:w="120"/>
            </w:tcMar>
          </w:tcPr>
          <w:p>
            <w:pPr>
              <w:spacing w:line="280"/>
              <w:jc w:val="center"/>
            </w:pPr>
            <w:r>
              <w:rPr>
                <w:rFonts w:ascii="Calibri" w:eastAsia="Microsoft YaHei"/>
                <w:b/>
                <w:bCs/>
                <w:color w:val="FFFFFF"/>
                <w:sz w:val="20"/>
                <w:szCs w:val="20"/>
              </w:rPr>
              <w:t xml:space="preserve">Mitigation</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Data wipe is permanent + disputed</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Soft-delete with 30-day recovery window before true purge</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bKash TRX ID typos cause false rejections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High</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Auto-match with ±5 BDT tolerance + manual review queue for unmatched</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SSL Commerz callback fails silently</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Daily reconciliation cron: check pending SSL sessions vs received callbacks</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Read-only enforcement bypassed via direct API</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Medium</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Server-side guard on every write endpoint (not just client UI)</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Subscription cron misses a transition</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Idempotent cron + manual stage override in super-admin panel</w:t>
            </w:r>
          </w:p>
        </w:tc>
      </w:tr>
      <w:tr>
        <w:trPr>
          <w:cantSplit/>
        </w:trPr>
        <w:tc>
          <w:tcPr>
            <w:tcW w:type="pct" w:w="3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Price change breaks existing subscriptions</w:t>
            </w:r>
          </w:p>
        </w:tc>
        <w:tc>
          <w:tcPr>
            <w:tcW w:type="pct" w:w="15%"/>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Low</w:t>
            </w:r>
          </w:p>
        </w:tc>
        <w:tc>
          <w:tcPr>
            <w:tcW w:type="pct" w:w="50%"/>
            <w:tcMar>
              <w:top w:type="dxa" w:w="100"/>
              <w:left w:type="dxa" w:w="120"/>
              <w:bottom w:type="dxa" w:w="100"/>
              <w:right w:type="dxa" w:w="120"/>
            </w:tcMar>
          </w:tcPr>
          <w:p>
            <w:pPr>
              <w:spacing w:line="280"/>
              <w:jc w:val="left"/>
            </w:pPr>
            <w:r>
              <w:rPr>
                <w:rFonts w:ascii="Calibri" w:eastAsia="Microsoft YaHei"/>
                <w:b w:val="false"/>
                <w:bCs w:val="false"/>
                <w:color w:val="1F2937"/>
                <w:sz w:val="20"/>
                <w:szCs w:val="20"/>
              </w:rPr>
              <w:t xml:space="preserve">Price changes apply to new invoices only; existing subscriptions keep their price until renewal</w:t>
            </w:r>
          </w:p>
        </w:tc>
      </w:tr>
    </w:tbl>
    <w:sectPr>
      <w:headerReference w:type="default" r:id="rId7"/>
      <w:footerReference w:type="default" r:id="rId8"/>
      <w:type w:val="nextPage"/>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6B7280"/>
        <w:sz w:val="18"/>
        <w:szCs w:val="18"/>
      </w:rPr>
      <w:t xml:space="preserve">InventoryOS — Subscription Management System  |  Page </w:t>
    </w:r>
    <w:r>
      <w:rPr>
        <w:rFonts w:ascii="Calibri"/>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0B981" w:sz="4" w:space="4"/>
      </w:pBdr>
      <w:jc w:val="right"/>
    </w:pPr>
    <w:r>
      <w:rPr>
        <w:rFonts w:ascii="Calibri"/>
        <w:i/>
        <w:iCs/>
        <w:color w:val="6B7280"/>
        <w:sz w:val="18"/>
        <w:szCs w:val="18"/>
      </w:rPr>
      <w:t xml:space="preserve">Subscription Management System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F2937"/>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pPr>
      <w:outlineLvl w:val="0"/>
    </w:pPr>
    <w:name w:val="Heading 1"/>
    <w:basedOn w:val="Normal"/>
    <w:next w:val="Normal"/>
    <w:qFormat/>
    <w:rPr>
      <w:rFonts w:ascii="Calibri"/>
      <w:b/>
      <w:bCs/>
      <w:color w:val="064E3B"/>
      <w:sz w:val="32"/>
      <w:szCs w:val="32"/>
    </w:rPr>
  </w:style>
  <w:style w:type="paragraph" w:styleId="Heading2">
    <w:pPr>
      <w:outlineLvl w:val="1"/>
    </w:pPr>
    <w:name w:val="Heading 2"/>
    <w:basedOn w:val="Normal"/>
    <w:next w:val="Normal"/>
    <w:qFormat/>
    <w:rPr>
      <w:rFonts w:ascii="Calibri"/>
      <w:b/>
      <w:bCs/>
      <w:color w:val="064E3B"/>
      <w:sz w:val="28"/>
      <w:szCs w:val="28"/>
    </w:rPr>
  </w:style>
  <w:style w:type="paragraph" w:styleId="Heading3">
    <w:pPr>
      <w:outlineLvl w:val="2"/>
    </w:pPr>
    <w:name w:val="Heading 3"/>
    <w:basedOn w:val="Normal"/>
    <w:next w:val="Normal"/>
    <w:qFormat/>
    <w:rPr>
      <w:rFonts w:ascii="Calibri"/>
      <w:b/>
      <w:bCs/>
      <w:color w:val="064E3B"/>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Management System Plan</dc:title>
  <dc:creator>InventoryOS</dc:creator>
  <dc:description>Phased plan for per-shop billing, grace periods, payments, and monitoring</dc:description>
  <cp:lastModifiedBy>Un-named</cp:lastModifiedBy>
  <cp:revision>1</cp:revision>
  <dcterms:created xsi:type="dcterms:W3CDTF">2026-07-04T11:20:42.950Z</dcterms:created>
  <dcterms:modified xsi:type="dcterms:W3CDTF">2026-07-04T11:20:42.950Z</dcterms:modified>
</cp:coreProperties>
</file>

<file path=docProps/custom.xml><?xml version="1.0" encoding="utf-8"?>
<Properties xmlns="http://schemas.openxmlformats.org/officeDocument/2006/custom-properties" xmlns:vt="http://schemas.openxmlformats.org/officeDocument/2006/docPropsVTypes"/>
</file>