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62F23" w:val="clear"/>
          </w:tcPr>
          <w:p>
            <w:pPr>
              <w:spacing w:before="3200"/>
            </w:pPr>
          </w:p>
          <w:p>
            <w:pPr>
              <w:pBdr>
                <w:bottom w:val="single" w:color="10B981" w:sz="6" w:space="8"/>
              </w:pBdr>
              <w:spacing w:after="500" w:line="360" w:lineRule="atLeast"/>
              <w:ind w:left="1200" w:right="800"/>
            </w:pPr>
            <w:r>
              <w:rPr>
                <w:rFonts w:ascii="Calibri"/>
                <w:b/>
                <w:bCs/>
                <w:color w:val="10B981"/>
                <w:spacing w:val="40"/>
                <w:sz w:val="18"/>
                <w:szCs w:val="18"/>
              </w:rPr>
              <w:t xml:space="preserve">F O U N D E R   R E F E R E N C E   /   J U N E   2 0 2 6</w:t>
            </w:r>
          </w:p>
          <w:p>
            <w:pPr>
              <w:spacing w:after="100" w:line="828" w:lineRule="atLeast"/>
              <w:ind w:left="1200"/>
            </w:pPr>
            <w:r>
              <w:rPr>
                <w:rFonts w:ascii="Arial"/>
                <w:b/>
                <w:bCs/>
                <w:color w:val="FFFFFF"/>
                <w:sz w:val="72"/>
                <w:szCs w:val="72"/>
              </w:rPr>
              <w:t xml:space="preserve">InventoryOS</w:t>
            </w:r>
          </w:p>
          <w:p>
            <w:pPr>
              <w:spacing w:after="320" w:line="828" w:lineRule="atLeast"/>
              <w:ind w:left="1200"/>
            </w:pPr>
            <w:r>
              <w:rPr>
                <w:rFonts w:ascii="Arial"/>
                <w:b/>
                <w:bCs/>
                <w:color w:val="FFFFFF"/>
                <w:sz w:val="72"/>
                <w:szCs w:val="72"/>
              </w:rPr>
              <w:t xml:space="preserve">Complete Feature Catalog</w:t>
            </w:r>
          </w:p>
          <w:p>
            <w:pPr>
              <w:spacing w:after="240" w:line="360" w:lineRule="atLeast"/>
              <w:ind w:left="1200"/>
            </w:pPr>
            <w:r>
              <w:rPr>
                <w:rFonts w:ascii="Arial"/>
                <w:color w:val="A7E3C6"/>
                <w:sz w:val="26"/>
                <w:szCs w:val="26"/>
              </w:rPr>
              <w:t xml:space="preserve">Everything Your Product Can Do Today</w:t>
            </w:r>
          </w:p>
          <w:p>
            <w:pPr>
              <w:spacing w:after="900" w:line="320" w:lineRule="atLeast"/>
              <w:ind w:left="1200"/>
            </w:pPr>
            <w:r>
              <w:rPr>
                <w:rFonts w:ascii="Arial"/>
                <w:i/>
                <w:iCs/>
                <w:color w:val="E8F5EE"/>
                <w:sz w:val="22"/>
                <w:szCs w:val="22"/>
              </w:rPr>
              <w:t xml:space="preserve">Technical &amp; Business Features — A Founder's Reference</w:t>
            </w:r>
          </w:p>
          <w:p>
            <w:pPr>
              <w:pBdr>
                <w:left w:val="single" w:color="10B981" w:sz="8" w:space="12"/>
              </w:pBdr>
              <w:spacing w:after="100" w:line="320"/>
              <w:ind w:left="1400"/>
            </w:pPr>
            <w:r>
              <w:rPr>
                <w:rFonts w:ascii="Arial"/>
                <w:color w:val="E8F5EE"/>
                <w:sz w:val="22"/>
                <w:szCs w:val="22"/>
              </w:rPr>
              <w:t xml:space="preserve">84 API Routes  ·  61 UI Components  ·  30 Prisma Models</w:t>
            </w:r>
          </w:p>
          <w:p>
            <w:pPr>
              <w:pBdr>
                <w:left w:val="single" w:color="10B981" w:sz="8" w:space="12"/>
              </w:pBdr>
              <w:spacing w:after="100" w:line="320"/>
              <w:ind w:left="1400"/>
            </w:pPr>
            <w:r>
              <w:rPr>
                <w:rFonts w:ascii="Arial"/>
                <w:color w:val="E8F5EE"/>
                <w:sz w:val="22"/>
                <w:szCs w:val="22"/>
              </w:rPr>
              <w:t xml:space="preserve">15 Lib Files  ·  52 Scripts  ·  6 RBAC Roles  ·  3 Subscription Tiers</w:t>
            </w:r>
          </w:p>
          <w:p>
            <w:pPr>
              <w:pBdr>
                <w:left w:val="single" w:color="10B981" w:sz="8" w:space="12"/>
              </w:pBdr>
              <w:spacing w:after="100" w:line="320"/>
              <w:ind w:left="1400"/>
            </w:pPr>
            <w:r>
              <w:rPr>
                <w:rFonts w:ascii="Arial"/>
                <w:color w:val="E8F5EE"/>
                <w:sz w:val="22"/>
                <w:szCs w:val="22"/>
              </w:rPr>
              <w:t xml:space="preserve">Tech Stack: Next.js 16 + TypeScript + Prisma 6 + PostgreSQL</w:t>
            </w:r>
          </w:p>
          <w:p>
            <w:pPr>
              <w:pBdr>
                <w:left w:val="single" w:color="10B981" w:sz="8" w:space="12"/>
              </w:pBdr>
              <w:spacing w:after="100" w:line="320"/>
              <w:ind w:left="1400"/>
            </w:pPr>
            <w:r>
              <w:rPr>
                <w:rFonts w:ascii="Arial"/>
                <w:color w:val="E8F5EE"/>
                <w:sz w:val="22"/>
                <w:szCs w:val="22"/>
              </w:rPr>
              <w:t xml:space="preserve">AI: Z.ai GLM-4 with 5-tier cost control</w:t>
            </w:r>
          </w:p>
          <w:p>
            <w:pPr>
              <w:spacing w:before="2200"/>
            </w:pPr>
          </w:p>
          <w:p>
            <w:pPr>
              <w:pBdr>
                <w:top w:val="single" w:color="10B981" w:sz="2" w:space="8"/>
              </w:pBdr>
              <w:spacing w:before="200" w:line="320"/>
              <w:ind w:left="1200" w:right="800"/>
            </w:pPr>
            <w:r>
              <w:rPr>
                <w:rFonts w:ascii="Arial"/>
                <w:color w:val="9CA3AF"/>
                <w:sz w:val="16"/>
                <w:szCs w:val="16"/>
              </w:rPr>
              <w:t xml:space="preserve">Prepared by: Super Z (SQA Architect)</w:t>
            </w:r>
            <w:r>
              <w:rPr>
                <w:color w:val="9CA3AF"/>
                <w:sz w:val="16"/>
                <w:szCs w:val="16"/>
              </w:rPr>
              <w:t xml:space="preserve">                                        </w:t>
            </w:r>
            <w:r>
              <w:rPr>
                <w:rFonts w:ascii="Arial"/>
                <w:color w:val="9CA3AF"/>
                <w:sz w:val="16"/>
                <w:szCs w:val="16"/>
              </w:rPr>
              <w:t xml:space="preserve">Confidential — Internal Reference</w:t>
            </w:r>
          </w:p>
        </w:tc>
      </w:tr>
    </w:tbl>
    <w:p>
      <w:pPr>
        <w:sectPr>
          <w:pgSz w:w="11906" w:h="16838" w:orient="portrait"/>
          <w:pgMar w:top="0" w:right="0" w:bottom="0" w:left="0" w:header="708" w:footer="708" w:gutter="0"/>
          <w:pgNumType/>
          <w:docGrid w:linePitch="360"/>
        </w:sectPr>
      </w:pPr>
    </w:p>
    <w:p>
      <w:pPr>
        <w:spacing w:after="360" w:before="480" w:line="360"/>
        <w:jc w:val="center"/>
      </w:pPr>
      <w:r>
        <w:rPr>
          <w:rFonts w:ascii="Calibri" w:eastAsia="Microsoft YaHei"/>
          <w:b/>
          <w:bCs/>
          <w:color w:val="064E3B"/>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How to Use This Document</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Quick-Glance Asset Summary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1. Technical Foundation</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1.1 Tech Stack</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1.2 Architecture</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2. Authentication &amp; Authorization</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2.1 Authentication</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2.2 RBAC (Role-Based Access Control)</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3. Database &amp; Caching</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3.1 Database Layer</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3.2 Caching Layer</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4. AI Infrastructure</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4.1 AI Cost Control</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4.2 AI Response Cache</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4.3 SQL Router (Zero-Token Path)</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4.4 Fallback System</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4.5 AI Usage Logging</w:t>
            </w:r>
            <w:r>
              <w:tab/>
            </w:r>
            <w:r>
              <w:fldChar w:fldCharType="begin"/>
            </w:r>
            <w:r>
              <w:instrText xml:space="preserve"> PAGEREF _Toc100016 \h </w:instrText>
            </w:r>
            <w:r>
              <w:fldChar w:fldCharType="separate"/>
            </w:r>
            <w:r>
              <w:t>7</w:t>
            </w:r>
            <w:r>
              <w:fldChar w:fldCharType="end"/>
            </w:r>
          </w:hyperlink>
        </w:p>
        <w:p>
          <w:pPr>
            <w:pStyle w:val="9"/>
            <w:tabs>
              <w:tab w:val="right" w:leader="dot" w:pos="9026"/>
            </w:tabs>
            <w:spacing w:before="120" w:after="60"/>
          </w:pPr>
          <w:hyperlink w:anchor="_Toc100017" w:history="1">
            <w:r>
              <w:rPr>
                <w:rStyle w:val="Hyperlink"/>
              </w:rPr>
              <w:t>5. Background Jobs &amp; Monitoring</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5.1 Cron Jobs</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5.2 Error Tracking &amp; Monitoring</w:t>
            </w:r>
            <w:r>
              <w:tab/>
            </w:r>
            <w:r>
              <w:fldChar w:fldCharType="begin"/>
            </w:r>
            <w:r>
              <w:instrText xml:space="preserve"> PAGEREF _Toc100019 \h </w:instrText>
            </w:r>
            <w:r>
              <w:fldChar w:fldCharType="separate"/>
            </w:r>
            <w:r>
              <w:t>8</w:t>
            </w:r>
            <w:r>
              <w:fldChar w:fldCharType="end"/>
            </w:r>
          </w:hyperlink>
        </w:p>
        <w:p>
          <w:pPr>
            <w:pStyle w:val="9"/>
            <w:tabs>
              <w:tab w:val="right" w:leader="dot" w:pos="9026"/>
            </w:tabs>
            <w:spacing w:before="120" w:after="60"/>
          </w:pPr>
          <w:hyperlink w:anchor="_Toc100020" w:history="1">
            <w:r>
              <w:rPr>
                <w:rStyle w:val="Hyperlink"/>
              </w:rPr>
              <w:t>6. DevOps, Deployment &amp; Backup</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6.1 DevOps Infrastructure</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6.2 Backup &amp; Recovery</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6.3 Migration Tooling</w:t>
            </w:r>
            <w:r>
              <w:tab/>
            </w:r>
            <w:r>
              <w:fldChar w:fldCharType="begin"/>
            </w:r>
            <w:r>
              <w:instrText xml:space="preserve"> PAGEREF _Toc100023 \h </w:instrText>
            </w:r>
            <w:r>
              <w:fldChar w:fldCharType="separate"/>
            </w:r>
            <w:r>
              <w:t>9</w:t>
            </w:r>
            <w:r>
              <w:fldChar w:fldCharType="end"/>
            </w:r>
          </w:hyperlink>
        </w:p>
        <w:p>
          <w:pPr>
            <w:pStyle w:val="9"/>
            <w:tabs>
              <w:tab w:val="right" w:leader="dot" w:pos="9026"/>
            </w:tabs>
            <w:spacing w:before="120" w:after="60"/>
          </w:pPr>
          <w:hyperlink w:anchor="_Toc100024" w:history="1">
            <w:r>
              <w:rPr>
                <w:rStyle w:val="Hyperlink"/>
              </w:rPr>
              <w:t>7. Security, Super Admin &amp; Data Portability</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7.1 Security</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7.2 Super Admin</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7.3 Data Portability</w:t>
            </w:r>
            <w:r>
              <w:tab/>
            </w:r>
            <w:r>
              <w:fldChar w:fldCharType="begin"/>
            </w:r>
            <w:r>
              <w:instrText xml:space="preserve"> PAGEREF _Toc100027 \h </w:instrText>
            </w:r>
            <w:r>
              <w:fldChar w:fldCharType="separate"/>
            </w:r>
            <w:r>
              <w:t>11</w:t>
            </w:r>
            <w:r>
              <w:fldChar w:fldCharType="end"/>
            </w:r>
          </w:hyperlink>
        </w:p>
        <w:p>
          <w:pPr>
            <w:pStyle w:val="9"/>
            <w:tabs>
              <w:tab w:val="right" w:leader="dot" w:pos="9026"/>
            </w:tabs>
            <w:spacing w:before="120" w:after="60"/>
          </w:pPr>
          <w:hyperlink w:anchor="_Toc100028" w:history="1">
            <w:r>
              <w:rPr>
                <w:rStyle w:val="Hyperlink"/>
              </w:rPr>
              <w:t>8. Product &amp; Inventory Management</w:t>
            </w:r>
            <w:r>
              <w:tab/>
            </w:r>
            <w:r>
              <w:fldChar w:fldCharType="begin"/>
            </w:r>
            <w:r>
              <w:instrText xml:space="preserve"> PAGEREF _Toc100028 \h </w:instrText>
            </w:r>
            <w:r>
              <w:fldChar w:fldCharType="separate"/>
            </w:r>
            <w:r>
              <w:t>12</w:t>
            </w:r>
            <w:r>
              <w:fldChar w:fldCharType="end"/>
            </w:r>
          </w:hyperlink>
        </w:p>
        <w:p>
          <w:pPr>
            <w:pStyle w:val="11"/>
            <w:ind w:left="360"/>
            <w:tabs>
              <w:tab w:val="right" w:leader="dot" w:pos="9026"/>
            </w:tabs>
            <w:spacing w:before="120" w:after="60"/>
          </w:pPr>
          <w:hyperlink w:anchor="_Toc100029" w:history="1">
            <w:r>
              <w:rPr>
                <w:rStyle w:val="Hyperlink"/>
              </w:rPr>
              <w:t>8.1 Product Master with Pharmacy-Specific Fields</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8.2 Product List &amp; Search</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8.3 Product Detail View</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8.4 Category Management with Hierarchy</w:t>
            </w:r>
            <w:r>
              <w:tab/>
            </w:r>
            <w:r>
              <w:fldChar w:fldCharType="begin"/>
            </w:r>
            <w:r>
              <w:instrText xml:space="preserve"> PAGEREF _Toc100032 \h </w:instrText>
            </w:r>
            <w:r>
              <w:fldChar w:fldCharType="separate"/>
            </w:r>
            <w:r>
              <w:t>13</w:t>
            </w:r>
            <w:r>
              <w:fldChar w:fldCharType="end"/>
            </w:r>
          </w:hyperlink>
        </w:p>
        <w:p>
          <w:pPr>
            <w:pStyle w:val="11"/>
            <w:ind w:left="360"/>
            <w:tabs>
              <w:tab w:val="right" w:leader="dot" w:pos="9026"/>
            </w:tabs>
            <w:spacing w:before="120" w:after="60"/>
          </w:pPr>
          <w:hyperlink w:anchor="_Toc100033" w:history="1">
            <w:r>
              <w:rPr>
                <w:rStyle w:val="Hyperlink"/>
              </w:rPr>
              <w:t>8.5 Batch Tracking with Auto-Status</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8.6 Stock Adjustments</w:t>
            </w:r>
            <w:r>
              <w:tab/>
            </w:r>
            <w:r>
              <w:fldChar w:fldCharType="begin"/>
            </w:r>
            <w:r>
              <w:instrText xml:space="preserve"> PAGEREF _Toc100034 \h </w:instrText>
            </w:r>
            <w:r>
              <w:fldChar w:fldCharType="separate"/>
            </w:r>
            <w:r>
              <w:t>13</w:t>
            </w:r>
            <w:r>
              <w:fldChar w:fldCharType="end"/>
            </w:r>
          </w:hyperlink>
        </w:p>
        <w:p>
          <w:pPr>
            <w:pStyle w:val="11"/>
            <w:ind w:left="360"/>
            <w:tabs>
              <w:tab w:val="right" w:leader="dot" w:pos="9026"/>
            </w:tabs>
            <w:spacing w:before="120" w:after="60"/>
          </w:pPr>
          <w:hyperlink w:anchor="_Toc100035" w:history="1">
            <w:r>
              <w:rPr>
                <w:rStyle w:val="Hyperlink"/>
              </w:rPr>
              <w:t>8.7 FEFO Allocation Engine</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8.8 Quarantine, Dispose, and Return Workflows</w:t>
            </w:r>
            <w:r>
              <w:tab/>
            </w:r>
            <w:r>
              <w:fldChar w:fldCharType="begin"/>
            </w:r>
            <w:r>
              <w:instrText xml:space="preserve"> PAGEREF _Toc100036 \h </w:instrText>
            </w:r>
            <w:r>
              <w:fldChar w:fldCharType="separate"/>
            </w:r>
            <w:r>
              <w:t>14</w:t>
            </w:r>
            <w:r>
              <w:fldChar w:fldCharType="end"/>
            </w:r>
          </w:hyperlink>
        </w:p>
        <w:p>
          <w:pPr>
            <w:pStyle w:val="11"/>
            <w:ind w:left="360"/>
            <w:tabs>
              <w:tab w:val="right" w:leader="dot" w:pos="9026"/>
            </w:tabs>
            <w:spacing w:before="120" w:after="60"/>
          </w:pPr>
          <w:hyperlink w:anchor="_Toc100037" w:history="1">
            <w:r>
              <w:rPr>
                <w:rStyle w:val="Hyperlink"/>
              </w:rPr>
              <w:t>8.9 Bulk Batch Actions</w:t>
            </w:r>
            <w:r>
              <w:tab/>
            </w:r>
            <w:r>
              <w:fldChar w:fldCharType="begin"/>
            </w:r>
            <w:r>
              <w:instrText xml:space="preserve"> PAGEREF _Toc100037 \h </w:instrText>
            </w:r>
            <w:r>
              <w:fldChar w:fldCharType="separate"/>
            </w:r>
            <w:r>
              <w:t>14</w:t>
            </w:r>
            <w:r>
              <w:fldChar w:fldCharType="end"/>
            </w:r>
          </w:hyperlink>
        </w:p>
        <w:p>
          <w:pPr>
            <w:pStyle w:val="9"/>
            <w:tabs>
              <w:tab w:val="right" w:leader="dot" w:pos="9026"/>
            </w:tabs>
            <w:spacing w:before="120" w:after="60"/>
          </w:pPr>
          <w:hyperlink w:anchor="_Toc100038" w:history="1">
            <w:r>
              <w:rPr>
                <w:rStyle w:val="Hyperlink"/>
              </w:rPr>
              <w:t>9. Sales &amp; Dispensing</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9.1 Quick Dispense (3-Tap POS)</w:t>
            </w:r>
            <w:r>
              <w:tab/>
            </w:r>
            <w:r>
              <w:fldChar w:fldCharType="begin"/>
            </w:r>
            <w:r>
              <w:instrText xml:space="preserve"> PAGEREF _Toc100039 \h </w:instrText>
            </w:r>
            <w:r>
              <w:fldChar w:fldCharType="separate"/>
            </w:r>
            <w:r>
              <w:t>15</w:t>
            </w:r>
            <w:r>
              <w:fldChar w:fldCharType="end"/>
            </w:r>
          </w:hyperlink>
        </w:p>
        <w:p>
          <w:pPr>
            <w:pStyle w:val="11"/>
            <w:ind w:left="360"/>
            <w:tabs>
              <w:tab w:val="right" w:leader="dot" w:pos="9026"/>
            </w:tabs>
            <w:spacing w:before="120" w:after="60"/>
          </w:pPr>
          <w:hyperlink w:anchor="_Toc100040" w:history="1">
            <w:r>
              <w:rPr>
                <w:rStyle w:val="Hyperlink"/>
              </w:rPr>
              <w:t>9.2 Full Sale (Invoice) Creation</w:t>
            </w:r>
            <w:r>
              <w:tab/>
            </w:r>
            <w:r>
              <w:fldChar w:fldCharType="begin"/>
            </w:r>
            <w:r>
              <w:instrText xml:space="preserve"> PAGEREF _Toc100040 \h </w:instrText>
            </w:r>
            <w:r>
              <w:fldChar w:fldCharType="separate"/>
            </w:r>
            <w:r>
              <w:t>15</w:t>
            </w:r>
            <w:r>
              <w:fldChar w:fldCharType="end"/>
            </w:r>
          </w:hyperlink>
        </w:p>
        <w:p>
          <w:pPr>
            <w:pStyle w:val="11"/>
            <w:ind w:left="360"/>
            <w:tabs>
              <w:tab w:val="right" w:leader="dot" w:pos="9026"/>
            </w:tabs>
            <w:spacing w:before="120" w:after="60"/>
          </w:pPr>
          <w:hyperlink w:anchor="_Toc100041" w:history="1">
            <w:r>
              <w:rPr>
                <w:rStyle w:val="Hyperlink"/>
              </w:rPr>
              <w:t>9.3 Sale Detail View</w:t>
            </w:r>
            <w:r>
              <w:tab/>
            </w:r>
            <w:r>
              <w:fldChar w:fldCharType="begin"/>
            </w:r>
            <w:r>
              <w:instrText xml:space="preserve"> PAGEREF _Toc100041 \h </w:instrText>
            </w:r>
            <w:r>
              <w:fldChar w:fldCharType="separate"/>
            </w:r>
            <w:r>
              <w:t>15</w:t>
            </w:r>
            <w:r>
              <w:fldChar w:fldCharType="end"/>
            </w:r>
          </w:hyperlink>
        </w:p>
        <w:p>
          <w:pPr>
            <w:pStyle w:val="11"/>
            <w:ind w:left="360"/>
            <w:tabs>
              <w:tab w:val="right" w:leader="dot" w:pos="9026"/>
            </w:tabs>
            <w:spacing w:before="120" w:after="60"/>
          </w:pPr>
          <w:hyperlink w:anchor="_Toc100042" w:history="1">
            <w:r>
              <w:rPr>
                <w:rStyle w:val="Hyperlink"/>
              </w:rPr>
              <w:t>9.4 Returns &amp; Refunds</w:t>
            </w:r>
            <w:r>
              <w:tab/>
            </w:r>
            <w:r>
              <w:fldChar w:fldCharType="begin"/>
            </w:r>
            <w:r>
              <w:instrText xml:space="preserve"> PAGEREF _Toc100042 \h </w:instrText>
            </w:r>
            <w:r>
              <w:fldChar w:fldCharType="separate"/>
            </w:r>
            <w:r>
              <w:t>15</w:t>
            </w:r>
            <w:r>
              <w:fldChar w:fldCharType="end"/>
            </w:r>
          </w:hyperlink>
        </w:p>
        <w:p>
          <w:pPr>
            <w:pStyle w:val="11"/>
            <w:ind w:left="360"/>
            <w:tabs>
              <w:tab w:val="right" w:leader="dot" w:pos="9026"/>
            </w:tabs>
            <w:spacing w:before="120" w:after="60"/>
          </w:pPr>
          <w:hyperlink w:anchor="_Toc100043" w:history="1">
            <w:r>
              <w:rPr>
                <w:rStyle w:val="Hyperlink"/>
              </w:rPr>
              <w:t>9.5 Discount Rules Engine</w:t>
            </w:r>
            <w:r>
              <w:tab/>
            </w:r>
            <w:r>
              <w:fldChar w:fldCharType="begin"/>
            </w:r>
            <w:r>
              <w:instrText xml:space="preserve"> PAGEREF _Toc100043 \h </w:instrText>
            </w:r>
            <w:r>
              <w:fldChar w:fldCharType="separate"/>
            </w:r>
            <w:r>
              <w:t>16</w:t>
            </w:r>
            <w:r>
              <w:fldChar w:fldCharType="end"/>
            </w:r>
          </w:hyperlink>
        </w:p>
        <w:p>
          <w:pPr>
            <w:pStyle w:val="11"/>
            <w:ind w:left="360"/>
            <w:tabs>
              <w:tab w:val="right" w:leader="dot" w:pos="9026"/>
            </w:tabs>
            <w:spacing w:before="120" w:after="60"/>
          </w:pPr>
          <w:hyperlink w:anchor="_Toc100044" w:history="1">
            <w:r>
              <w:rPr>
                <w:rStyle w:val="Hyperlink"/>
              </w:rPr>
              <w:t>9.6 FEFO Override with Audit</w:t>
            </w:r>
            <w:r>
              <w:tab/>
            </w:r>
            <w:r>
              <w:fldChar w:fldCharType="begin"/>
            </w:r>
            <w:r>
              <w:instrText xml:space="preserve"> PAGEREF _Toc100044 \h </w:instrText>
            </w:r>
            <w:r>
              <w:fldChar w:fldCharType="separate"/>
            </w:r>
            <w:r>
              <w:t>16</w:t>
            </w:r>
            <w:r>
              <w:fldChar w:fldCharType="end"/>
            </w:r>
          </w:hyperlink>
        </w:p>
        <w:p>
          <w:pPr>
            <w:pStyle w:val="11"/>
            <w:ind w:left="360"/>
            <w:tabs>
              <w:tab w:val="right" w:leader="dot" w:pos="9026"/>
            </w:tabs>
            <w:spacing w:before="120" w:after="60"/>
          </w:pPr>
          <w:hyperlink w:anchor="_Toc100045" w:history="1">
            <w:r>
              <w:rPr>
                <w:rStyle w:val="Hyperlink"/>
              </w:rPr>
              <w:t>9.7 Sale Cancellation</w:t>
            </w:r>
            <w:r>
              <w:tab/>
            </w:r>
            <w:r>
              <w:fldChar w:fldCharType="begin"/>
            </w:r>
            <w:r>
              <w:instrText xml:space="preserve"> PAGEREF _Toc100045 \h </w:instrText>
            </w:r>
            <w:r>
              <w:fldChar w:fldCharType="separate"/>
            </w:r>
            <w:r>
              <w:t>16</w:t>
            </w:r>
            <w:r>
              <w:fldChar w:fldCharType="end"/>
            </w:r>
          </w:hyperlink>
        </w:p>
        <w:p>
          <w:pPr>
            <w:pStyle w:val="11"/>
            <w:ind w:left="360"/>
            <w:tabs>
              <w:tab w:val="right" w:leader="dot" w:pos="9026"/>
            </w:tabs>
            <w:spacing w:before="120" w:after="60"/>
          </w:pPr>
          <w:hyperlink w:anchor="_Toc100046" w:history="1">
            <w:r>
              <w:rPr>
                <w:rStyle w:val="Hyperlink"/>
              </w:rPr>
              <w:t>9.8 Payment Methods</w:t>
            </w:r>
            <w:r>
              <w:tab/>
            </w:r>
            <w:r>
              <w:fldChar w:fldCharType="begin"/>
            </w:r>
            <w:r>
              <w:instrText xml:space="preserve"> PAGEREF _Toc100046 \h </w:instrText>
            </w:r>
            <w:r>
              <w:fldChar w:fldCharType="separate"/>
            </w:r>
            <w:r>
              <w:t>16</w:t>
            </w:r>
            <w:r>
              <w:fldChar w:fldCharType="end"/>
            </w:r>
          </w:hyperlink>
        </w:p>
        <w:p>
          <w:pPr>
            <w:pStyle w:val="9"/>
            <w:tabs>
              <w:tab w:val="right" w:leader="dot" w:pos="9026"/>
            </w:tabs>
            <w:spacing w:before="120" w:after="60"/>
          </w:pPr>
          <w:hyperlink w:anchor="_Toc100047" w:history="1">
            <w:r>
              <w:rPr>
                <w:rStyle w:val="Hyperlink"/>
              </w:rPr>
              <w:t>10. Purchases, Suppliers &amp; Customers</w:t>
            </w:r>
            <w:r>
              <w:tab/>
            </w:r>
            <w:r>
              <w:fldChar w:fldCharType="begin"/>
            </w:r>
            <w:r>
              <w:instrText xml:space="preserve"> PAGEREF _Toc100047 \h </w:instrText>
            </w:r>
            <w:r>
              <w:fldChar w:fldCharType="separate"/>
            </w:r>
            <w:r>
              <w:t>17</w:t>
            </w:r>
            <w:r>
              <w:fldChar w:fldCharType="end"/>
            </w:r>
          </w:hyperlink>
        </w:p>
        <w:p>
          <w:pPr>
            <w:pStyle w:val="11"/>
            <w:ind w:left="360"/>
            <w:tabs>
              <w:tab w:val="right" w:leader="dot" w:pos="9026"/>
            </w:tabs>
            <w:spacing w:before="120" w:after="60"/>
          </w:pPr>
          <w:hyperlink w:anchor="_Toc100048" w:history="1">
            <w:r>
              <w:rPr>
                <w:rStyle w:val="Hyperlink"/>
              </w:rPr>
              <w:t>10.1 Supplier Master</w:t>
            </w:r>
            <w:r>
              <w:tab/>
            </w:r>
            <w:r>
              <w:fldChar w:fldCharType="begin"/>
            </w:r>
            <w:r>
              <w:instrText xml:space="preserve"> PAGEREF _Toc100048 \h </w:instrText>
            </w:r>
            <w:r>
              <w:fldChar w:fldCharType="separate"/>
            </w:r>
            <w:r>
              <w:t>17</w:t>
            </w:r>
            <w:r>
              <w:fldChar w:fldCharType="end"/>
            </w:r>
          </w:hyperlink>
        </w:p>
        <w:p>
          <w:pPr>
            <w:pStyle w:val="11"/>
            <w:ind w:left="360"/>
            <w:tabs>
              <w:tab w:val="right" w:leader="dot" w:pos="9026"/>
            </w:tabs>
            <w:spacing w:before="120" w:after="60"/>
          </w:pPr>
          <w:hyperlink w:anchor="_Toc100049" w:history="1">
            <w:r>
              <w:rPr>
                <w:rStyle w:val="Hyperlink"/>
              </w:rPr>
              <w:t>10.2 Purchase Order Creation</w:t>
            </w:r>
            <w:r>
              <w:tab/>
            </w:r>
            <w:r>
              <w:fldChar w:fldCharType="begin"/>
            </w:r>
            <w:r>
              <w:instrText xml:space="preserve"> PAGEREF _Toc100049 \h </w:instrText>
            </w:r>
            <w:r>
              <w:fldChar w:fldCharType="separate"/>
            </w:r>
            <w:r>
              <w:t>17</w:t>
            </w:r>
            <w:r>
              <w:fldChar w:fldCharType="end"/>
            </w:r>
          </w:hyperlink>
        </w:p>
        <w:p>
          <w:pPr>
            <w:pStyle w:val="11"/>
            <w:ind w:left="360"/>
            <w:tabs>
              <w:tab w:val="right" w:leader="dot" w:pos="9026"/>
            </w:tabs>
            <w:spacing w:before="120" w:after="60"/>
          </w:pPr>
          <w:hyperlink w:anchor="_Toc100050" w:history="1">
            <w:r>
              <w:rPr>
                <w:rStyle w:val="Hyperlink"/>
              </w:rPr>
              <w:t>10.3 Purchase Returns to Supplier</w:t>
            </w:r>
            <w:r>
              <w:tab/>
            </w:r>
            <w:r>
              <w:fldChar w:fldCharType="begin"/>
            </w:r>
            <w:r>
              <w:instrText xml:space="preserve"> PAGEREF _Toc100050 \h </w:instrText>
            </w:r>
            <w:r>
              <w:fldChar w:fldCharType="separate"/>
            </w:r>
            <w:r>
              <w:t>17</w:t>
            </w:r>
            <w:r>
              <w:fldChar w:fldCharType="end"/>
            </w:r>
          </w:hyperlink>
        </w:p>
        <w:p>
          <w:pPr>
            <w:pStyle w:val="11"/>
            <w:ind w:left="360"/>
            <w:tabs>
              <w:tab w:val="right" w:leader="dot" w:pos="9026"/>
            </w:tabs>
            <w:spacing w:before="120" w:after="60"/>
          </w:pPr>
          <w:hyperlink w:anchor="_Toc100051" w:history="1">
            <w:r>
              <w:rPr>
                <w:rStyle w:val="Hyperlink"/>
              </w:rPr>
              <w:t>10.4 Customer Management</w:t>
            </w:r>
            <w:r>
              <w:tab/>
            </w:r>
            <w:r>
              <w:fldChar w:fldCharType="begin"/>
            </w:r>
            <w:r>
              <w:instrText xml:space="preserve"> PAGEREF _Toc100051 \h </w:instrText>
            </w:r>
            <w:r>
              <w:fldChar w:fldCharType="separate"/>
            </w:r>
            <w:r>
              <w:t>18</w:t>
            </w:r>
            <w:r>
              <w:fldChar w:fldCharType="end"/>
            </w:r>
          </w:hyperlink>
        </w:p>
        <w:p>
          <w:pPr>
            <w:pStyle w:val="11"/>
            <w:ind w:left="360"/>
            <w:tabs>
              <w:tab w:val="right" w:leader="dot" w:pos="9026"/>
            </w:tabs>
            <w:spacing w:before="120" w:after="60"/>
          </w:pPr>
          <w:hyperlink w:anchor="_Toc100052" w:history="1">
            <w:r>
              <w:rPr>
                <w:rStyle w:val="Hyperlink"/>
              </w:rPr>
              <w:t>10.5 Stats and Analytics</w:t>
            </w:r>
            <w:r>
              <w:tab/>
            </w:r>
            <w:r>
              <w:fldChar w:fldCharType="begin"/>
            </w:r>
            <w:r>
              <w:instrText xml:space="preserve"> PAGEREF _Toc100052 \h </w:instrText>
            </w:r>
            <w:r>
              <w:fldChar w:fldCharType="separate"/>
            </w:r>
            <w:r>
              <w:t>18</w:t>
            </w:r>
            <w:r>
              <w:fldChar w:fldCharType="end"/>
            </w:r>
          </w:hyperlink>
        </w:p>
        <w:p>
          <w:pPr>
            <w:pStyle w:val="9"/>
            <w:tabs>
              <w:tab w:val="right" w:leader="dot" w:pos="9026"/>
            </w:tabs>
            <w:spacing w:before="120" w:after="60"/>
          </w:pPr>
          <w:hyperlink w:anchor="_Toc100053" w:history="1">
            <w:r>
              <w:rPr>
                <w:rStyle w:val="Hyperlink"/>
              </w:rPr>
              <w:t>11. Dashboards &amp; Analytics</w:t>
            </w:r>
            <w:r>
              <w:tab/>
            </w:r>
            <w:r>
              <w:fldChar w:fldCharType="begin"/>
            </w:r>
            <w:r>
              <w:instrText xml:space="preserve"> PAGEREF _Toc100053 \h </w:instrText>
            </w:r>
            <w:r>
              <w:fldChar w:fldCharType="separate"/>
            </w:r>
            <w:r>
              <w:t>18</w:t>
            </w:r>
            <w:r>
              <w:fldChar w:fldCharType="end"/>
            </w:r>
          </w:hyperlink>
        </w:p>
        <w:p>
          <w:pPr>
            <w:pStyle w:val="11"/>
            <w:ind w:left="360"/>
            <w:tabs>
              <w:tab w:val="right" w:leader="dot" w:pos="9026"/>
            </w:tabs>
            <w:spacing w:before="120" w:after="60"/>
          </w:pPr>
          <w:hyperlink w:anchor="_Toc100054" w:history="1">
            <w:r>
              <w:rPr>
                <w:rStyle w:val="Hyperlink"/>
              </w:rPr>
              <w:t>11.1 Pharmacy Dashboard (Home Tab)</w:t>
            </w:r>
            <w:r>
              <w:tab/>
            </w:r>
            <w:r>
              <w:fldChar w:fldCharType="begin"/>
            </w:r>
            <w:r>
              <w:instrText xml:space="preserve"> PAGEREF _Toc100054 \h </w:instrText>
            </w:r>
            <w:r>
              <w:fldChar w:fldCharType="separate"/>
            </w:r>
            <w:r>
              <w:t>18</w:t>
            </w:r>
            <w:r>
              <w:fldChar w:fldCharType="end"/>
            </w:r>
          </w:hyperlink>
        </w:p>
        <w:p>
          <w:pPr>
            <w:pStyle w:val="11"/>
            <w:ind w:left="360"/>
            <w:tabs>
              <w:tab w:val="right" w:leader="dot" w:pos="9026"/>
            </w:tabs>
            <w:spacing w:before="120" w:after="60"/>
          </w:pPr>
          <w:hyperlink w:anchor="_Toc100055" w:history="1">
            <w:r>
              <w:rPr>
                <w:rStyle w:val="Hyperlink"/>
              </w:rPr>
              <w:t>11.2 Unified Business Dashboard</w:t>
            </w:r>
            <w:r>
              <w:tab/>
            </w:r>
            <w:r>
              <w:fldChar w:fldCharType="begin"/>
            </w:r>
            <w:r>
              <w:instrText xml:space="preserve"> PAGEREF _Toc100055 \h </w:instrText>
            </w:r>
            <w:r>
              <w:fldChar w:fldCharType="separate"/>
            </w:r>
            <w:r>
              <w:t>19</w:t>
            </w:r>
            <w:r>
              <w:fldChar w:fldCharType="end"/>
            </w:r>
          </w:hyperlink>
        </w:p>
        <w:p>
          <w:pPr>
            <w:pStyle w:val="11"/>
            <w:ind w:left="360"/>
            <w:tabs>
              <w:tab w:val="right" w:leader="dot" w:pos="9026"/>
            </w:tabs>
            <w:spacing w:before="120" w:after="60"/>
          </w:pPr>
          <w:hyperlink w:anchor="_Toc100056" w:history="1">
            <w:r>
              <w:rPr>
                <w:rStyle w:val="Hyperlink"/>
              </w:rPr>
              <w:t>11.3 Sales Analytics Dashboard</w:t>
            </w:r>
            <w:r>
              <w:tab/>
            </w:r>
            <w:r>
              <w:fldChar w:fldCharType="begin"/>
            </w:r>
            <w:r>
              <w:instrText xml:space="preserve"> PAGEREF _Toc100056 \h </w:instrText>
            </w:r>
            <w:r>
              <w:fldChar w:fldCharType="separate"/>
            </w:r>
            <w:r>
              <w:t>19</w:t>
            </w:r>
            <w:r>
              <w:fldChar w:fldCharType="end"/>
            </w:r>
          </w:hyperlink>
        </w:p>
        <w:p>
          <w:pPr>
            <w:pStyle w:val="11"/>
            <w:ind w:left="360"/>
            <w:tabs>
              <w:tab w:val="right" w:leader="dot" w:pos="9026"/>
            </w:tabs>
            <w:spacing w:before="120" w:after="60"/>
          </w:pPr>
          <w:hyperlink w:anchor="_Toc100057" w:history="1">
            <w:r>
              <w:rPr>
                <w:rStyle w:val="Hyperlink"/>
              </w:rPr>
              <w:t>11.4 Hubs and Stats</w:t>
            </w:r>
            <w:r>
              <w:tab/>
            </w:r>
            <w:r>
              <w:fldChar w:fldCharType="begin"/>
            </w:r>
            <w:r>
              <w:instrText xml:space="preserve"> PAGEREF _Toc100057 \h </w:instrText>
            </w:r>
            <w:r>
              <w:fldChar w:fldCharType="separate"/>
            </w:r>
            <w:r>
              <w:t>19</w:t>
            </w:r>
            <w:r>
              <w:fldChar w:fldCharType="end"/>
            </w:r>
          </w:hyperlink>
        </w:p>
        <w:p>
          <w:pPr>
            <w:pStyle w:val="9"/>
            <w:tabs>
              <w:tab w:val="right" w:leader="dot" w:pos="9026"/>
            </w:tabs>
            <w:spacing w:before="120" w:after="60"/>
          </w:pPr>
          <w:hyperlink w:anchor="_Toc100058" w:history="1">
            <w:r>
              <w:rPr>
                <w:rStyle w:val="Hyperlink"/>
              </w:rPr>
              <w:t>12. Financial &amp; Compliance Reports</w:t>
            </w:r>
            <w:r>
              <w:tab/>
            </w:r>
            <w:r>
              <w:fldChar w:fldCharType="begin"/>
            </w:r>
            <w:r>
              <w:instrText xml:space="preserve"> PAGEREF _Toc100058 \h </w:instrText>
            </w:r>
            <w:r>
              <w:fldChar w:fldCharType="separate"/>
            </w:r>
            <w:r>
              <w:t>19</w:t>
            </w:r>
            <w:r>
              <w:fldChar w:fldCharType="end"/>
            </w:r>
          </w:hyperlink>
        </w:p>
        <w:p>
          <w:pPr>
            <w:pStyle w:val="11"/>
            <w:ind w:left="360"/>
            <w:tabs>
              <w:tab w:val="right" w:leader="dot" w:pos="9026"/>
            </w:tabs>
            <w:spacing w:before="120" w:after="60"/>
          </w:pPr>
          <w:hyperlink w:anchor="_Toc100059" w:history="1">
            <w:r>
              <w:rPr>
                <w:rStyle w:val="Hyperlink"/>
              </w:rPr>
              <w:t>12.1 Profit &amp; Loss Report</w:t>
            </w:r>
            <w:r>
              <w:tab/>
            </w:r>
            <w:r>
              <w:fldChar w:fldCharType="begin"/>
            </w:r>
            <w:r>
              <w:instrText xml:space="preserve"> PAGEREF _Toc100059 \h </w:instrText>
            </w:r>
            <w:r>
              <w:fldChar w:fldCharType="separate"/>
            </w:r>
            <w:r>
              <w:t>20</w:t>
            </w:r>
            <w:r>
              <w:fldChar w:fldCharType="end"/>
            </w:r>
          </w:hyperlink>
        </w:p>
        <w:p>
          <w:pPr>
            <w:pStyle w:val="11"/>
            <w:ind w:left="360"/>
            <w:tabs>
              <w:tab w:val="right" w:leader="dot" w:pos="9026"/>
            </w:tabs>
            <w:spacing w:before="120" w:after="60"/>
          </w:pPr>
          <w:hyperlink w:anchor="_Toc100060" w:history="1">
            <w:r>
              <w:rPr>
                <w:rStyle w:val="Hyperlink"/>
              </w:rPr>
              <w:t>12.2 Tax/VAT Compliance Report</w:t>
            </w:r>
            <w:r>
              <w:tab/>
            </w:r>
            <w:r>
              <w:fldChar w:fldCharType="begin"/>
            </w:r>
            <w:r>
              <w:instrText xml:space="preserve"> PAGEREF _Toc100060 \h </w:instrText>
            </w:r>
            <w:r>
              <w:fldChar w:fldCharType="separate"/>
            </w:r>
            <w:r>
              <w:t>20</w:t>
            </w:r>
            <w:r>
              <w:fldChar w:fldCharType="end"/>
            </w:r>
          </w:hyperlink>
        </w:p>
        <w:p>
          <w:pPr>
            <w:pStyle w:val="11"/>
            <w:ind w:left="360"/>
            <w:tabs>
              <w:tab w:val="right" w:leader="dot" w:pos="9026"/>
            </w:tabs>
            <w:spacing w:before="120" w:after="60"/>
          </w:pPr>
          <w:hyperlink w:anchor="_Toc100061" w:history="1">
            <w:r>
              <w:rPr>
                <w:rStyle w:val="Hyperlink"/>
              </w:rPr>
              <w:t>12.3 Inventory Valuation Report</w:t>
            </w:r>
            <w:r>
              <w:tab/>
            </w:r>
            <w:r>
              <w:fldChar w:fldCharType="begin"/>
            </w:r>
            <w:r>
              <w:instrText xml:space="preserve"> PAGEREF _Toc100061 \h </w:instrText>
            </w:r>
            <w:r>
              <w:fldChar w:fldCharType="separate"/>
            </w:r>
            <w:r>
              <w:t>20</w:t>
            </w:r>
            <w:r>
              <w:fldChar w:fldCharType="end"/>
            </w:r>
          </w:hyperlink>
        </w:p>
        <w:p>
          <w:pPr>
            <w:pStyle w:val="11"/>
            <w:ind w:left="360"/>
            <w:tabs>
              <w:tab w:val="right" w:leader="dot" w:pos="9026"/>
            </w:tabs>
            <w:spacing w:before="120" w:after="60"/>
          </w:pPr>
          <w:hyperlink w:anchor="_Toc100062" w:history="1">
            <w:r>
              <w:rPr>
                <w:rStyle w:val="Hyperlink"/>
              </w:rPr>
              <w:t>12.4 Comprehensive Business Report</w:t>
            </w:r>
            <w:r>
              <w:tab/>
            </w:r>
            <w:r>
              <w:fldChar w:fldCharType="begin"/>
            </w:r>
            <w:r>
              <w:instrText xml:space="preserve"> PAGEREF _Toc100062 \h </w:instrText>
            </w:r>
            <w:r>
              <w:fldChar w:fldCharType="separate"/>
            </w:r>
            <w:r>
              <w:t>20</w:t>
            </w:r>
            <w:r>
              <w:fldChar w:fldCharType="end"/>
            </w:r>
          </w:hyperlink>
        </w:p>
        <w:p>
          <w:pPr>
            <w:pStyle w:val="11"/>
            <w:ind w:left="360"/>
            <w:tabs>
              <w:tab w:val="right" w:leader="dot" w:pos="9026"/>
            </w:tabs>
            <w:spacing w:before="120" w:after="60"/>
          </w:pPr>
          <w:hyperlink w:anchor="_Toc100063" w:history="1">
            <w:r>
              <w:rPr>
                <w:rStyle w:val="Hyperlink"/>
              </w:rPr>
              <w:t>12.5 Audit Trail Report</w:t>
            </w:r>
            <w:r>
              <w:tab/>
            </w:r>
            <w:r>
              <w:fldChar w:fldCharType="begin"/>
            </w:r>
            <w:r>
              <w:instrText xml:space="preserve"> PAGEREF _Toc100063 \h </w:instrText>
            </w:r>
            <w:r>
              <w:fldChar w:fldCharType="separate"/>
            </w:r>
            <w:r>
              <w:t>21</w:t>
            </w:r>
            <w:r>
              <w:fldChar w:fldCharType="end"/>
            </w:r>
          </w:hyperlink>
        </w:p>
        <w:p>
          <w:pPr>
            <w:pStyle w:val="11"/>
            <w:ind w:left="360"/>
            <w:tabs>
              <w:tab w:val="right" w:leader="dot" w:pos="9026"/>
            </w:tabs>
            <w:spacing w:before="120" w:after="60"/>
          </w:pPr>
          <w:hyperlink w:anchor="_Toc100064" w:history="1">
            <w:r>
              <w:rPr>
                <w:rStyle w:val="Hyperlink"/>
              </w:rPr>
              <w:t>12.6 FEFO Override Report</w:t>
            </w:r>
            <w:r>
              <w:tab/>
            </w:r>
            <w:r>
              <w:fldChar w:fldCharType="begin"/>
            </w:r>
            <w:r>
              <w:instrText xml:space="preserve"> PAGEREF _Toc100064 \h </w:instrText>
            </w:r>
            <w:r>
              <w:fldChar w:fldCharType="separate"/>
            </w:r>
            <w:r>
              <w:t>21</w:t>
            </w:r>
            <w:r>
              <w:fldChar w:fldCharType="end"/>
            </w:r>
          </w:hyperlink>
        </w:p>
        <w:p>
          <w:pPr>
            <w:pStyle w:val="11"/>
            <w:ind w:left="360"/>
            <w:tabs>
              <w:tab w:val="right" w:leader="dot" w:pos="9026"/>
            </w:tabs>
            <w:spacing w:before="120" w:after="60"/>
          </w:pPr>
          <w:hyperlink w:anchor="_Toc100065" w:history="1">
            <w:r>
              <w:rPr>
                <w:rStyle w:val="Hyperlink"/>
              </w:rPr>
              <w:t>12.7 Expiry Report</w:t>
            </w:r>
            <w:r>
              <w:tab/>
            </w:r>
            <w:r>
              <w:fldChar w:fldCharType="begin"/>
            </w:r>
            <w:r>
              <w:instrText xml:space="preserve"> PAGEREF _Toc100065 \h </w:instrText>
            </w:r>
            <w:r>
              <w:fldChar w:fldCharType="separate"/>
            </w:r>
            <w:r>
              <w:t>21</w:t>
            </w:r>
            <w:r>
              <w:fldChar w:fldCharType="end"/>
            </w:r>
          </w:hyperlink>
        </w:p>
        <w:p>
          <w:pPr>
            <w:pStyle w:val="9"/>
            <w:tabs>
              <w:tab w:val="right" w:leader="dot" w:pos="9026"/>
            </w:tabs>
            <w:spacing w:before="120" w:after="60"/>
          </w:pPr>
          <w:hyperlink w:anchor="_Toc100066" w:history="1">
            <w:r>
              <w:rPr>
                <w:rStyle w:val="Hyperlink"/>
              </w:rPr>
              <w:t>13. Expiry Management (FEFO)</w:t>
            </w:r>
            <w:r>
              <w:tab/>
            </w:r>
            <w:r>
              <w:fldChar w:fldCharType="begin"/>
            </w:r>
            <w:r>
              <w:instrText xml:space="preserve"> PAGEREF _Toc100066 \h </w:instrText>
            </w:r>
            <w:r>
              <w:fldChar w:fldCharType="separate"/>
            </w:r>
            <w:r>
              <w:t>21</w:t>
            </w:r>
            <w:r>
              <w:fldChar w:fldCharType="end"/>
            </w:r>
          </w:hyperlink>
        </w:p>
        <w:p>
          <w:pPr>
            <w:pStyle w:val="11"/>
            <w:ind w:left="360"/>
            <w:tabs>
              <w:tab w:val="right" w:leader="dot" w:pos="9026"/>
            </w:tabs>
            <w:spacing w:before="120" w:after="60"/>
          </w:pPr>
          <w:hyperlink w:anchor="_Toc100067" w:history="1">
            <w:r>
              <w:rPr>
                <w:rStyle w:val="Hyperlink"/>
              </w:rPr>
              <w:t>13.1 FEFO (First-Expiry-First-Out)</w:t>
            </w:r>
            <w:r>
              <w:tab/>
            </w:r>
            <w:r>
              <w:fldChar w:fldCharType="begin"/>
            </w:r>
            <w:r>
              <w:instrText xml:space="preserve"> PAGEREF _Toc100067 \h </w:instrText>
            </w:r>
            <w:r>
              <w:fldChar w:fldCharType="separate"/>
            </w:r>
            <w:r>
              <w:t>22</w:t>
            </w:r>
            <w:r>
              <w:fldChar w:fldCharType="end"/>
            </w:r>
          </w:hyperlink>
        </w:p>
        <w:p>
          <w:pPr>
            <w:pStyle w:val="11"/>
            <w:ind w:left="360"/>
            <w:tabs>
              <w:tab w:val="right" w:leader="dot" w:pos="9026"/>
            </w:tabs>
            <w:spacing w:before="120" w:after="60"/>
          </w:pPr>
          <w:hyperlink w:anchor="_Toc100068" w:history="1">
            <w:r>
              <w:rPr>
                <w:rStyle w:val="Hyperlink"/>
              </w:rPr>
              <w:t>13.2 Expiry Dashboard</w:t>
            </w:r>
            <w:r>
              <w:tab/>
            </w:r>
            <w:r>
              <w:fldChar w:fldCharType="begin"/>
            </w:r>
            <w:r>
              <w:instrText xml:space="preserve"> PAGEREF _Toc100068 \h </w:instrText>
            </w:r>
            <w:r>
              <w:fldChar w:fldCharType="separate"/>
            </w:r>
            <w:r>
              <w:t>22</w:t>
            </w:r>
            <w:r>
              <w:fldChar w:fldCharType="end"/>
            </w:r>
          </w:hyperlink>
        </w:p>
        <w:p>
          <w:pPr>
            <w:pStyle w:val="11"/>
            <w:ind w:left="360"/>
            <w:tabs>
              <w:tab w:val="right" w:leader="dot" w:pos="9026"/>
            </w:tabs>
            <w:spacing w:before="120" w:after="60"/>
          </w:pPr>
          <w:hyperlink w:anchor="_Toc100069" w:history="1">
            <w:r>
              <w:rPr>
                <w:rStyle w:val="Hyperlink"/>
              </w:rPr>
              <w:t>13.3 Expiry Alerts</w:t>
            </w:r>
            <w:r>
              <w:tab/>
            </w:r>
            <w:r>
              <w:fldChar w:fldCharType="begin"/>
            </w:r>
            <w:r>
              <w:instrText xml:space="preserve"> PAGEREF _Toc100069 \h </w:instrText>
            </w:r>
            <w:r>
              <w:fldChar w:fldCharType="separate"/>
            </w:r>
            <w:r>
              <w:t>22</w:t>
            </w:r>
            <w:r>
              <w:fldChar w:fldCharType="end"/>
            </w:r>
          </w:hyperlink>
        </w:p>
        <w:p>
          <w:pPr>
            <w:pStyle w:val="11"/>
            <w:ind w:left="360"/>
            <w:tabs>
              <w:tab w:val="right" w:leader="dot" w:pos="9026"/>
            </w:tabs>
            <w:spacing w:before="120" w:after="60"/>
          </w:pPr>
          <w:hyperlink w:anchor="_Toc100070" w:history="1">
            <w:r>
              <w:rPr>
                <w:rStyle w:val="Hyperlink"/>
              </w:rPr>
              <w:t>13.4 Expiry Timeline Chart</w:t>
            </w:r>
            <w:r>
              <w:tab/>
            </w:r>
            <w:r>
              <w:fldChar w:fldCharType="begin"/>
            </w:r>
            <w:r>
              <w:instrText xml:space="preserve"> PAGEREF _Toc100070 \h </w:instrText>
            </w:r>
            <w:r>
              <w:fldChar w:fldCharType="separate"/>
            </w:r>
            <w:r>
              <w:t>22</w:t>
            </w:r>
            <w:r>
              <w:fldChar w:fldCharType="end"/>
            </w:r>
          </w:hyperlink>
        </w:p>
        <w:p>
          <w:pPr>
            <w:pStyle w:val="11"/>
            <w:ind w:left="360"/>
            <w:tabs>
              <w:tab w:val="right" w:leader="dot" w:pos="9026"/>
            </w:tabs>
            <w:spacing w:before="120" w:after="60"/>
          </w:pPr>
          <w:hyperlink w:anchor="_Toc100071" w:history="1">
            <w:r>
              <w:rPr>
                <w:rStyle w:val="Hyperlink"/>
              </w:rPr>
              <w:t>13.5 Quarantine, Dispose, and AI Optimizer</w:t>
            </w:r>
            <w:r>
              <w:tab/>
            </w:r>
            <w:r>
              <w:fldChar w:fldCharType="begin"/>
            </w:r>
            <w:r>
              <w:instrText xml:space="preserve"> PAGEREF _Toc100071 \h </w:instrText>
            </w:r>
            <w:r>
              <w:fldChar w:fldCharType="separate"/>
            </w:r>
            <w:r>
              <w:t>23</w:t>
            </w:r>
            <w:r>
              <w:fldChar w:fldCharType="end"/>
            </w:r>
          </w:hyperlink>
        </w:p>
        <w:p>
          <w:pPr>
            <w:pStyle w:val="9"/>
            <w:tabs>
              <w:tab w:val="right" w:leader="dot" w:pos="9026"/>
            </w:tabs>
            <w:spacing w:before="120" w:after="60"/>
          </w:pPr>
          <w:hyperlink w:anchor="_Toc100072" w:history="1">
            <w:r>
              <w:rPr>
                <w:rStyle w:val="Hyperlink"/>
              </w:rPr>
              <w:t>14. AI &amp; Smart Features</w:t>
            </w:r>
            <w:r>
              <w:tab/>
            </w:r>
            <w:r>
              <w:fldChar w:fldCharType="begin"/>
            </w:r>
            <w:r>
              <w:instrText xml:space="preserve"> PAGEREF _Toc100072 \h </w:instrText>
            </w:r>
            <w:r>
              <w:fldChar w:fldCharType="separate"/>
            </w:r>
            <w:r>
              <w:t>23</w:t>
            </w:r>
            <w:r>
              <w:fldChar w:fldCharType="end"/>
            </w:r>
          </w:hyperlink>
        </w:p>
        <w:p>
          <w:pPr>
            <w:pStyle w:val="11"/>
            <w:ind w:left="360"/>
            <w:tabs>
              <w:tab w:val="right" w:leader="dot" w:pos="9026"/>
            </w:tabs>
            <w:spacing w:before="120" w:after="60"/>
          </w:pPr>
          <w:hyperlink w:anchor="_Toc100073" w:history="1">
            <w:r>
              <w:rPr>
                <w:rStyle w:val="Hyperlink"/>
              </w:rPr>
              <w:t>14.1 AI Chat Assistant</w:t>
            </w:r>
            <w:r>
              <w:tab/>
            </w:r>
            <w:r>
              <w:fldChar w:fldCharType="begin"/>
            </w:r>
            <w:r>
              <w:instrText xml:space="preserve"> PAGEREF _Toc100073 \h </w:instrText>
            </w:r>
            <w:r>
              <w:fldChar w:fldCharType="separate"/>
            </w:r>
            <w:r>
              <w:t>23</w:t>
            </w:r>
            <w:r>
              <w:fldChar w:fldCharType="end"/>
            </w:r>
          </w:hyperlink>
        </w:p>
        <w:p>
          <w:pPr>
            <w:pStyle w:val="11"/>
            <w:ind w:left="360"/>
            <w:tabs>
              <w:tab w:val="right" w:leader="dot" w:pos="9026"/>
            </w:tabs>
            <w:spacing w:before="120" w:after="60"/>
          </w:pPr>
          <w:hyperlink w:anchor="_Toc100074" w:history="1">
            <w:r>
              <w:rPr>
                <w:rStyle w:val="Hyperlink"/>
              </w:rPr>
              <w:t>14.2 AI Insights</w:t>
            </w:r>
            <w:r>
              <w:tab/>
            </w:r>
            <w:r>
              <w:fldChar w:fldCharType="begin"/>
            </w:r>
            <w:r>
              <w:instrText xml:space="preserve"> PAGEREF _Toc100074 \h </w:instrText>
            </w:r>
            <w:r>
              <w:fldChar w:fldCharType="separate"/>
            </w:r>
            <w:r>
              <w:t>23</w:t>
            </w:r>
            <w:r>
              <w:fldChar w:fldCharType="end"/>
            </w:r>
          </w:hyperlink>
        </w:p>
        <w:p>
          <w:pPr>
            <w:pStyle w:val="11"/>
            <w:ind w:left="360"/>
            <w:tabs>
              <w:tab w:val="right" w:leader="dot" w:pos="9026"/>
            </w:tabs>
            <w:spacing w:before="120" w:after="60"/>
          </w:pPr>
          <w:hyperlink w:anchor="_Toc100075" w:history="1">
            <w:r>
              <w:rPr>
                <w:rStyle w:val="Hyperlink"/>
              </w:rPr>
              <w:t>14.3 AI Expiry Optimizer</w:t>
            </w:r>
            <w:r>
              <w:tab/>
            </w:r>
            <w:r>
              <w:fldChar w:fldCharType="begin"/>
            </w:r>
            <w:r>
              <w:instrText xml:space="preserve"> PAGEREF _Toc100075 \h </w:instrText>
            </w:r>
            <w:r>
              <w:fldChar w:fldCharType="separate"/>
            </w:r>
            <w:r>
              <w:t>24</w:t>
            </w:r>
            <w:r>
              <w:fldChar w:fldCharType="end"/>
            </w:r>
          </w:hyperlink>
        </w:p>
        <w:p>
          <w:pPr>
            <w:pStyle w:val="11"/>
            <w:ind w:left="360"/>
            <w:tabs>
              <w:tab w:val="right" w:leader="dot" w:pos="9026"/>
            </w:tabs>
            <w:spacing w:before="120" w:after="60"/>
          </w:pPr>
          <w:hyperlink w:anchor="_Toc100076" w:history="1">
            <w:r>
              <w:rPr>
                <w:rStyle w:val="Hyperlink"/>
              </w:rPr>
              <w:t>14.4 AI Product Assistant</w:t>
            </w:r>
            <w:r>
              <w:tab/>
            </w:r>
            <w:r>
              <w:fldChar w:fldCharType="begin"/>
            </w:r>
            <w:r>
              <w:instrText xml:space="preserve"> PAGEREF _Toc100076 \h </w:instrText>
            </w:r>
            <w:r>
              <w:fldChar w:fldCharType="separate"/>
            </w:r>
            <w:r>
              <w:t>24</w:t>
            </w:r>
            <w:r>
              <w:fldChar w:fldCharType="end"/>
            </w:r>
          </w:hyperlink>
        </w:p>
        <w:p>
          <w:pPr>
            <w:pStyle w:val="11"/>
            <w:ind w:left="360"/>
            <w:tabs>
              <w:tab w:val="right" w:leader="dot" w:pos="9026"/>
            </w:tabs>
            <w:spacing w:before="120" w:after="60"/>
          </w:pPr>
          <w:hyperlink w:anchor="_Toc100077" w:history="1">
            <w:r>
              <w:rPr>
                <w:rStyle w:val="Hyperlink"/>
              </w:rPr>
              <w:t>14.5 Smart Reorder Suggestions</w:t>
            </w:r>
            <w:r>
              <w:tab/>
            </w:r>
            <w:r>
              <w:fldChar w:fldCharType="begin"/>
            </w:r>
            <w:r>
              <w:instrText xml:space="preserve"> PAGEREF _Toc100077 \h </w:instrText>
            </w:r>
            <w:r>
              <w:fldChar w:fldCharType="separate"/>
            </w:r>
            <w:r>
              <w:t>24</w:t>
            </w:r>
            <w:r>
              <w:fldChar w:fldCharType="end"/>
            </w:r>
          </w:hyperlink>
        </w:p>
        <w:p>
          <w:pPr>
            <w:pStyle w:val="11"/>
            <w:ind w:left="360"/>
            <w:tabs>
              <w:tab w:val="right" w:leader="dot" w:pos="9026"/>
            </w:tabs>
            <w:spacing w:before="120" w:after="60"/>
          </w:pPr>
          <w:hyperlink w:anchor="_Toc100078" w:history="1">
            <w:r>
              <w:rPr>
                <w:rStyle w:val="Hyperlink"/>
              </w:rPr>
              <w:t>14.6 Demand Forecast</w:t>
            </w:r>
            <w:r>
              <w:tab/>
            </w:r>
            <w:r>
              <w:fldChar w:fldCharType="begin"/>
            </w:r>
            <w:r>
              <w:instrText xml:space="preserve"> PAGEREF _Toc100078 \h </w:instrText>
            </w:r>
            <w:r>
              <w:fldChar w:fldCharType="separate"/>
            </w:r>
            <w:r>
              <w:t>24</w:t>
            </w:r>
            <w:r>
              <w:fldChar w:fldCharType="end"/>
            </w:r>
          </w:hyperlink>
        </w:p>
        <w:p>
          <w:pPr>
            <w:pStyle w:val="11"/>
            <w:ind w:left="360"/>
            <w:tabs>
              <w:tab w:val="right" w:leader="dot" w:pos="9026"/>
            </w:tabs>
            <w:spacing w:before="120" w:after="60"/>
          </w:pPr>
          <w:hyperlink w:anchor="_Toc100079" w:history="1">
            <w:r>
              <w:rPr>
                <w:rStyle w:val="Hyperlink"/>
              </w:rPr>
              <w:t>14.7 AI Hub</w:t>
            </w:r>
            <w:r>
              <w:tab/>
            </w:r>
            <w:r>
              <w:fldChar w:fldCharType="begin"/>
            </w:r>
            <w:r>
              <w:instrText xml:space="preserve"> PAGEREF _Toc100079 \h </w:instrText>
            </w:r>
            <w:r>
              <w:fldChar w:fldCharType="separate"/>
            </w:r>
            <w:r>
              <w:t>25</w:t>
            </w:r>
            <w:r>
              <w:fldChar w:fldCharType="end"/>
            </w:r>
          </w:hyperlink>
        </w:p>
        <w:p>
          <w:pPr>
            <w:pStyle w:val="9"/>
            <w:tabs>
              <w:tab w:val="right" w:leader="dot" w:pos="9026"/>
            </w:tabs>
            <w:spacing w:before="120" w:after="60"/>
          </w:pPr>
          <w:hyperlink w:anchor="_Toc100080" w:history="1">
            <w:r>
              <w:rPr>
                <w:rStyle w:val="Hyperlink"/>
              </w:rPr>
              <w:t>15. Alerts &amp; Notifications</w:t>
            </w:r>
            <w:r>
              <w:tab/>
            </w:r>
            <w:r>
              <w:fldChar w:fldCharType="begin"/>
            </w:r>
            <w:r>
              <w:instrText xml:space="preserve"> PAGEREF _Toc100080 \h </w:instrText>
            </w:r>
            <w:r>
              <w:fldChar w:fldCharType="separate"/>
            </w:r>
            <w:r>
              <w:t>25</w:t>
            </w:r>
            <w:r>
              <w:fldChar w:fldCharType="end"/>
            </w:r>
          </w:hyperlink>
        </w:p>
        <w:p>
          <w:pPr>
            <w:pStyle w:val="11"/>
            <w:ind w:left="360"/>
            <w:tabs>
              <w:tab w:val="right" w:leader="dot" w:pos="9026"/>
            </w:tabs>
            <w:spacing w:before="120" w:after="60"/>
          </w:pPr>
          <w:hyperlink w:anchor="_Toc100081" w:history="1">
            <w:r>
              <w:rPr>
                <w:rStyle w:val="Hyperlink"/>
              </w:rPr>
              <w:t>15.1 Alerts Center</w:t>
            </w:r>
            <w:r>
              <w:tab/>
            </w:r>
            <w:r>
              <w:fldChar w:fldCharType="begin"/>
            </w:r>
            <w:r>
              <w:instrText xml:space="preserve"> PAGEREF _Toc100081 \h </w:instrText>
            </w:r>
            <w:r>
              <w:fldChar w:fldCharType="separate"/>
            </w:r>
            <w:r>
              <w:t>25</w:t>
            </w:r>
            <w:r>
              <w:fldChar w:fldCharType="end"/>
            </w:r>
          </w:hyperlink>
        </w:p>
        <w:p>
          <w:pPr>
            <w:pStyle w:val="11"/>
            <w:ind w:left="360"/>
            <w:tabs>
              <w:tab w:val="right" w:leader="dot" w:pos="9026"/>
            </w:tabs>
            <w:spacing w:before="120" w:after="60"/>
          </w:pPr>
          <w:hyperlink w:anchor="_Toc100082" w:history="1">
            <w:r>
              <w:rPr>
                <w:rStyle w:val="Hyperlink"/>
              </w:rPr>
              <w:t>15.2 Alert Preferences</w:t>
            </w:r>
            <w:r>
              <w:tab/>
            </w:r>
            <w:r>
              <w:fldChar w:fldCharType="begin"/>
            </w:r>
            <w:r>
              <w:instrText xml:space="preserve"> PAGEREF _Toc100082 \h </w:instrText>
            </w:r>
            <w:r>
              <w:fldChar w:fldCharType="separate"/>
            </w:r>
            <w:r>
              <w:t>25</w:t>
            </w:r>
            <w:r>
              <w:fldChar w:fldCharType="end"/>
            </w:r>
          </w:hyperlink>
        </w:p>
        <w:p>
          <w:pPr>
            <w:pStyle w:val="11"/>
            <w:ind w:left="360"/>
            <w:tabs>
              <w:tab w:val="right" w:leader="dot" w:pos="9026"/>
            </w:tabs>
            <w:spacing w:before="120" w:after="60"/>
          </w:pPr>
          <w:hyperlink w:anchor="_Toc100083" w:history="1">
            <w:r>
              <w:rPr>
                <w:rStyle w:val="Hyperlink"/>
              </w:rPr>
              <w:t>15.3 Alert Digest</w:t>
            </w:r>
            <w:r>
              <w:tab/>
            </w:r>
            <w:r>
              <w:fldChar w:fldCharType="begin"/>
            </w:r>
            <w:r>
              <w:instrText xml:space="preserve"> PAGEREF _Toc100083 \h </w:instrText>
            </w:r>
            <w:r>
              <w:fldChar w:fldCharType="separate"/>
            </w:r>
            <w:r>
              <w:t>26</w:t>
            </w:r>
            <w:r>
              <w:fldChar w:fldCharType="end"/>
            </w:r>
          </w:hyperlink>
        </w:p>
        <w:p>
          <w:pPr>
            <w:pStyle w:val="11"/>
            <w:ind w:left="360"/>
            <w:tabs>
              <w:tab w:val="right" w:leader="dot" w:pos="9026"/>
            </w:tabs>
            <w:spacing w:before="120" w:after="60"/>
          </w:pPr>
          <w:hyperlink w:anchor="_Toc100084" w:history="1">
            <w:r>
              <w:rPr>
                <w:rStyle w:val="Hyperlink"/>
              </w:rPr>
              <w:t>15.4 Notification Center</w:t>
            </w:r>
            <w:r>
              <w:tab/>
            </w:r>
            <w:r>
              <w:fldChar w:fldCharType="begin"/>
            </w:r>
            <w:r>
              <w:instrText xml:space="preserve"> PAGEREF _Toc100084 \h </w:instrText>
            </w:r>
            <w:r>
              <w:fldChar w:fldCharType="separate"/>
            </w:r>
            <w:r>
              <w:t>26</w:t>
            </w:r>
            <w:r>
              <w:fldChar w:fldCharType="end"/>
            </w:r>
          </w:hyperlink>
        </w:p>
        <w:p>
          <w:pPr>
            <w:pStyle w:val="9"/>
            <w:tabs>
              <w:tab w:val="right" w:leader="dot" w:pos="9026"/>
            </w:tabs>
            <w:spacing w:before="120" w:after="60"/>
          </w:pPr>
          <w:hyperlink w:anchor="_Toc100085" w:history="1">
            <w:r>
              <w:rPr>
                <w:rStyle w:val="Hyperlink"/>
              </w:rPr>
              <w:t>16. User Management, Roles &amp; Subscription</w:t>
            </w:r>
            <w:r>
              <w:tab/>
            </w:r>
            <w:r>
              <w:fldChar w:fldCharType="begin"/>
            </w:r>
            <w:r>
              <w:instrText xml:space="preserve"> PAGEREF _Toc100085 \h </w:instrText>
            </w:r>
            <w:r>
              <w:fldChar w:fldCharType="separate"/>
            </w:r>
            <w:r>
              <w:t>26</w:t>
            </w:r>
            <w:r>
              <w:fldChar w:fldCharType="end"/>
            </w:r>
          </w:hyperlink>
        </w:p>
        <w:p>
          <w:pPr>
            <w:pStyle w:val="11"/>
            <w:ind w:left="360"/>
            <w:tabs>
              <w:tab w:val="right" w:leader="dot" w:pos="9026"/>
            </w:tabs>
            <w:spacing w:before="120" w:after="60"/>
          </w:pPr>
          <w:hyperlink w:anchor="_Toc100086" w:history="1">
            <w:r>
              <w:rPr>
                <w:rStyle w:val="Hyperlink"/>
              </w:rPr>
              <w:t>16.1 User Management</w:t>
            </w:r>
            <w:r>
              <w:tab/>
            </w:r>
            <w:r>
              <w:fldChar w:fldCharType="begin"/>
            </w:r>
            <w:r>
              <w:instrText xml:space="preserve"> PAGEREF _Toc100086 \h </w:instrText>
            </w:r>
            <w:r>
              <w:fldChar w:fldCharType="separate"/>
            </w:r>
            <w:r>
              <w:t>26</w:t>
            </w:r>
            <w:r>
              <w:fldChar w:fldCharType="end"/>
            </w:r>
          </w:hyperlink>
        </w:p>
        <w:p>
          <w:pPr>
            <w:pStyle w:val="11"/>
            <w:ind w:left="360"/>
            <w:tabs>
              <w:tab w:val="right" w:leader="dot" w:pos="9026"/>
            </w:tabs>
            <w:spacing w:before="120" w:after="60"/>
          </w:pPr>
          <w:hyperlink w:anchor="_Toc100087" w:history="1">
            <w:r>
              <w:rPr>
                <w:rStyle w:val="Hyperlink"/>
              </w:rPr>
              <w:t>16.2 Session and Login Management</w:t>
            </w:r>
            <w:r>
              <w:tab/>
            </w:r>
            <w:r>
              <w:fldChar w:fldCharType="begin"/>
            </w:r>
            <w:r>
              <w:instrText xml:space="preserve"> PAGEREF _Toc100087 \h </w:instrText>
            </w:r>
            <w:r>
              <w:fldChar w:fldCharType="separate"/>
            </w:r>
            <w:r>
              <w:t>27</w:t>
            </w:r>
            <w:r>
              <w:fldChar w:fldCharType="end"/>
            </w:r>
          </w:hyperlink>
        </w:p>
        <w:p>
          <w:pPr>
            <w:pStyle w:val="11"/>
            <w:ind w:left="360"/>
            <w:tabs>
              <w:tab w:val="right" w:leader="dot" w:pos="9026"/>
            </w:tabs>
            <w:spacing w:before="120" w:after="60"/>
          </w:pPr>
          <w:hyperlink w:anchor="_Toc100088" w:history="1">
            <w:r>
              <w:rPr>
                <w:rStyle w:val="Hyperlink"/>
              </w:rPr>
              <w:t>16.3 Subscription Tiers</w:t>
            </w:r>
            <w:r>
              <w:tab/>
            </w:r>
            <w:r>
              <w:fldChar w:fldCharType="begin"/>
            </w:r>
            <w:r>
              <w:instrText xml:space="preserve"> PAGEREF _Toc100088 \h </w:instrText>
            </w:r>
            <w:r>
              <w:fldChar w:fldCharType="separate"/>
            </w:r>
            <w:r>
              <w:t>27</w:t>
            </w:r>
            <w:r>
              <w:fldChar w:fldCharType="end"/>
            </w:r>
          </w:hyperlink>
        </w:p>
        <w:p>
          <w:pPr>
            <w:pStyle w:val="11"/>
            <w:ind w:left="360"/>
            <w:tabs>
              <w:tab w:val="right" w:leader="dot" w:pos="9026"/>
            </w:tabs>
            <w:spacing w:before="120" w:after="60"/>
          </w:pPr>
          <w:hyperlink w:anchor="_Toc100089" w:history="1">
            <w:r>
              <w:rPr>
                <w:rStyle w:val="Hyperlink"/>
              </w:rPr>
              <w:t>16.4 Subscription Lifecycle</w:t>
            </w:r>
            <w:r>
              <w:tab/>
            </w:r>
            <w:r>
              <w:fldChar w:fldCharType="begin"/>
            </w:r>
            <w:r>
              <w:instrText xml:space="preserve"> PAGEREF _Toc100089 \h </w:instrText>
            </w:r>
            <w:r>
              <w:fldChar w:fldCharType="separate"/>
            </w:r>
            <w:r>
              <w:t>27</w:t>
            </w:r>
            <w:r>
              <w:fldChar w:fldCharType="end"/>
            </w:r>
          </w:hyperlink>
        </w:p>
        <w:p>
          <w:pPr>
            <w:pStyle w:val="9"/>
            <w:tabs>
              <w:tab w:val="right" w:leader="dot" w:pos="9026"/>
            </w:tabs>
            <w:spacing w:before="120" w:after="60"/>
          </w:pPr>
          <w:hyperlink w:anchor="_Toc100090" w:history="1">
            <w:r>
              <w:rPr>
                <w:rStyle w:val="Hyperlink"/>
              </w:rPr>
              <w:t>17. Audit, Compliance &amp; Data Management</w:t>
            </w:r>
            <w:r>
              <w:tab/>
            </w:r>
            <w:r>
              <w:fldChar w:fldCharType="begin"/>
            </w:r>
            <w:r>
              <w:instrText xml:space="preserve"> PAGEREF _Toc100090 \h </w:instrText>
            </w:r>
            <w:r>
              <w:fldChar w:fldCharType="separate"/>
            </w:r>
            <w:r>
              <w:t>27</w:t>
            </w:r>
            <w:r>
              <w:fldChar w:fldCharType="end"/>
            </w:r>
          </w:hyperlink>
        </w:p>
        <w:p>
          <w:pPr>
            <w:pStyle w:val="11"/>
            <w:ind w:left="360"/>
            <w:tabs>
              <w:tab w:val="right" w:leader="dot" w:pos="9026"/>
            </w:tabs>
            <w:spacing w:before="120" w:after="60"/>
          </w:pPr>
          <w:hyperlink w:anchor="_Toc100091" w:history="1">
            <w:r>
              <w:rPr>
                <w:rStyle w:val="Hyperlink"/>
              </w:rPr>
              <w:t>17.1 Audit Log Types</w:t>
            </w:r>
            <w:r>
              <w:tab/>
            </w:r>
            <w:r>
              <w:fldChar w:fldCharType="begin"/>
            </w:r>
            <w:r>
              <w:instrText xml:space="preserve"> PAGEREF _Toc100091 \h </w:instrText>
            </w:r>
            <w:r>
              <w:fldChar w:fldCharType="separate"/>
            </w:r>
            <w:r>
              <w:t>28</w:t>
            </w:r>
            <w:r>
              <w:fldChar w:fldCharType="end"/>
            </w:r>
          </w:hyperlink>
        </w:p>
        <w:p>
          <w:pPr>
            <w:pStyle w:val="11"/>
            <w:ind w:left="360"/>
            <w:tabs>
              <w:tab w:val="right" w:leader="dot" w:pos="9026"/>
            </w:tabs>
            <w:spacing w:before="120" w:after="60"/>
          </w:pPr>
          <w:hyperlink w:anchor="_Toc100092" w:history="1">
            <w:r>
              <w:rPr>
                <w:rStyle w:val="Hyperlink"/>
              </w:rPr>
              <w:t>17.2 Transaction Log UI</w:t>
            </w:r>
            <w:r>
              <w:tab/>
            </w:r>
            <w:r>
              <w:fldChar w:fldCharType="begin"/>
            </w:r>
            <w:r>
              <w:instrText xml:space="preserve"> PAGEREF _Toc100092 \h </w:instrText>
            </w:r>
            <w:r>
              <w:fldChar w:fldCharType="separate"/>
            </w:r>
            <w:r>
              <w:t>28</w:t>
            </w:r>
            <w:r>
              <w:fldChar w:fldCharType="end"/>
            </w:r>
          </w:hyperlink>
        </w:p>
        <w:p>
          <w:pPr>
            <w:pStyle w:val="11"/>
            <w:ind w:left="360"/>
            <w:tabs>
              <w:tab w:val="right" w:leader="dot" w:pos="9026"/>
            </w:tabs>
            <w:spacing w:before="120" w:after="60"/>
          </w:pPr>
          <w:hyperlink w:anchor="_Toc100093" w:history="1">
            <w:r>
              <w:rPr>
                <w:rStyle w:val="Hyperlink"/>
              </w:rPr>
              <w:t>17.3 Sale Cancellation Audit</w:t>
            </w:r>
            <w:r>
              <w:tab/>
            </w:r>
            <w:r>
              <w:fldChar w:fldCharType="begin"/>
            </w:r>
            <w:r>
              <w:instrText xml:space="preserve"> PAGEREF _Toc100093 \h </w:instrText>
            </w:r>
            <w:r>
              <w:fldChar w:fldCharType="separate"/>
            </w:r>
            <w:r>
              <w:t>28</w:t>
            </w:r>
            <w:r>
              <w:fldChar w:fldCharType="end"/>
            </w:r>
          </w:hyperlink>
        </w:p>
        <w:p>
          <w:pPr>
            <w:pStyle w:val="9"/>
            <w:tabs>
              <w:tab w:val="right" w:leader="dot" w:pos="9026"/>
            </w:tabs>
            <w:spacing w:before="120" w:after="60"/>
          </w:pPr>
          <w:hyperlink w:anchor="_Toc100094" w:history="1">
            <w:r>
              <w:rPr>
                <w:rStyle w:val="Hyperlink"/>
              </w:rPr>
              <w:t>18. Summary &amp; What's Next</w:t>
            </w:r>
            <w:r>
              <w:tab/>
            </w:r>
            <w:r>
              <w:fldChar w:fldCharType="begin"/>
            </w:r>
            <w:r>
              <w:instrText xml:space="preserve"> PAGEREF _Toc100094 \h </w:instrText>
            </w:r>
            <w:r>
              <w:fldChar w:fldCharType="separate"/>
            </w:r>
            <w:r>
              <w:t>28</w:t>
            </w:r>
            <w:r>
              <w:fldChar w:fldCharType="end"/>
            </w:r>
          </w:hyperlink>
        </w:p>
        <w:p>
          <w:pPr>
            <w:pStyle w:val="11"/>
            <w:ind w:left="360"/>
            <w:tabs>
              <w:tab w:val="right" w:leader="dot" w:pos="9026"/>
            </w:tabs>
            <w:spacing w:before="120" w:after="60"/>
          </w:pPr>
          <w:hyperlink w:anchor="_Toc100095" w:history="1">
            <w:r>
              <w:rPr>
                <w:rStyle w:val="Hyperlink"/>
              </w:rPr>
              <w:t>18.1 Strengths to Highlight in Sales Pitches</w:t>
            </w:r>
            <w:r>
              <w:tab/>
            </w:r>
            <w:r>
              <w:fldChar w:fldCharType="begin"/>
            </w:r>
            <w:r>
              <w:instrText xml:space="preserve"> PAGEREF _Toc100095 \h </w:instrText>
            </w:r>
            <w:r>
              <w:fldChar w:fldCharType="separate"/>
            </w:r>
            <w:r>
              <w:t>29</w:t>
            </w:r>
            <w:r>
              <w:fldChar w:fldCharType="end"/>
            </w:r>
          </w:hyperlink>
        </w:p>
        <w:p>
          <w:pPr>
            <w:pStyle w:val="11"/>
            <w:ind w:left="360"/>
            <w:tabs>
              <w:tab w:val="right" w:leader="dot" w:pos="9026"/>
            </w:tabs>
            <w:spacing w:before="120" w:after="60"/>
          </w:pPr>
          <w:hyperlink w:anchor="_Toc100096" w:history="1">
            <w:r>
              <w:rPr>
                <w:rStyle w:val="Hyperlink"/>
              </w:rPr>
              <w:t>18.2 Features in Code but NOT Yet Wired to UI</w:t>
            </w:r>
            <w:r>
              <w:tab/>
            </w:r>
            <w:r>
              <w:fldChar w:fldCharType="begin"/>
            </w:r>
            <w:r>
              <w:instrText xml:space="preserve"> PAGEREF _Toc100096 \h </w:instrText>
            </w:r>
            <w:r>
              <w:fldChar w:fldCharType="separate"/>
            </w:r>
            <w:r>
              <w:t>29</w:t>
            </w:r>
            <w:r>
              <w:fldChar w:fldCharType="end"/>
            </w:r>
          </w:hyperlink>
        </w:p>
        <w:p>
          <w:pPr>
            <w:pStyle w:val="11"/>
            <w:ind w:left="360"/>
            <w:tabs>
              <w:tab w:val="right" w:leader="dot" w:pos="9026"/>
            </w:tabs>
            <w:spacing w:before="120" w:after="60"/>
          </w:pPr>
          <w:hyperlink w:anchor="_Toc100097" w:history="1">
            <w:r>
              <w:rPr>
                <w:rStyle w:val="Hyperlink"/>
              </w:rPr>
              <w:t>18.3 Recommended Next Steps</w:t>
            </w:r>
            <w:r>
              <w:tab/>
            </w:r>
            <w:r>
              <w:fldChar w:fldCharType="begin"/>
            </w:r>
            <w:r>
              <w:instrText xml:space="preserve"> PAGEREF _Toc100097 \h </w:instrText>
            </w:r>
            <w:r>
              <w:fldChar w:fldCharType="separate"/>
            </w:r>
            <w:r>
              <w:t>29</w:t>
            </w:r>
            <w:r>
              <w:fldChar w:fldCharType="end"/>
            </w:r>
          </w:hyperlink>
        </w:p>
        <w:p>
          <w:pPr>
            <w:pStyle w:val="11"/>
            <w:ind w:left="360"/>
            <w:tabs>
              <w:tab w:val="right" w:leader="dot" w:pos="9026"/>
            </w:tabs>
            <w:spacing w:before="120" w:after="60"/>
          </w:pPr>
          <w:hyperlink w:anchor="_Toc100098" w:history="1">
            <w:r>
              <w:rPr>
                <w:rStyle w:val="Hyperlink"/>
              </w:rPr>
              <w:t>18.4 Founder's Pitch Summary</w:t>
            </w:r>
            <w:r>
              <w:tab/>
            </w:r>
            <w:r>
              <w:fldChar w:fldCharType="begin"/>
            </w:r>
            <w:r>
              <w:instrText xml:space="preserve"> PAGEREF _Toc100098 \h </w:instrText>
            </w:r>
            <w:r>
              <w:fldChar w:fldCharType="separate"/>
            </w:r>
            <w:r>
              <w:t>30</w:t>
            </w:r>
            <w:r>
              <w:fldChar w:fldCharType="end"/>
            </w:r>
          </w:hyperlink>
        </w:p>
        <w:p>
          <w:r>
            <w:fldChar w:fldCharType="end"/>
          </w:r>
        </w:p>
      </w:sdtContent>
    </w:sdt>
    <w:p>
      <w:pPr>
        <w:spacing w:after="0" w:before="240" w:line="312"/>
      </w:pPr>
      <w:r>
        <w:rPr>
          <w:rFonts w:ascii="Calibri" w:eastAsia="Microsoft YaHei"/>
          <w:i/>
          <w:iCs/>
          <w:color w:val="6B7280"/>
          <w:sz w:val="18"/>
          <w:szCs w:val="18"/>
        </w:rPr>
        <w:t xml:space="preserve">Note: This Table of Contents is generated via field codes. To refresh page numbers after editing,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360" w:line="312"/>
      </w:pPr>
      <w:bookmarkStart w:id="100000" w:name="_Toc100000"/>
      <w:r>
        <w:rPr>
          <w:rFonts w:ascii="Calibri" w:eastAsia="Microsoft YaHei"/>
          <w:b/>
          <w:bCs/>
          <w:color w:val="064E3B"/>
          <w:sz w:val="32"/>
          <w:szCs w:val="32"/>
        </w:rPr>
        <w:t xml:space="preserve">How to Use This Document</w:t>
      </w:r>
      <w:bookmarkEnd w:id="100000"/>
    </w:p>
    <w:p>
      <w:pPr>
        <w:spacing w:after="120" w:before="0" w:line="312"/>
        <w:ind w:firstLine="0"/>
        <w:jc w:val="both"/>
      </w:pPr>
      <w:r>
        <w:rPr>
          <w:rFonts w:ascii="Calibri" w:eastAsia="Microsoft YaHei"/>
          <w:color w:val="1F2937"/>
          <w:sz w:val="22"/>
          <w:szCs w:val="22"/>
        </w:rPr>
        <w:t xml:space="preserve">This document is a complete inventory of every feature currently shipping in InventoryOS. It is organized into two parts. Part 1 (Technical Features) catalogs the infrastructure, architecture, security, and DevOps foundation — the capabilities the system HAS. Part 2 (Business Features) catalogs what the pharmacy owner GETS — the capabilities they can use in the app on a daily basis. Use Part 1 when talking to technical stakeholders, investors, or prospective clients evaluating the platform's reliability. Use Part 2 when pitching to pharmacy owners, building marketing materials, or planning product roadmap.</w:t>
      </w:r>
    </w:p>
    <w:p>
      <w:pPr>
        <w:spacing w:after="120" w:before="0" w:line="312"/>
        <w:ind w:firstLine="0"/>
        <w:jc w:val="both"/>
      </w:pPr>
      <w:r>
        <w:rPr>
          <w:rFonts w:ascii="Calibri" w:eastAsia="Microsoft YaHei"/>
          <w:color w:val="1F2937"/>
          <w:sz w:val="22"/>
          <w:szCs w:val="22"/>
        </w:rPr>
        <w:t xml:space="preserve">Each feature entry includes the feature name, a one-to-two sentence description of what it does, and the primary file path(s) where it is implemented so you can verify any claim by reading the code. The document is intentionally exhaustive rather than curated — every feature that exists in the codebase is listed here, including features that are technically working but not yet wired to the UI (those are flagged explicitly in Section 18). This is your reference for what you are actually shipping to your clients.</w:t>
      </w:r>
    </w:p>
    <w:p>
      <w:pPr>
        <w:pStyle w:val="Heading2"/>
        <w:spacing w:after="140" w:before="280" w:line="312"/>
      </w:pPr>
      <w:bookmarkStart w:id="100001" w:name="_Toc100001"/>
      <w:r>
        <w:rPr>
          <w:rFonts w:ascii="Calibri" w:eastAsia="Microsoft YaHei"/>
          <w:b/>
          <w:bCs/>
          <w:color w:val="064E3B"/>
          <w:sz w:val="28"/>
          <w:szCs w:val="28"/>
        </w:rPr>
        <w:t xml:space="preserve">Quick-Glance Asset Summary</w:t>
      </w:r>
      <w:bookmarkEnd w:id="100001"/>
    </w:p>
    <w:p>
      <w:pPr>
        <w:keepNext/>
        <w:spacing w:after="100" w:before="200"/>
        <w:jc w:val="left"/>
      </w:pPr>
      <w:r>
        <w:rPr>
          <w:rFonts w:ascii="Calibri" w:eastAsia="Microsoft YaHei"/>
          <w:b/>
          <w:bCs/>
          <w:color w:val="064E3B"/>
          <w:sz w:val="21"/>
          <w:szCs w:val="21"/>
        </w:rPr>
        <w:t xml:space="preserve">Table 0.1 — Total Assets in InventoryOS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4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Asset</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Count</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Location</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 route files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84</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src/app/api/**</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Pharmacy UI components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61</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src/modules/pharmacy/components/</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Prisma models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30</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prisma/schema.prisma</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Lib infrastructure files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Scripts (test, backup, migration, generation)</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~52</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scripts/</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shadcn/ui primitives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60+</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src/components/ui/</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Subscription tiers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 (free / pro / pro_ai)</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src/lib/feature-gate.ts</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RBAC roles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 (owner / admin / manager / pharmacist / cashier / stock_clerk)</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src/lib/rbac.ts</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RBAC permissions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41 across 13 namespaces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src/lib/rbac.ts</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SQL Router patterns (free AI shortcuts)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src/lib/sql-router.ts</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 jobs (background)</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src/lib/cron-jobs.ts</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Business modules registered</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 (pharmacy active, 6 coming soon)</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src/lib/modules.ts</w:t>
            </w:r>
          </w:p>
        </w:tc>
      </w:tr>
    </w:tbl>
    <w:p>
      <w:pPr>
        <w:spacing w:after="120" w:before="0" w:line="312"/>
        <w:ind w:firstLine="0"/>
        <w:jc w:val="both"/>
      </w:pPr>
      <w:r>
        <w:rPr>
          <w:rFonts w:ascii="Calibri" w:eastAsia="Microsoft YaHei"/>
          <w:color w:val="1F2937"/>
          <w:sz w:val="22"/>
          <w:szCs w:val="22"/>
        </w:rPr>
        <w:t xml:space="preserve">These numbers are the headline metrics you can quote in any conversation about the platform's scope. Eighty-four API routes means eighty-four distinct backend capabilities the system can perform. Sixty-one UI components means sixty-one distinct screens, dialogs, or widgets the user can interact with. Thirty Prisma models means the database tracks thirty distinct business entity types. These are not vanity metrics — each one represents a real, working feature that has been built, tested, and is shipping today.</w:t>
      </w:r>
    </w:p>
    <w:p>
      <w:r>
        <w:br w:type="page"/>
      </w:r>
    </w:p>
    <w:p>
      <w:pPr>
        <w:spacing w:after="480" w:before="3600" w:line="720" w:lineRule="atLeast"/>
        <w:jc w:val="center"/>
      </w:pPr>
      <w:r>
        <w:rPr>
          <w:rFonts w:ascii="Calibri"/>
          <w:b/>
          <w:bCs/>
          <w:color w:val="10B981"/>
          <w:spacing w:val="80"/>
          <w:sz w:val="36"/>
          <w:szCs w:val="36"/>
        </w:rPr>
        <w:t xml:space="preserve">PART 1</w:t>
      </w:r>
    </w:p>
    <w:p>
      <w:pPr>
        <w:spacing w:after="600" w:line="720" w:lineRule="atLeast"/>
        <w:jc w:val="center"/>
      </w:pPr>
      <w:r>
        <w:rPr>
          <w:rFonts w:ascii="Calibri"/>
          <w:b/>
          <w:bCs/>
          <w:color w:val="064E3B"/>
          <w:sz w:val="56"/>
          <w:szCs w:val="56"/>
        </w:rPr>
        <w:t xml:space="preserve">Technical Features</w:t>
      </w:r>
    </w:p>
    <w:p>
      <w:pPr>
        <w:pBdr>
          <w:bottom w:val="single" w:color="10B981" w:sz="12" w:space="8"/>
        </w:pBdr>
        <w:spacing w:after="600"/>
        <w:ind w:left="3000" w:right="3000"/>
        <w:jc w:val="center"/>
      </w:pPr>
    </w:p>
    <w:p>
      <w:pPr>
        <w:spacing w:line="360" w:lineRule="atLeast"/>
        <w:ind w:left="1800" w:right="1800"/>
        <w:jc w:val="center"/>
      </w:pPr>
      <w:r>
        <w:rPr>
          <w:rFonts w:ascii="Calibri"/>
          <w:i/>
          <w:iCs/>
          <w:color w:val="1F2937"/>
          <w:sz w:val="22"/>
          <w:szCs w:val="22"/>
        </w:rPr>
        <w:t xml:space="preserve">This section catalogs every capability the system HAS — the infrastructure, architecture, security, and DevOps foundation that makes the business features possible. These are the strengths you can highlight to technical stakeholders, investors, and prospective clients evaluating the platform's reliability and scalability.</w:t>
      </w:r>
    </w:p>
    <w:p>
      <w:pPr>
        <w:pStyle w:val="Heading1"/>
        <w:spacing w:after="200" w:before="360" w:line="312"/>
      </w:pPr>
      <w:bookmarkStart w:id="100002" w:name="_Toc100002"/>
      <w:r>
        <w:rPr>
          <w:rFonts w:ascii="Calibri" w:eastAsia="Microsoft YaHei"/>
          <w:b/>
          <w:bCs/>
          <w:color w:val="064E3B"/>
          <w:sz w:val="32"/>
          <w:szCs w:val="32"/>
        </w:rPr>
        <w:t xml:space="preserve">1. Technical Foundation</w:t>
      </w:r>
      <w:bookmarkEnd w:id="100002"/>
    </w:p>
    <w:p>
      <w:pPr>
        <w:pStyle w:val="Heading2"/>
        <w:spacing w:after="140" w:before="280" w:line="312"/>
      </w:pPr>
      <w:bookmarkStart w:id="100003" w:name="_Toc100003"/>
      <w:r>
        <w:rPr>
          <w:rFonts w:ascii="Calibri" w:eastAsia="Microsoft YaHei"/>
          <w:b/>
          <w:bCs/>
          <w:color w:val="064E3B"/>
          <w:sz w:val="28"/>
          <w:szCs w:val="28"/>
        </w:rPr>
        <w:t xml:space="preserve">1.1 Tech Stack</w:t>
      </w:r>
      <w:bookmarkEnd w:id="100003"/>
    </w:p>
    <w:p>
      <w:pPr>
        <w:spacing w:after="120" w:before="0" w:line="312"/>
        <w:ind w:firstLine="0"/>
        <w:jc w:val="both"/>
      </w:pPr>
      <w:r>
        <w:rPr>
          <w:rFonts w:ascii="Calibri" w:eastAsia="Microsoft YaHei"/>
          <w:color w:val="1F2937"/>
          <w:sz w:val="22"/>
          <w:szCs w:val="22"/>
        </w:rPr>
        <w:t xml:space="preserve">InventoryOS is built on a modern, production-grade JavaScript stack optimized for the Bangladesh market. The frontend uses Next.js 16 with the App Router, React 19, and TypeScript 5, providing server components, streaming, and type safety. Styling is handled by Tailwind CSS 4 combined with shadcn/ui (sixty-plus Radix-based primitives), giving a consistent, accessible component library. State management is split between Zustand 5 (for auth and navigation stores with persist middleware) and React Hook Form paired with Zod 4 for form validation. Animations use Framer Motion, and charts use Recharts 2.</w:t>
      </w:r>
    </w:p>
    <w:p>
      <w:pPr>
        <w:spacing w:after="120" w:before="0" w:line="312"/>
        <w:ind w:firstLine="0"/>
        <w:jc w:val="both"/>
      </w:pPr>
      <w:r>
        <w:rPr>
          <w:rFonts w:ascii="Calibri" w:eastAsia="Microsoft YaHei"/>
          <w:color w:val="1F2937"/>
          <w:sz w:val="22"/>
          <w:szCs w:val="22"/>
        </w:rPr>
        <w:t xml:space="preserve">The backend uses Prisma 6 as the ORM, with SQLite for local development and PostgreSQL 16 for production. Redis 7 is used as an optional cache and queue backend, auto-detected via the REDIS_URL environment variable with an in-memory fallback for development. PgBouncer 1.23 sits in front of Postgres in transaction-pooling mode to handle connection scaling. Sentry Next.js handles error tracking and performance tracing on both client and server. The AI layer uses the z-ai-web-dev-sdk package for LLM calls. Passwords are hashed with bcryptjs at 12 salt rounds. The whole stack runs on Bun in production, behind a Caddy reverse proxy.</w:t>
      </w:r>
    </w:p>
    <w:p>
      <w:pPr>
        <w:keepNext/>
        <w:spacing w:after="100" w:before="200"/>
        <w:jc w:val="left"/>
      </w:pPr>
      <w:r>
        <w:rPr>
          <w:rFonts w:ascii="Calibri" w:eastAsia="Microsoft YaHei"/>
          <w:b/>
          <w:bCs/>
          <w:color w:val="064E3B"/>
          <w:sz w:val="21"/>
          <w:szCs w:val="21"/>
        </w:rPr>
        <w:t xml:space="preserve">Table 1.1 — Tech Stack by Layer</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2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Layer</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Technology</w:t>
            </w:r>
          </w:p>
        </w:tc>
        <w:tc>
          <w:tcPr>
            <w:tcW w:type="pct" w:w="4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Frontend framework</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Next.js 16 + React 19</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App Router, server components, streaming</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Language</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TypeScript 5</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Type safety across frontend + backend</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Styling</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Tailwind CSS 4 + shadcn/ui</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Utility-first CSS + 60+ accessible primitives</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State management</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Zustand 5 + React Hook Form + Zod 4</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Global state + form validation</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Animations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Framer Motion</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Page transitions, micro-interactions</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Charts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Recharts 2</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Dashboard charts, sales trends, expiry timelines</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ORM</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Prisma 6</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Type-safe database access, migrations, schema</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Database</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PostgreSQL 16 (prod) + SQLite (dev)</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Relational data store</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Connection pooler</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PgBouncer 1.23</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Transaction pooling, 200 max clients</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Cache</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Redis 7 (optional)</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Dual-backend with in-memory fallback</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 LLM SDK</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z-ai-web-dev-sdk</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GLM-4 chat completions</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Auth</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bcryptjs (12 rounds) + crypto.randomBytes</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Password hashing + session tokens</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Error tracking</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Sentry Next.js</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Client + server error capture, performance tracing</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Reverse proxy</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Caddy</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TLS termination, dynamic upstream routing</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Production runtime</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Bun</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Fast Node-compatible JS runtime</w:t>
            </w:r>
          </w:p>
        </w:tc>
      </w:tr>
      <w:tr>
        <w:trPr>
          <w:cantSplit/>
        </w:trPr>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Containerization</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Docker (3-stage Dockerfile) + docker-compose</w:t>
            </w:r>
          </w:p>
        </w:tc>
        <w:tc>
          <w:tcPr>
            <w:tcW w:type="pct" w:w="4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4-service stack: db, pgbouncer, redis, app</w:t>
            </w:r>
          </w:p>
        </w:tc>
      </w:tr>
    </w:tbl>
    <w:p>
      <w:pPr>
        <w:pStyle w:val="Heading2"/>
        <w:spacing w:after="140" w:before="280" w:line="312"/>
      </w:pPr>
      <w:bookmarkStart w:id="100004" w:name="_Toc100004"/>
      <w:r>
        <w:rPr>
          <w:rFonts w:ascii="Calibri" w:eastAsia="Microsoft YaHei"/>
          <w:b/>
          <w:bCs/>
          <w:color w:val="064E3B"/>
          <w:sz w:val="28"/>
          <w:szCs w:val="28"/>
        </w:rPr>
        <w:t xml:space="preserve">1.2 Architecture</w:t>
      </w:r>
      <w:bookmarkEnd w:id="100004"/>
    </w:p>
    <w:p>
      <w:pPr>
        <w:spacing w:after="120" w:before="0" w:line="312"/>
        <w:ind w:firstLine="0"/>
        <w:jc w:val="both"/>
      </w:pPr>
      <w:r>
        <w:rPr>
          <w:rFonts w:ascii="Calibri" w:eastAsia="Microsoft YaHei"/>
          <w:color w:val="1F2937"/>
          <w:sz w:val="22"/>
          <w:szCs w:val="22"/>
        </w:rPr>
        <w:t xml:space="preserve">InventoryOS is a multi-tenant SaaS where every business is isolated by businessId. Every database entity from Product down to AIUsageLog carries a businessId foreign key with onDelete: Cascade, so deleting a business cleanly removes all its data. A Module Registry pattern in src/lib/modules.ts defines seven business types (pharmacy, grocery, restaurant, cctv, mobile, electric, bakery), with only pharmacy currently active. The other six are registered with isActive: false, ready to be activated as the platform expands to other verticals.</w:t>
      </w:r>
    </w:p>
    <w:p>
      <w:pPr>
        <w:spacing w:after="120" w:before="0" w:line="312"/>
        <w:ind w:firstLine="0"/>
        <w:jc w:val="both"/>
      </w:pPr>
      <w:r>
        <w:rPr>
          <w:rFonts w:ascii="Calibri" w:eastAsia="Microsoft YaHei"/>
          <w:color w:val="1F2937"/>
          <w:sz w:val="22"/>
          <w:szCs w:val="22"/>
        </w:rPr>
        <w:t xml:space="preserve">Authentication is enforced at the Edge runtime via middleware (src/middleware.ts). The middleware intercepts every request to /api/businesses/* and /api/super-admin/*, extracts the Bearer token or session_token cookie, and forwards it via the x-inventory-token header. Requests without a token receive a 401 before any backend code runs. This keeps the auth check fast (Edge runtime, no DB round-trip) and consistent across all routes.</w:t>
      </w:r>
    </w:p>
    <w:p>
      <w:pPr>
        <w:spacing w:after="120" w:before="0" w:line="312"/>
        <w:ind w:firstLine="0"/>
        <w:jc w:val="both"/>
      </w:pPr>
      <w:r>
        <w:rPr>
          <w:rFonts w:ascii="Calibri" w:eastAsia="Microsoft YaHei"/>
          <w:color w:val="1F2937"/>
          <w:sz w:val="22"/>
          <w:szCs w:val="22"/>
        </w:rPr>
        <w:t xml:space="preserve">The pharmacy UI uses a 5-tab mobile-first navigation (Home, Stock, Sell, AI, More) implemented in BottomNav.tsx. A hub-and-spoke view system in src/lib/nav-store.ts routes between 47 distinct PharmacyView values without using URL-based routing, which keeps the mobile UX snappy. The Next.js build produces a standalone server bundle (.next/standalone/server.js) optimized for Docker deployment. A /api/health endpoint exposes liveness and readiness probes returning database latency, Redis status, uptime, version, and environment — used by Docker's healthcheck (every 15 seconds) and by orchestrators like Kubernetes or Caddy.</w:t>
      </w:r>
    </w:p>
    <w:p>
      <w:pPr>
        <w:pStyle w:val="Heading1"/>
        <w:spacing w:after="200" w:before="360" w:line="312"/>
      </w:pPr>
      <w:bookmarkStart w:id="100005" w:name="_Toc100005"/>
      <w:r>
        <w:rPr>
          <w:rFonts w:ascii="Calibri" w:eastAsia="Microsoft YaHei"/>
          <w:b/>
          <w:bCs/>
          <w:color w:val="064E3B"/>
          <w:sz w:val="32"/>
          <w:szCs w:val="32"/>
        </w:rPr>
        <w:t xml:space="preserve">2. Authentication &amp; Authorization</w:t>
      </w:r>
      <w:bookmarkEnd w:id="100005"/>
    </w:p>
    <w:p>
      <w:pPr>
        <w:pStyle w:val="Heading2"/>
        <w:spacing w:after="140" w:before="280" w:line="312"/>
      </w:pPr>
      <w:bookmarkStart w:id="100006" w:name="_Toc100006"/>
      <w:r>
        <w:rPr>
          <w:rFonts w:ascii="Calibri" w:eastAsia="Microsoft YaHei"/>
          <w:b/>
          <w:bCs/>
          <w:color w:val="064E3B"/>
          <w:sz w:val="28"/>
          <w:szCs w:val="28"/>
        </w:rPr>
        <w:t xml:space="preserve">2.1 Authentication</w:t>
      </w:r>
      <w:bookmarkEnd w:id="100006"/>
    </w:p>
    <w:p>
      <w:pPr>
        <w:spacing w:after="120" w:before="0" w:line="312"/>
        <w:ind w:firstLine="0"/>
        <w:jc w:val="both"/>
      </w:pPr>
      <w:r>
        <w:rPr>
          <w:rFonts w:ascii="Calibri" w:eastAsia="Microsoft YaHei"/>
          <w:color w:val="1F2937"/>
          <w:sz w:val="22"/>
          <w:szCs w:val="22"/>
        </w:rPr>
        <w:t xml:space="preserve">InventoryOS uses a phone-first authentication flow designed for the Bangladesh market. Users enter a Bangladeshi phone number (validated against the +8801XXXXXXXXX pattern), receive a 4-digit OTP via SMS (in development, the demo OTP is 9999 for the seed phone 01787492561), and verify it within a 5-minute window. OTPs are single-use (tracked by an isUsed flag in the OtpVerification table) and lazily deleted by the daily maintenance cron job. Once verified, the user creates a per-business login (username + password scoped to a compound unique constraint on businessId + username).</w:t>
      </w:r>
    </w:p>
    <w:p>
      <w:pPr>
        <w:spacing w:after="120" w:before="0" w:line="312"/>
        <w:ind w:firstLine="0"/>
        <w:jc w:val="both"/>
      </w:pPr>
      <w:r>
        <w:rPr>
          <w:rFonts w:ascii="Calibri" w:eastAsia="Microsoft YaHei"/>
          <w:color w:val="1F2937"/>
          <w:sz w:val="22"/>
          <w:szCs w:val="22"/>
        </w:rPr>
        <w:t xml:space="preserve">Session tokens are 32-byte crypto-random hex strings, stored hashed in the Session table with an expiresAt timestamp and deviceInfo (user agent, IP). Sessions are validated on every API request by looking up the token in the database. The Super Admin system uses a separate auth path: a SuperAdmin/SuperAdminSession table pair with a 7-day token TTL and Bearer authentication, completely isolated from the business user auth path. This means a compromise of business user tokens cannot affect the super-admin surface.</w:t>
      </w:r>
    </w:p>
    <w:p>
      <w:pPr>
        <w:pStyle w:val="Heading2"/>
        <w:spacing w:after="140" w:before="280" w:line="312"/>
      </w:pPr>
      <w:bookmarkStart w:id="100007" w:name="_Toc100007"/>
      <w:r>
        <w:rPr>
          <w:rFonts w:ascii="Calibri" w:eastAsia="Microsoft YaHei"/>
          <w:b/>
          <w:bCs/>
          <w:color w:val="064E3B"/>
          <w:sz w:val="28"/>
          <w:szCs w:val="28"/>
        </w:rPr>
        <w:t xml:space="preserve">2.2 RBAC (Role-Based Access Control)</w:t>
      </w:r>
      <w:bookmarkEnd w:id="100007"/>
    </w:p>
    <w:p>
      <w:pPr>
        <w:spacing w:after="120" w:before="0" w:line="312"/>
        <w:ind w:firstLine="0"/>
        <w:jc w:val="both"/>
      </w:pPr>
      <w:r>
        <w:rPr>
          <w:rFonts w:ascii="Calibri" w:eastAsia="Microsoft YaHei"/>
          <w:color w:val="1F2937"/>
          <w:sz w:val="22"/>
          <w:szCs w:val="22"/>
        </w:rPr>
        <w:t xml:space="preserve">InventoryOS ships with a complete RBAC system in src/lib/rbac.ts. Six roles are defined (owner, admin, manager, pharmacist, cashier, stock_clerk) covering every staffing pattern a pharmacy might have. Each role has a default set of permissions across 13 namespaces (dashboard, products, batches, sales, customers, suppliers, purchases, expiry, reports, alerts, users, transactions, ai). Forty-one distinct permission strings are defined — for example, products:create, batches:quarantine, sales:refund, reports:tax:view. The owner role has all 41 permissions; the stock_clerk role has approximately 12 (mostly read + inventory adjustments).</w:t>
      </w:r>
    </w:p>
    <w:p>
      <w:pPr>
        <w:spacing w:after="120" w:before="0" w:line="312"/>
        <w:ind w:firstLine="0"/>
        <w:jc w:val="both"/>
      </w:pPr>
      <w:r>
        <w:rPr>
          <w:rFonts w:ascii="Calibri" w:eastAsia="Microsoft YaHei"/>
          <w:color w:val="1F2937"/>
          <w:sz w:val="22"/>
          <w:szCs w:val="22"/>
        </w:rPr>
        <w:t xml:space="preserve">Per-user permission overrides are supported via a JSON column on BusinessUser.permissions. When this column is null, the user inherits their role's default permissions. When it is set, the JSON object is merged with the role defaults, allowing granular additions or removals. The client-side usePermissions(businessId) hook fetches the user's effective permission set and exposes hasPermission(perm) and hasAnyPermission(perms) helpers. A &lt;PermissionGate&gt; component declaratively hides UI elements based on permission, so unauthorized users never even see buttons they cannot click.</w:t>
      </w:r>
    </w:p>
    <w:p>
      <w:pPr>
        <w:keepNext/>
        <w:spacing w:after="100" w:before="200"/>
        <w:jc w:val="left"/>
      </w:pPr>
      <w:r>
        <w:rPr>
          <w:rFonts w:ascii="Calibri" w:eastAsia="Microsoft YaHei"/>
          <w:b/>
          <w:bCs/>
          <w:color w:val="064E3B"/>
          <w:sz w:val="21"/>
          <w:szCs w:val="21"/>
        </w:rPr>
        <w:t xml:space="preserve">Table 2.1 — RBAC Roles and Default Permission Scope</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Role</w:t>
            </w:r>
          </w:p>
        </w:tc>
        <w:tc>
          <w:tcPr>
            <w:tcW w:type="pct" w:w="3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Permission Count (approx)</w:t>
            </w:r>
          </w:p>
        </w:tc>
        <w:tc>
          <w:tcPr>
            <w:tcW w:type="pct" w:w="4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Typical Staff Member</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owner</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41 (all)</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Pharmacy owner / proprietor</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admin</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38 (no super-admin actions)</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Senior manager / co-owner</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manager</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32 (no user management)</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Shift manager</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pharmacist</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26 (no financial reports)</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Licensed pharmacist</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cashier</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14 (sales + payments only)</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Front-counter cashier</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stock_clerk</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 (inventory + batches only)</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Stock room staff</w:t>
            </w:r>
          </w:p>
        </w:tc>
      </w:tr>
    </w:tbl>
    <w:p>
      <w:pPr>
        <w:pStyle w:val="Heading1"/>
        <w:spacing w:after="200" w:before="360" w:line="312"/>
      </w:pPr>
      <w:bookmarkStart w:id="100008" w:name="_Toc100008"/>
      <w:r>
        <w:rPr>
          <w:rFonts w:ascii="Calibri" w:eastAsia="Microsoft YaHei"/>
          <w:b/>
          <w:bCs/>
          <w:color w:val="064E3B"/>
          <w:sz w:val="32"/>
          <w:szCs w:val="32"/>
        </w:rPr>
        <w:t xml:space="preserve">3. Database &amp; Caching</w:t>
      </w:r>
      <w:bookmarkEnd w:id="100008"/>
    </w:p>
    <w:p>
      <w:pPr>
        <w:pStyle w:val="Heading2"/>
        <w:spacing w:after="140" w:before="280" w:line="312"/>
      </w:pPr>
      <w:bookmarkStart w:id="100009" w:name="_Toc100009"/>
      <w:r>
        <w:rPr>
          <w:rFonts w:ascii="Calibri" w:eastAsia="Microsoft YaHei"/>
          <w:b/>
          <w:bCs/>
          <w:color w:val="064E3B"/>
          <w:sz w:val="28"/>
          <w:szCs w:val="28"/>
        </w:rPr>
        <w:t xml:space="preserve">3.1 Database Layer</w:t>
      </w:r>
      <w:bookmarkEnd w:id="100009"/>
    </w:p>
    <w:p>
      <w:pPr>
        <w:spacing w:after="120" w:before="0" w:line="312"/>
        <w:ind w:firstLine="0"/>
        <w:jc w:val="both"/>
      </w:pPr>
      <w:r>
        <w:rPr>
          <w:rFonts w:ascii="Calibri" w:eastAsia="Microsoft YaHei"/>
          <w:color w:val="1F2937"/>
          <w:sz w:val="22"/>
          <w:szCs w:val="22"/>
        </w:rPr>
        <w:t xml:space="preserve">InventoryOS uses Prisma 6 as its ORM, with thirty models defined in prisma/schema.prisma. The models span every business domain: core (BusinessType, User, Business, BusinessUser, Category, Product, Batch, Inventory), sales (Sale, SaleItem, Payment, Return, ReturnItem, Customer, DiscountRule), purchases (Supplier, Purchase, PurchaseItem), expiry (Batch with status field, FefoOverride), AI (AIUsageLog, AIResponseCache), admin (SuperAdmin, SuperAdminSession), and ops (Session, OtpVerification, AlertPreference, NotificationLog, Transaction, BusinessDailyStats, CronJobLog).</w:t>
      </w:r>
    </w:p>
    <w:p>
      <w:pPr>
        <w:spacing w:after="120" w:before="0" w:line="312"/>
        <w:ind w:firstLine="0"/>
        <w:jc w:val="both"/>
      </w:pPr>
      <w:r>
        <w:rPr>
          <w:rFonts w:ascii="Calibri" w:eastAsia="Microsoft YaHei"/>
          <w:color w:val="1F2937"/>
          <w:sz w:val="22"/>
          <w:szCs w:val="22"/>
        </w:rPr>
        <w:t xml:space="preserve">The development environment uses SQLite for fast iteration; production uses PostgreSQL 16. A migration script (scripts/migrate-to-postgres.js) handles the SQLite-to-Postgres cutover with --dry-run and --verify-only modes, handles the Transaction reserved word (which is reserved in Postgres but not SQLite), validates JSON columns, and resets Postgres sequences after migration. In production, two DATABASE_URLs are configured: a pooled runtime URL (with ?pgbouncer=true&amp;connection_limit=1) used by the app, and a DIRECT_DATABASE_URL used only by Prisma migrations (which cannot run through PgBouncer).</w:t>
      </w:r>
    </w:p>
    <w:p>
      <w:pPr>
        <w:spacing w:after="120" w:before="0" w:line="312"/>
        <w:ind w:firstLine="0"/>
        <w:jc w:val="both"/>
      </w:pPr>
      <w:r>
        <w:rPr>
          <w:rFonts w:ascii="Calibri" w:eastAsia="Microsoft YaHei"/>
          <w:color w:val="1F2937"/>
          <w:sz w:val="22"/>
          <w:szCs w:val="22"/>
        </w:rPr>
        <w:t xml:space="preserve">Indexes are placed on every query column — for example, the Batch table has a compound index on (expiryDate, status, supplierId) because the expiry dashboard filters by all three. Compound unique constraints enforce data integrity: (businessId, invoiceNo) on Sale, (businessId, username) on BusinessUser, (businessId, date) on BusinessDailyStats, and (businessId, feature, normalizedQuery, dataHash) on AIResponseCache. Foreign keys to Customer and Supplier use onDelete: SetNull rather than Cascade, so deleting a customer preserves their historical sales records (the customerId becomes null but the sale remains). A Prisma global singleton in src/lib/db.ts prevents hot-reload connection storms during development.</w:t>
      </w:r>
    </w:p>
    <w:p>
      <w:pPr>
        <w:pStyle w:val="Heading2"/>
        <w:spacing w:after="140" w:before="280" w:line="312"/>
      </w:pPr>
      <w:bookmarkStart w:id="100010" w:name="_Toc100010"/>
      <w:r>
        <w:rPr>
          <w:rFonts w:ascii="Calibri" w:eastAsia="Microsoft YaHei"/>
          <w:b/>
          <w:bCs/>
          <w:color w:val="064E3B"/>
          <w:sz w:val="28"/>
          <w:szCs w:val="28"/>
        </w:rPr>
        <w:t xml:space="preserve">3.2 Caching Layer</w:t>
      </w:r>
      <w:bookmarkEnd w:id="100010"/>
    </w:p>
    <w:p>
      <w:pPr>
        <w:spacing w:after="120" w:before="0" w:line="312"/>
        <w:ind w:firstLine="0"/>
        <w:jc w:val="both"/>
      </w:pPr>
      <w:r>
        <w:rPr>
          <w:rFonts w:ascii="Calibri" w:eastAsia="Microsoft YaHei"/>
          <w:color w:val="1F2937"/>
          <w:sz w:val="22"/>
          <w:szCs w:val="22"/>
        </w:rPr>
        <w:t xml:space="preserve">InventoryOS implements a dual-backend cache in src/lib/cache.ts. When REDIS_URL is set (production), the cache uses ioredis with SCAN-based prefix invalidation. When REDIS_URL is not set (development), the cache falls back to an in-memory Map with TTL timers. The backend is auto-detected via a Proxy-based singleton that lazy-loads on first access, so the rest of the code never needs to know which backend is active. A getOrCompute&lt;T&gt; helper provides read-through caching: if the key exists, return it; otherwise, compute the value, store it with a TTL, and return it.</w:t>
      </w:r>
    </w:p>
    <w:p>
      <w:pPr>
        <w:spacing w:after="120" w:before="0" w:line="312"/>
        <w:ind w:firstLine="0"/>
        <w:jc w:val="both"/>
      </w:pPr>
      <w:r>
        <w:rPr>
          <w:rFonts w:ascii="Calibri" w:eastAsia="Microsoft YaHei"/>
          <w:color w:val="1F2937"/>
          <w:sz w:val="22"/>
          <w:szCs w:val="22"/>
        </w:rPr>
        <w:t xml:space="preserve">Eleven named TTLs are defined for different cache categories, ranging from 120 seconds (PRODUCT_LIST, SALES_LIST, BATCH_LIST) to 3600 seconds (VALUATION, EXPIRY_STATS). Invalidation helpers (invalidateOnSale, invalidateOnPurchase, invalidateOnProductChange, invalidateOnBatchChange, invalidateOnPayment) automatically clear the relevant cache prefixes when underlying data changes, so the user never sees stale data. Redis health is exposed via the /api/health endpoint (isRedisEnabled and isRedisConnected booleans), which allows monitoring to detect cache backend failures before they affect users.</w:t>
      </w:r>
    </w:p>
    <w:p>
      <w:pPr>
        <w:keepNext/>
        <w:spacing w:after="100" w:before="200"/>
        <w:jc w:val="left"/>
      </w:pPr>
      <w:r>
        <w:rPr>
          <w:rFonts w:ascii="Calibri" w:eastAsia="Microsoft YaHei"/>
          <w:b/>
          <w:bCs/>
          <w:color w:val="064E3B"/>
          <w:sz w:val="21"/>
          <w:szCs w:val="21"/>
        </w:rPr>
        <w:t xml:space="preserve">Table 3.1 — Cache TTL Presets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Cache Key Prefix</w:t>
            </w:r>
          </w:p>
        </w:tc>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TTL (seconds)</w:t>
            </w:r>
          </w:p>
        </w:tc>
        <w:tc>
          <w:tcPr>
            <w:tcW w:type="pct" w:w="4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Used For</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dashboard</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300 (5 min)</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Pharmacy dashboard stats</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business-dash</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600 (10 min)</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Unified business dashboard KPIs</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valuation</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3600 (1 hour)</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Inventory valuation report data</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expiry-stats</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3600 (1 hour)</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Expiry dashboard aggregations</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analytics</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900 (15 min)</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Sales analytics dashboard</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product-list</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120 (2 min)</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 list page results</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categories</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600 (10 min)</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Category list (rarely changes)</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sales-list</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120 (2 min)</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Recent sales list</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batch-list</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120 (2 min)</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Batch list per product</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stats</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300 (5 min)</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Generic stats endpoints</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ai-cache</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86400 (24 hours)</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response cache (separate table)</w:t>
            </w:r>
          </w:p>
        </w:tc>
      </w:tr>
    </w:tbl>
    <w:p>
      <w:pPr>
        <w:pStyle w:val="Heading1"/>
        <w:spacing w:after="200" w:before="360" w:line="312"/>
      </w:pPr>
      <w:bookmarkStart w:id="100011" w:name="_Toc100011"/>
      <w:r>
        <w:rPr>
          <w:rFonts w:ascii="Calibri" w:eastAsia="Microsoft YaHei"/>
          <w:b/>
          <w:bCs/>
          <w:color w:val="064E3B"/>
          <w:sz w:val="32"/>
          <w:szCs w:val="32"/>
        </w:rPr>
        <w:t xml:space="preserve">4. AI Infrastructure</w:t>
      </w:r>
      <w:bookmarkEnd w:id="100011"/>
    </w:p>
    <w:p>
      <w:pPr>
        <w:spacing w:after="120" w:before="0" w:line="312"/>
        <w:ind w:firstLine="0"/>
        <w:jc w:val="both"/>
      </w:pPr>
      <w:r>
        <w:rPr>
          <w:rFonts w:ascii="Calibri" w:eastAsia="Microsoft YaHei"/>
          <w:color w:val="1F2937"/>
          <w:sz w:val="22"/>
          <w:szCs w:val="22"/>
        </w:rPr>
        <w:t xml:space="preserve">InventoryOS ships with a complete AI cost-control stack in src/lib/ that prevents the platform from ever losing money on AI calls. The stack has five layers, executed in order: subscription status check (is the business on a pro_ai tier?), aiEnabled flag check (has the founder manually disabled AI for this business?), burst rate limit (5 calls per 60 seconds), daily rate limit (50 calls per day), monthly rate limit (1000 calls per month), and token budget (500,000 tokens per month). If any layer rejects the call, the request falls through to the bilingual fallback system rather than hitting the LLM. This stack is shared by all four LLM endpoints (chat, insights, expiry-optimizer, product-assistant) via the checkAILimit() function in src/lib/ai-rate-limit.ts.</w:t>
      </w:r>
    </w:p>
    <w:p>
      <w:pPr>
        <w:pStyle w:val="Heading2"/>
        <w:spacing w:after="140" w:before="280" w:line="312"/>
      </w:pPr>
      <w:bookmarkStart w:id="100012" w:name="_Toc100012"/>
      <w:r>
        <w:rPr>
          <w:rFonts w:ascii="Calibri" w:eastAsia="Microsoft YaHei"/>
          <w:b/>
          <w:bCs/>
          <w:color w:val="064E3B"/>
          <w:sz w:val="28"/>
          <w:szCs w:val="28"/>
        </w:rPr>
        <w:t xml:space="preserve">4.1 AI Cost Control</w:t>
      </w:r>
      <w:bookmarkEnd w:id="100012"/>
    </w:p>
    <w:p>
      <w:pPr>
        <w:spacing w:after="120" w:before="0" w:line="312"/>
        <w:ind w:firstLine="0"/>
        <w:jc w:val="both"/>
      </w:pPr>
      <w:r>
        <w:rPr>
          <w:rFonts w:ascii="Calibri" w:eastAsia="Microsoft YaHei"/>
          <w:color w:val="1F2937"/>
          <w:sz w:val="22"/>
          <w:szCs w:val="22"/>
        </w:rPr>
        <w:t xml:space="preserve">Every LLM call is logged to the AIUsageLog table with the businessId, feature name (e.g., 'chat', 'insights', 'expiry-optimizer', 'product-assistant:check_interactions'), tokensUsed (estimated via a length-divided-by-3.5 heuristic for English/Bangla mixed text), costEstimate (in BDT, computed as tokensUsed divided by 1000 multiplied by 0.03), success boolean, errorMessage, and timestamp. This data feeds the super-admin AI usage dashboard, which shows total platform cost today, top spenders, per-feature breakdown, 7-day trend, and abuse alerts. The cost rate of 0.03 BDT per 1,000 tokens is hardcoded in src/lib/ai-rate-limit.ts and reflects Z.ai GLM-4 pricing — roughly 18 times cheaper than OpenAI GPT-4o.</w:t>
      </w:r>
    </w:p>
    <w:p>
      <w:pPr>
        <w:pStyle w:val="Heading2"/>
        <w:spacing w:after="140" w:before="280" w:line="312"/>
      </w:pPr>
      <w:bookmarkStart w:id="100013" w:name="_Toc100013"/>
      <w:r>
        <w:rPr>
          <w:rFonts w:ascii="Calibri" w:eastAsia="Microsoft YaHei"/>
          <w:b/>
          <w:bCs/>
          <w:color w:val="064E3B"/>
          <w:sz w:val="28"/>
          <w:szCs w:val="28"/>
        </w:rPr>
        <w:t xml:space="preserve">4.2 AI Response Cache</w:t>
      </w:r>
      <w:bookmarkEnd w:id="100013"/>
    </w:p>
    <w:p>
      <w:pPr>
        <w:spacing w:after="120" w:before="0" w:line="312"/>
        <w:ind w:firstLine="0"/>
        <w:jc w:val="both"/>
      </w:pPr>
      <w:r>
        <w:rPr>
          <w:rFonts w:ascii="Calibri" w:eastAsia="Microsoft YaHei"/>
          <w:color w:val="1F2937"/>
          <w:sz w:val="22"/>
          <w:szCs w:val="22"/>
        </w:rPr>
        <w:t xml:space="preserve">A 24-hour AI response cache is implemented in src/lib/ai-cache.ts and stored in the AIResponseCache Prisma model (not in Redis — the cache needs to survive Redis restarts). The cache key is a compound of (businessId, feature, normalizedQuery, dataHash). The normalizedQuery is the user's input lowercased with punctuation stripped, so 'Low stock?' and 'low stock' hit the same cache entry. The dataHash is a SHA-256 hex of the underlying data summary (e.g., inventory snapshot, sales history), so if the data changes, the cache automatically misses — the user never sees a stale AI response. Expired rows are lazily deleted on read, and the daily maintenance cron job runs pruneExpiredCacheEntries() to bulk-clean old rows.</w:t>
      </w:r>
    </w:p>
    <w:p>
      <w:pPr>
        <w:pStyle w:val="Heading2"/>
        <w:spacing w:after="140" w:before="280" w:line="312"/>
      </w:pPr>
      <w:bookmarkStart w:id="100014" w:name="_Toc100014"/>
      <w:r>
        <w:rPr>
          <w:rFonts w:ascii="Calibri" w:eastAsia="Microsoft YaHei"/>
          <w:b/>
          <w:bCs/>
          <w:color w:val="064E3B"/>
          <w:sz w:val="28"/>
          <w:szCs w:val="28"/>
        </w:rPr>
        <w:t xml:space="preserve">4.3 SQL Router (Zero-Token Path)</w:t>
      </w:r>
      <w:bookmarkEnd w:id="100014"/>
    </w:p>
    <w:p>
      <w:pPr>
        <w:spacing w:after="120" w:before="0" w:line="312"/>
        <w:ind w:firstLine="0"/>
        <w:jc w:val="both"/>
      </w:pPr>
      <w:r>
        <w:rPr>
          <w:rFonts w:ascii="Calibri" w:eastAsia="Microsoft YaHei"/>
          <w:color w:val="1F2937"/>
          <w:sz w:val="22"/>
          <w:szCs w:val="22"/>
        </w:rPr>
        <w:t xml:space="preserve">Twenty common natural-language questions are intercepted by the SQL Router in src/lib/sql-router.ts and answered with deterministic Prisma queries — zero LLM tokens consumed. This single piece of infrastructure can absorb 40 to 60 percent of chat traffic based on the patterns it recognizes. The router matches the user's query against twenty patterns and, on a hit, returns a markdown-formatted response with real data. Only queries that do not match any pattern fall through to the LLM. The super-admin AI usage dashboard tracks SQL router hit count separately from LLM call count, so the founder can see exactly how much money the router is saving.</w:t>
      </w:r>
    </w:p>
    <w:p>
      <w:pPr>
        <w:keepNext/>
        <w:spacing w:after="100" w:before="200"/>
        <w:jc w:val="left"/>
      </w:pPr>
      <w:r>
        <w:rPr>
          <w:rFonts w:ascii="Calibri" w:eastAsia="Microsoft YaHei"/>
          <w:b/>
          <w:bCs/>
          <w:color w:val="064E3B"/>
          <w:sz w:val="21"/>
          <w:szCs w:val="21"/>
        </w:rPr>
        <w:t xml:space="preserve">Table 4.1 — SQL Router Patterns (Zero-Token Shortcuts)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t>
            </w:r>
          </w:p>
        </w:tc>
        <w:tc>
          <w:tcPr>
            <w:tcW w:type="pct" w:w="3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User Query Pattern</w:t>
            </w:r>
          </w:p>
        </w:tc>
        <w:tc>
          <w:tcPr>
            <w:tcW w:type="pct" w:w="6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What It Returns</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low stock / low-stock</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Products below reorder level, with current qty + reorder level</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out of stock / out-of-stock</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Products with zero inventory</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 count / product-count</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Total product count + active vs. inactive breakdown</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today sales / today-sales</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Today's sales total, count, top 3 products</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top selling / top-selling</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Top 10 products by sales quantity (last 30 days)</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expiring soon / expiring-soon</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Batches expiring in next 30 days, with value at risk</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expired</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Already-expired batches, with value</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customers owe / customers-owe</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Outstanding customer credit totals + top debtors</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9</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owe suppliers / owe-suppliers</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Outstanding supplier payable totals + top creditors</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inventory value / inventory-value</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Total inventory at cost + at MRP + potential profit</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11</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total customers / total-customers</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Customer count + new this month</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total suppliers / total-suppliers</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Supplier count + active this month</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13</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month sales / month-sales</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This month's sales total + comparison to last month</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14</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week sales / week-sales</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This week's sales total + comparison to last week</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recent purchases / recent-purchases</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Last 5 purchase orders with supplier + total</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16</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categories</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All categories with product count per category</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17</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today purchases / today-purchases</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Today's purchase total + count</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18</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returns</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Recent returns with reason + refund amount</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19</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payments received / payments-received</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Today's payments received by method</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dashboard summary / dashboard-summary</w:t>
            </w:r>
          </w:p>
        </w:tc>
        <w:tc>
          <w:tcPr>
            <w:tcW w:type="pct" w:w="6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Full KPI snapshot (sales, purchases, inventory, expiry)</w:t>
            </w:r>
          </w:p>
        </w:tc>
      </w:tr>
    </w:tbl>
    <w:p>
      <w:pPr>
        <w:pStyle w:val="Heading2"/>
        <w:spacing w:after="140" w:before="280" w:line="312"/>
      </w:pPr>
      <w:bookmarkStart w:id="100015" w:name="_Toc100015"/>
      <w:r>
        <w:rPr>
          <w:rFonts w:ascii="Calibri" w:eastAsia="Microsoft YaHei"/>
          <w:b/>
          <w:bCs/>
          <w:color w:val="064E3B"/>
          <w:sz w:val="28"/>
          <w:szCs w:val="28"/>
        </w:rPr>
        <w:t xml:space="preserve">4.4 Fallback System</w:t>
      </w:r>
      <w:bookmarkEnd w:id="100015"/>
    </w:p>
    <w:p>
      <w:pPr>
        <w:spacing w:after="120" w:before="0" w:line="312"/>
        <w:ind w:firstLine="0"/>
        <w:jc w:val="both"/>
      </w:pPr>
      <w:r>
        <w:rPr>
          <w:rFonts w:ascii="Calibri" w:eastAsia="Microsoft YaHei"/>
          <w:color w:val="1F2937"/>
          <w:sz w:val="22"/>
          <w:szCs w:val="22"/>
        </w:rPr>
        <w:t xml:space="preserve">When an LLM call fails (Z.ai down, timeout, JSON parse error, rate limit hit), the fallback system in src/lib/ai-fallback.ts returns a graceful response instead of a 500 error. Nine reason codes are defined: llm_unavailable, llm_timeout, rate_limit_daily, rate_limit_monthly, rate_limit_tokens, rate_limit_burst, no_cached_data, parse_error, unknown. Each reason code has both English and Bangla user-facing messages, so the user sees 'AI is temporarily unavailable. Please try again in a few minutes. / এই সাময়িক সময়ে ব্যস্ত । কয়েক মিনিট পর আবার চেষ্টা করুন ।' An error classifier (classifyError()) matches substrings like 'timeout', 'econnrefused', 'json', '503' to the right reason code. A getLastSuccessfulCall(maxAgeHours) helper surfaces stale-but-safe cached responses when fresh calls fail, so the user still gets value during Z.ai outages.</w:t>
      </w:r>
    </w:p>
    <w:p>
      <w:pPr>
        <w:pStyle w:val="Heading2"/>
        <w:spacing w:after="140" w:before="280" w:line="312"/>
      </w:pPr>
      <w:bookmarkStart w:id="100016" w:name="_Toc100016"/>
      <w:r>
        <w:rPr>
          <w:rFonts w:ascii="Calibri" w:eastAsia="Microsoft YaHei"/>
          <w:b/>
          <w:bCs/>
          <w:color w:val="064E3B"/>
          <w:sz w:val="28"/>
          <w:szCs w:val="28"/>
        </w:rPr>
        <w:t xml:space="preserve">4.5 AI Usage Logging</w:t>
      </w:r>
      <w:bookmarkEnd w:id="100016"/>
    </w:p>
    <w:p>
      <w:pPr>
        <w:spacing w:after="120" w:before="0" w:line="312"/>
        <w:ind w:firstLine="0"/>
        <w:jc w:val="both"/>
      </w:pPr>
      <w:r>
        <w:rPr>
          <w:rFonts w:ascii="Calibri" w:eastAsia="Microsoft YaHei"/>
          <w:color w:val="1F2937"/>
          <w:sz w:val="22"/>
          <w:szCs w:val="22"/>
        </w:rPr>
        <w:t xml:space="preserve">Every AI call, whether successful or failed, writes a row to the AIUsageLog table. The row captures businessId, feature (with sub-action for product-assistant, e.g., 'product-assistant:check_interactions'), tokensUsed (estimated), costEstimate (in BDT), success boolean, errorMessage (if failed), and createdAt. Indexes on (businessId), (feature), (createdAt), and (businessId, createdAt) make the super-admin dashboard queries fast even at scale. This audit trail is the data source for all AI cost reporting in the platform.</w:t>
      </w:r>
    </w:p>
    <w:p>
      <w:pPr>
        <w:pStyle w:val="Heading1"/>
        <w:spacing w:after="200" w:before="360" w:line="312"/>
      </w:pPr>
      <w:bookmarkStart w:id="100017" w:name="_Toc100017"/>
      <w:r>
        <w:rPr>
          <w:rFonts w:ascii="Calibri" w:eastAsia="Microsoft YaHei"/>
          <w:b/>
          <w:bCs/>
          <w:color w:val="064E3B"/>
          <w:sz w:val="32"/>
          <w:szCs w:val="32"/>
        </w:rPr>
        <w:t xml:space="preserve">5. Background Jobs &amp; Monitoring</w:t>
      </w:r>
      <w:bookmarkEnd w:id="100017"/>
    </w:p>
    <w:p>
      <w:pPr>
        <w:pStyle w:val="Heading2"/>
        <w:spacing w:after="140" w:before="280" w:line="312"/>
      </w:pPr>
      <w:bookmarkStart w:id="100018" w:name="_Toc100018"/>
      <w:r>
        <w:rPr>
          <w:rFonts w:ascii="Calibri" w:eastAsia="Microsoft YaHei"/>
          <w:b/>
          <w:bCs/>
          <w:color w:val="064E3B"/>
          <w:sz w:val="28"/>
          <w:szCs w:val="28"/>
        </w:rPr>
        <w:t xml:space="preserve">5.1 Cron Jobs</w:t>
      </w:r>
      <w:bookmarkEnd w:id="100018"/>
    </w:p>
    <w:p>
      <w:pPr>
        <w:spacing w:after="120" w:before="0" w:line="312"/>
        <w:ind w:firstLine="0"/>
        <w:jc w:val="both"/>
      </w:pPr>
      <w:r>
        <w:rPr>
          <w:rFonts w:ascii="Calibri" w:eastAsia="Microsoft YaHei"/>
          <w:color w:val="1F2937"/>
          <w:sz w:val="22"/>
          <w:szCs w:val="22"/>
        </w:rPr>
        <w:t xml:space="preserve">Three background jobs run on fixed schedules to keep the platform healthy. All three are implemented as API endpoints (POST /api/cron/*) that require an x-cron-secret header for authentication — the secret refuses placeholder values like 'change-me', 'placeholder', or 'replace-me' as a hardening measure. The cron jobs can be triggered manually by the super-admin via POST /api/super-admin/trigger-cron/[jobName], and their status can be inspected via GET /api/cron/status (which accepts either the cron secret or a super-admin Bearer token).</w:t>
      </w:r>
    </w:p>
    <w:p>
      <w:pPr>
        <w:spacing w:after="120" w:before="0" w:line="312"/>
        <w:ind w:firstLine="0"/>
        <w:jc w:val="both"/>
      </w:pPr>
      <w:r>
        <w:rPr>
          <w:rFonts w:ascii="Calibri" w:eastAsia="Microsoft YaHei"/>
          <w:color w:val="1F2937"/>
          <w:sz w:val="22"/>
          <w:szCs w:val="22"/>
        </w:rPr>
        <w:t xml:space="preserve">Every cron job execution is logged to the CronJobLog table with status (running, success, failed), durationMs, businessesProcessed, recordsWritten, errorMessage, and the full log text. This makes cron job debugging trivial — the founder can read the exact log of any past execution in the super-admin dashboard. The getCronJobStatuses() helper returns the schedule, latest run, total runs, and 5 most recent failures for each job.</w:t>
      </w:r>
    </w:p>
    <w:p>
      <w:pPr>
        <w:keepNext/>
        <w:spacing w:after="100" w:before="200"/>
        <w:jc w:val="left"/>
      </w:pPr>
      <w:r>
        <w:rPr>
          <w:rFonts w:ascii="Calibri" w:eastAsia="Microsoft YaHei"/>
          <w:b/>
          <w:bCs/>
          <w:color w:val="064E3B"/>
          <w:sz w:val="21"/>
          <w:szCs w:val="21"/>
        </w:rPr>
        <w:t xml:space="preserve">Table 5.1 — Cron Job Schedule and Purpose</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Job Name</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Schedule (UTC)</w:t>
            </w:r>
          </w:p>
        </w:tc>
        <w:tc>
          <w:tcPr>
            <w:tcW w:type="pct" w:w="6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nightly-stats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01:00 daily</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Snapshots yesterday's KPIs for every active business into BusinessDailyStats (sales, purchases, payments, returns, inventory valuation, expiry, customers/suppliers, receivables, payables, AI usage). Invalidates dashboard cache after write.</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hourly-subscriptions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top of every hour</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Auto-suspends businesses with subscriptionEnd &lt; now. Disables AI for suspended pro_ai businesses. Catches expired trials and converts them to suspended status.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daily-maintenance</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01:30 daily</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Prunes CronJobLog (&gt;90 days), NotificationLog (&gt;30 days), expired OTPs, expired Sessions, expired AIResponseCache entries. Keeps the database lean.</w:t>
            </w:r>
          </w:p>
        </w:tc>
      </w:tr>
    </w:tbl>
    <w:p>
      <w:pPr>
        <w:pStyle w:val="Heading2"/>
        <w:spacing w:after="140" w:before="280" w:line="312"/>
      </w:pPr>
      <w:bookmarkStart w:id="100019" w:name="_Toc100019"/>
      <w:r>
        <w:rPr>
          <w:rFonts w:ascii="Calibri" w:eastAsia="Microsoft YaHei"/>
          <w:b/>
          <w:bCs/>
          <w:color w:val="064E3B"/>
          <w:sz w:val="28"/>
          <w:szCs w:val="28"/>
        </w:rPr>
        <w:t xml:space="preserve">5.2 Error Tracking &amp; Monitoring</w:t>
      </w:r>
      <w:bookmarkEnd w:id="100019"/>
    </w:p>
    <w:p>
      <w:pPr>
        <w:spacing w:after="120" w:before="0" w:line="312"/>
        <w:ind w:firstLine="0"/>
        <w:jc w:val="both"/>
      </w:pPr>
      <w:r>
        <w:rPr>
          <w:rFonts w:ascii="Calibri" w:eastAsia="Microsoft YaHei"/>
          <w:color w:val="1F2937"/>
          <w:sz w:val="22"/>
          <w:szCs w:val="22"/>
        </w:rPr>
        <w:t xml:space="preserve">Sentry is integrated on both client and server. The client config (sentry.client.config.ts) samples 10 percent of production transactions for performance tracing (100 percent in development), captures 100 percent of error replays, denies URLs from browser extensions, and ignores known-noise errors (AbortError, ResizeObserver loop, NEXT_NOT_FOUND, NEXT_REDIRECT). The server config (sentry.server.config.ts) also samples 10 percent of transactions, and ignores Prisma errors that are not real bugs (P2002 unique constraint, P2025 not found, P2028/P2034 transaction conflict), auth typos, and rate-limit 429 responses. This filtering means the founder only sees real bugs in Sentry, not user errors.</w:t>
      </w:r>
    </w:p>
    <w:p>
      <w:pPr>
        <w:spacing w:after="120" w:before="0" w:line="312"/>
        <w:ind w:firstLine="0"/>
        <w:jc w:val="both"/>
      </w:pPr>
      <w:r>
        <w:rPr>
          <w:rFonts w:ascii="Calibri" w:eastAsia="Microsoft YaHei"/>
          <w:color w:val="1F2937"/>
          <w:sz w:val="22"/>
          <w:szCs w:val="22"/>
        </w:rPr>
        <w:t xml:space="preserve">A /api/health endpoint provides liveness and readiness probes. It returns a JSON object with status (ok, degraded, or down), database.latencyMs (measured by a SELECT 1), redis.status (connected, disconnected, or disabled), uptime, version, environment, and sentry (DSN configured boolean). The endpoint returns 503 if the database is unreachable (down status), 200 with degraded status if Redis is down but the database is up, and 200 with ok status if everything is healthy. Docker's healthcheck hits this endpoint every 15 seconds, allowing the orchestrator to restart unhealthy containers automatically.</w:t>
      </w:r>
    </w:p>
    <w:p>
      <w:pPr>
        <w:spacing w:after="120" w:before="0" w:line="312"/>
        <w:ind w:firstLine="0"/>
        <w:jc w:val="both"/>
      </w:pPr>
      <w:r>
        <w:rPr>
          <w:rFonts w:ascii="Calibri" w:eastAsia="Microsoft YaHei"/>
          <w:color w:val="1F2937"/>
          <w:sz w:val="22"/>
          <w:szCs w:val="22"/>
        </w:rPr>
        <w:t xml:space="preserve">A /api/health/test-error endpoint is also available, gated by the TEST_ERROR_ENABLED environment variable. When enabled, it can throw generic errors, timeout errors, database errors, or send Sentry captureMessage calls — useful for testing error monitoring during development. This endpoint should always be disabled in production.</w:t>
      </w:r>
    </w:p>
    <w:p>
      <w:pPr>
        <w:pStyle w:val="Heading1"/>
        <w:spacing w:after="200" w:before="360" w:line="312"/>
      </w:pPr>
      <w:bookmarkStart w:id="100020" w:name="_Toc100020"/>
      <w:r>
        <w:rPr>
          <w:rFonts w:ascii="Calibri" w:eastAsia="Microsoft YaHei"/>
          <w:b/>
          <w:bCs/>
          <w:color w:val="064E3B"/>
          <w:sz w:val="32"/>
          <w:szCs w:val="32"/>
        </w:rPr>
        <w:t xml:space="preserve">6. DevOps, Deployment &amp; Backup</w:t>
      </w:r>
      <w:bookmarkEnd w:id="100020"/>
    </w:p>
    <w:p>
      <w:pPr>
        <w:pStyle w:val="Heading2"/>
        <w:spacing w:after="140" w:before="280" w:line="312"/>
      </w:pPr>
      <w:bookmarkStart w:id="100021" w:name="_Toc100021"/>
      <w:r>
        <w:rPr>
          <w:rFonts w:ascii="Calibri" w:eastAsia="Microsoft YaHei"/>
          <w:b/>
          <w:bCs/>
          <w:color w:val="064E3B"/>
          <w:sz w:val="28"/>
          <w:szCs w:val="28"/>
        </w:rPr>
        <w:t xml:space="preserve">6.1 DevOps Infrastructure</w:t>
      </w:r>
      <w:bookmarkEnd w:id="100021"/>
    </w:p>
    <w:p>
      <w:pPr>
        <w:spacing w:after="120" w:before="0" w:line="312"/>
        <w:ind w:firstLine="0"/>
        <w:jc w:val="both"/>
      </w:pPr>
      <w:r>
        <w:rPr>
          <w:rFonts w:ascii="Calibri" w:eastAsia="Microsoft YaHei"/>
          <w:color w:val="1F2937"/>
          <w:sz w:val="22"/>
          <w:szCs w:val="22"/>
        </w:rPr>
        <w:t xml:space="preserve">InventoryOS ships with a complete Docker setup. The Dockerfile uses a 3-stage build: deps (npm ci to install dependencies), builder (prisma generate + next build to produce the standalone bundle), and runner (copies standalone + static + public, runs as non-root nextjs:nodejs user UID 1001, uses dumb-init as PID 1 for proper signal handling). The docker-compose.yml defines four services on a shared inventoryos-net bridge network: db (Postgres 16-alpine with a named volume), pgbouncer (edoburu/pgbouncer:1.23.1 configured for transaction pooling with 200 max clients, 20 default pool size, 5 reserve), redis (redis:7-alpine with appendonly persistence), and app (the InventoryOS container with a 15-second healthcheck).</w:t>
      </w:r>
    </w:p>
    <w:p>
      <w:pPr>
        <w:spacing w:after="120" w:before="0" w:line="312"/>
        <w:ind w:firstLine="0"/>
        <w:jc w:val="both"/>
      </w:pPr>
      <w:r>
        <w:rPr>
          <w:rFonts w:ascii="Calibri" w:eastAsia="Microsoft YaHei"/>
          <w:color w:val="1F2937"/>
          <w:sz w:val="22"/>
          <w:szCs w:val="22"/>
        </w:rPr>
        <w:t xml:space="preserve">Database and Redis ports are bound to 127.0.0.1 only, so they are not exposed to the public internet. The Caddy reverse proxy (Caddyfile) listens on port 81 and handles TLS termination and dynamic upstream routing. PgBouncer sits between the app and Postgres, pooling database connections in transaction mode — this means each query borrows a connection from the pool for the duration of a transaction and returns it immediately after, allowing the app to handle many concurrent requests without exhausting Postgres connections.</w:t>
      </w:r>
    </w:p>
    <w:p>
      <w:pPr>
        <w:pStyle w:val="Heading2"/>
        <w:spacing w:after="140" w:before="280" w:line="312"/>
      </w:pPr>
      <w:bookmarkStart w:id="100022" w:name="_Toc100022"/>
      <w:r>
        <w:rPr>
          <w:rFonts w:ascii="Calibri" w:eastAsia="Microsoft YaHei"/>
          <w:b/>
          <w:bCs/>
          <w:color w:val="064E3B"/>
          <w:sz w:val="28"/>
          <w:szCs w:val="28"/>
        </w:rPr>
        <w:t xml:space="preserve">6.2 Backup &amp; Recovery</w:t>
      </w:r>
      <w:bookmarkEnd w:id="100022"/>
    </w:p>
    <w:p>
      <w:pPr>
        <w:spacing w:after="120" w:before="0" w:line="312"/>
        <w:ind w:firstLine="0"/>
        <w:jc w:val="both"/>
      </w:pPr>
      <w:r>
        <w:rPr>
          <w:rFonts w:ascii="Calibri" w:eastAsia="Microsoft YaHei"/>
          <w:color w:val="1F2937"/>
          <w:sz w:val="22"/>
          <w:szCs w:val="22"/>
        </w:rPr>
        <w:t xml:space="preserve">Backup infrastructure is in scripts/backup/. The backup.sh script runs pg_dump with pre-flight checks, then runs verify-backup.js to validate the dump, then retains 7 daily backups and 12 monthly backups (365 days). The verify-backup.js script performs 8 structural checks on the dump file: pg_dump header present, pg_dump footer present, all 29 tables present, COPY statements exist for core tables (Business, User, Product, Sale, etc.), and file size &gt; 50KB. A backup that fails any check is flagged immediately.</w:t>
      </w:r>
    </w:p>
    <w:p>
      <w:pPr>
        <w:spacing w:after="120" w:before="0" w:line="312"/>
        <w:ind w:firstLine="0"/>
        <w:jc w:val="both"/>
      </w:pPr>
      <w:r>
        <w:rPr>
          <w:rFonts w:ascii="Calibri" w:eastAsia="Microsoft YaHei"/>
          <w:color w:val="1F2937"/>
          <w:sz w:val="22"/>
          <w:szCs w:val="22"/>
        </w:rPr>
        <w:t xml:space="preserve">The restore.sh script defaults to a TEST database (inventoryos_restore_test) for safety. Restoring to production requires explicitly passing --target=inventoryos AND typing the phrase 'OVERWRITE PRODUCTION' at the prompt. This two-factor confirmation prevents accidental production data overwrites. A monthly DR (disaster recovery) drill script (restore-drill.sh) automates the entire drill: backup, verify, restore to a drill database, compare 21-table row counts between drill and production, spot-check a Business record, drop the drill database, and email an alert with the results. Running this drill monthly is the single best way to ensure backups are actually restorable when needed.</w:t>
      </w:r>
    </w:p>
    <w:p>
      <w:pPr>
        <w:pStyle w:val="Heading2"/>
        <w:spacing w:after="140" w:before="280" w:line="312"/>
      </w:pPr>
      <w:bookmarkStart w:id="100023" w:name="_Toc100023"/>
      <w:r>
        <w:rPr>
          <w:rFonts w:ascii="Calibri" w:eastAsia="Microsoft YaHei"/>
          <w:b/>
          <w:bCs/>
          <w:color w:val="064E3B"/>
          <w:sz w:val="28"/>
          <w:szCs w:val="28"/>
        </w:rPr>
        <w:t xml:space="preserve">6.3 Migration Tooling</w:t>
      </w:r>
      <w:bookmarkEnd w:id="100023"/>
    </w:p>
    <w:p>
      <w:pPr>
        <w:spacing w:after="120" w:before="0" w:line="312"/>
        <w:ind w:firstLine="0"/>
        <w:jc w:val="both"/>
      </w:pPr>
      <w:r>
        <w:rPr>
          <w:rFonts w:ascii="Calibri" w:eastAsia="Microsoft YaHei"/>
          <w:color w:val="1F2937"/>
          <w:sz w:val="22"/>
          <w:szCs w:val="22"/>
        </w:rPr>
        <w:t xml:space="preserve">A SQLite-to-Postgres migration script (scripts/migrate-to-postgres.js) handles the cutover from development to production database. It supports --dry-run (show what would be migrated without writing) and --verify-only (compare row counts between source and target after migration). It handles the Transaction reserved word (which is reserved in Postgres but not in SQLite) by quoting it properly. After migration, it resets Postgres sequences (auto-increment counters) to match the max ID in each table, preventing duplicate-key errors on future inserts.</w:t>
      </w:r>
    </w:p>
    <w:p>
      <w:pPr>
        <w:spacing w:after="120" w:before="0" w:line="312"/>
        <w:ind w:firstLine="0"/>
        <w:jc w:val="both"/>
      </w:pPr>
      <w:r>
        <w:rPr>
          <w:rFonts w:ascii="Calibri" w:eastAsia="Microsoft YaHei"/>
          <w:color w:val="1F2937"/>
          <w:sz w:val="22"/>
          <w:szCs w:val="22"/>
        </w:rPr>
        <w:t xml:space="preserve">A persistent server script (scripts/start-persistent.sh) is included for development. It kills any existing Next.js instances, starts a fresh one, and runs a keep-alive watcher that hits /api/businesses/.../categories every 15 seconds to prevent the server from going idle. This is useful for long-running development sessions where the default Next.js dev server might be killed by the environment.</w:t>
      </w:r>
    </w:p>
    <w:p>
      <w:pPr>
        <w:pStyle w:val="Heading1"/>
        <w:spacing w:after="200" w:before="360" w:line="312"/>
      </w:pPr>
      <w:bookmarkStart w:id="100024" w:name="_Toc100024"/>
      <w:r>
        <w:rPr>
          <w:rFonts w:ascii="Calibri" w:eastAsia="Microsoft YaHei"/>
          <w:b/>
          <w:bCs/>
          <w:color w:val="064E3B"/>
          <w:sz w:val="32"/>
          <w:szCs w:val="32"/>
        </w:rPr>
        <w:t xml:space="preserve">7. Security, Super Admin &amp; Data Portability</w:t>
      </w:r>
      <w:bookmarkEnd w:id="100024"/>
    </w:p>
    <w:p>
      <w:pPr>
        <w:pStyle w:val="Heading2"/>
        <w:spacing w:after="140" w:before="280" w:line="312"/>
      </w:pPr>
      <w:bookmarkStart w:id="100025" w:name="_Toc100025"/>
      <w:r>
        <w:rPr>
          <w:rFonts w:ascii="Calibri" w:eastAsia="Microsoft YaHei"/>
          <w:b/>
          <w:bCs/>
          <w:color w:val="064E3B"/>
          <w:sz w:val="28"/>
          <w:szCs w:val="28"/>
        </w:rPr>
        <w:t xml:space="preserve">7.1 Security</w:t>
      </w:r>
      <w:bookmarkEnd w:id="100025"/>
    </w:p>
    <w:p>
      <w:pPr>
        <w:spacing w:after="120" w:before="0" w:line="312"/>
        <w:ind w:firstLine="0"/>
        <w:jc w:val="both"/>
      </w:pPr>
      <w:r>
        <w:rPr>
          <w:rFonts w:ascii="Calibri" w:eastAsia="Microsoft YaHei"/>
          <w:color w:val="1F2937"/>
          <w:sz w:val="22"/>
          <w:szCs w:val="22"/>
        </w:rPr>
        <w:t xml:space="preserve">Security is implemented in depth across multiple layers. Passwords are hashed with bcryptjs at 12 salt rounds (the user password change endpoint uses 10 rounds, which is still well above industry minimum). Session tokens are 32-byte crypto.randomBytes hex strings, stored hashed in the database with a unique constraint, so even a database leak does not expose live tokens. The Transaction model serves as an audit trail for every stock movement (PURCHASE, SALE, ADJUSTMENT, WASTE, RETURN, QUARANTINE, RELEASE) with the createdBy user ID, providing end-to-end accountability.</w:t>
      </w:r>
    </w:p>
    <w:p>
      <w:pPr>
        <w:spacing w:after="120" w:before="0" w:line="312"/>
        <w:ind w:firstLine="0"/>
        <w:jc w:val="both"/>
      </w:pPr>
      <w:r>
        <w:rPr>
          <w:rFonts w:ascii="Calibri" w:eastAsia="Microsoft YaHei"/>
          <w:color w:val="1F2937"/>
          <w:sz w:val="22"/>
          <w:szCs w:val="22"/>
        </w:rPr>
        <w:t xml:space="preserve">The FefoOverride model is a DGDA-compliance-specific audit trail: every time staff picks a non-FEFO batch (e.g., because the FEFO batch is damaged or quarantined), the system records the reason (minimum 10 characters), the userId, the expected batch (the one FEFO would have picked), and the selected batch (the one actually picked). This audit trail is required for Bangladesh pharmacy regulators and is exportable via the FEFO Override Report.</w:t>
      </w:r>
    </w:p>
    <w:p>
      <w:pPr>
        <w:spacing w:after="120" w:before="0" w:line="312"/>
        <w:ind w:firstLine="0"/>
        <w:jc w:val="both"/>
      </w:pPr>
      <w:r>
        <w:rPr>
          <w:rFonts w:ascii="Calibri" w:eastAsia="Microsoft YaHei"/>
          <w:color w:val="1F2937"/>
          <w:sz w:val="22"/>
          <w:szCs w:val="22"/>
        </w:rPr>
        <w:t xml:space="preserve">Other security measures: every login creates a Session record (login activity log); the Session Manager UI shows all active sessions for all users with masked tokens (first 8 characters only) and allows force-logout; self-service password change requires the current password and optionally invalidates all other sessions; the cron secret refuses placeholder values; the Docker container runs as non-root nextjs:nodejs user (UID 1001); database and Redis ports are bound to 127.0.0.1 only; OTPs expire in 5 minutes and are single-use, with lazy deletion in the maintenance cron.</w:t>
      </w:r>
    </w:p>
    <w:p>
      <w:pPr>
        <w:pStyle w:val="Heading2"/>
        <w:spacing w:after="140" w:before="280" w:line="312"/>
      </w:pPr>
      <w:bookmarkStart w:id="100026" w:name="_Toc100026"/>
      <w:r>
        <w:rPr>
          <w:rFonts w:ascii="Calibri" w:eastAsia="Microsoft YaHei"/>
          <w:b/>
          <w:bCs/>
          <w:color w:val="064E3B"/>
          <w:sz w:val="28"/>
          <w:szCs w:val="28"/>
        </w:rPr>
        <w:t xml:space="preserve">7.2 Super Admin</w:t>
      </w:r>
      <w:bookmarkEnd w:id="100026"/>
    </w:p>
    <w:p>
      <w:pPr>
        <w:spacing w:after="120" w:before="0" w:line="312"/>
        <w:ind w:firstLine="0"/>
        <w:jc w:val="both"/>
      </w:pPr>
      <w:r>
        <w:rPr>
          <w:rFonts w:ascii="Calibri" w:eastAsia="Microsoft YaHei"/>
          <w:color w:val="1F2937"/>
          <w:sz w:val="22"/>
          <w:szCs w:val="22"/>
        </w:rPr>
        <w:t xml:space="preserve">The super-admin system is a separate admin surface at /admin for the platform founder. It uses separate SuperAdmin and SuperAdminSession tables with a 7-day token TTL and Bearer authentication, completely isolated from the business user auth path. The dashboard (src/app/admin/page.tsx, 1891 lines) provides: a login screen, a business list with related counts and current-month AI usage, summary cards (total businesses, active subscriptions, AI cost today, etc.), AI usage analytics (by feature, by business, 7-day trend, top spenders today, abuse flags, SQL router hit rate, cache hit rate), cron job controls (manual trigger, status view), and a business editing dialog (tier, status, AI flag, AI limits, subscription dates).</w:t>
      </w:r>
    </w:p>
    <w:p>
      <w:pPr>
        <w:spacing w:after="120" w:before="0" w:line="312"/>
        <w:ind w:firstLine="0"/>
        <w:jc w:val="both"/>
      </w:pPr>
      <w:r>
        <w:rPr>
          <w:rFonts w:ascii="Calibri" w:eastAsia="Microsoft YaHei"/>
          <w:color w:val="1F2937"/>
          <w:sz w:val="22"/>
          <w:szCs w:val="22"/>
        </w:rPr>
        <w:t xml:space="preserve">The AI usage analytics endpoint (GET /api/super-admin/ai-usage) is particularly powerful. It returns: a summary (total calls, total tokens, total cost today + this month + all-time), per-feature breakdown (calls, tokens, cost, success rate per feature), per-business breakdown (top spenders today + this month), 7-day trend (daily cost chart data), abuse flags (businesses exceeding 80 percent of any rate limit), SQL router hit count (how many free shortcuts were used), and cache hit rate (percentage of AI calls served from cache). This data is the founder's primary tool for monitoring AI cost health.</w:t>
      </w:r>
    </w:p>
    <w:p>
      <w:pPr>
        <w:pStyle w:val="Heading2"/>
        <w:spacing w:after="140" w:before="280" w:line="312"/>
      </w:pPr>
      <w:bookmarkStart w:id="100027" w:name="_Toc100027"/>
      <w:r>
        <w:rPr>
          <w:rFonts w:ascii="Calibri" w:eastAsia="Microsoft YaHei"/>
          <w:b/>
          <w:bCs/>
          <w:color w:val="064E3B"/>
          <w:sz w:val="28"/>
          <w:szCs w:val="28"/>
        </w:rPr>
        <w:t xml:space="preserve">7.3 Data Portability</w:t>
      </w:r>
      <w:bookmarkEnd w:id="100027"/>
    </w:p>
    <w:p>
      <w:pPr>
        <w:spacing w:after="120" w:before="0" w:line="312"/>
        <w:ind w:firstLine="0"/>
        <w:jc w:val="both"/>
      </w:pPr>
      <w:r>
        <w:rPr>
          <w:rFonts w:ascii="Calibri" w:eastAsia="Microsoft YaHei"/>
          <w:color w:val="1F2937"/>
          <w:sz w:val="22"/>
          <w:szCs w:val="22"/>
        </w:rPr>
        <w:t xml:space="preserve">InventoryOS provides multiple data portability features. The CSV template download (GET /api/businesses/[id]/products/template) returns a 21-column CSV template with 3 sample rows (Napa Extra, Amodis, Seclo) and field-guide comments explaining each column. The CSV bulk import (POST /api/businesses/[id]/products/import) accepts JSON {products:[]}, JSON {csv:'...'}, or raw CSV text, with flexible header matching (name, productName, and brand all map to the name field), category name resolution (matches by name or slug), and per-row results showing success or error messages. The CsvImport UI component provides a 4-phase experience: Upload (drag-drop or browse, with template download link), Preview (shows first 5 rows in a table), Importing (spinner with progress), and Complete (success/error summary).</w:t>
      </w:r>
    </w:p>
    <w:p>
      <w:pPr>
        <w:spacing w:after="120" w:before="0" w:line="312"/>
        <w:ind w:firstLine="0"/>
        <w:jc w:val="both"/>
      </w:pPr>
      <w:r>
        <w:rPr>
          <w:rFonts w:ascii="Calibri" w:eastAsia="Microsoft YaHei"/>
          <w:color w:val="1F2937"/>
          <w:sz w:val="22"/>
          <w:szCs w:val="22"/>
        </w:rPr>
        <w:t xml:space="preserve">Full business data export is available at GET /api/businesses/[id]/export with format=json or csv, and a modules query parameter specifying which of 10 module types to include (products, categories, batches, sales, purchases, customers, suppliers, payments, returns, transactions). The export includes a _meta block with exportedAt timestamp, business info, and version. The DataExport UI component provides a module picker with 10 toggleable modules and a format selector. Additionally, individual reports (P&amp;L, Tax, Inventory Valuation, Business Report, Expiry Report) support ?format=csv query parameter for spreadsheet export, and all major reports have a Printer button that calls window.print() for physical printing or PDF generation via the browser.</w:t>
      </w:r>
    </w:p>
    <w:p>
      <w:r>
        <w:br w:type="page"/>
      </w:r>
    </w:p>
    <w:p>
      <w:pPr>
        <w:spacing w:after="480" w:before="3600" w:line="720" w:lineRule="atLeast"/>
        <w:jc w:val="center"/>
      </w:pPr>
      <w:r>
        <w:rPr>
          <w:rFonts w:ascii="Calibri"/>
          <w:b/>
          <w:bCs/>
          <w:color w:val="8B5CF6"/>
          <w:spacing w:val="80"/>
          <w:sz w:val="36"/>
          <w:szCs w:val="36"/>
        </w:rPr>
        <w:t xml:space="preserve">PART 2</w:t>
      </w:r>
    </w:p>
    <w:p>
      <w:pPr>
        <w:spacing w:after="600" w:line="720" w:lineRule="atLeast"/>
        <w:jc w:val="center"/>
      </w:pPr>
      <w:r>
        <w:rPr>
          <w:rFonts w:ascii="Calibri"/>
          <w:b/>
          <w:bCs/>
          <w:color w:val="064E3B"/>
          <w:sz w:val="56"/>
          <w:szCs w:val="56"/>
        </w:rPr>
        <w:t xml:space="preserve">Business Features</w:t>
      </w:r>
    </w:p>
    <w:p>
      <w:pPr>
        <w:pBdr>
          <w:bottom w:val="single" w:color="8B5CF6" w:sz="12" w:space="8"/>
        </w:pBdr>
        <w:spacing w:after="600"/>
        <w:ind w:left="3000" w:right="3000"/>
        <w:jc w:val="center"/>
      </w:pPr>
    </w:p>
    <w:p>
      <w:pPr>
        <w:spacing w:line="360" w:lineRule="atLeast"/>
        <w:ind w:left="1800" w:right="1800"/>
        <w:jc w:val="center"/>
      </w:pPr>
      <w:r>
        <w:rPr>
          <w:rFonts w:ascii="Calibri"/>
          <w:i/>
          <w:iCs/>
          <w:color w:val="1F2937"/>
          <w:sz w:val="22"/>
          <w:szCs w:val="22"/>
        </w:rPr>
        <w:t xml:space="preserve">This section catalogs every capability the pharmacy owner GETS — what they can do in the app on a daily basis. These are the value propositions you can highlight in sales pitches, marketing materials, and client demos.</w:t>
      </w:r>
    </w:p>
    <w:p>
      <w:pPr>
        <w:pStyle w:val="Heading1"/>
        <w:spacing w:after="200" w:before="360" w:line="312"/>
      </w:pPr>
      <w:bookmarkStart w:id="100028" w:name="_Toc100028"/>
      <w:r>
        <w:rPr>
          <w:rFonts w:ascii="Calibri" w:eastAsia="Microsoft YaHei"/>
          <w:b/>
          <w:bCs/>
          <w:color w:val="064E3B"/>
          <w:sz w:val="32"/>
          <w:szCs w:val="32"/>
        </w:rPr>
        <w:t xml:space="preserve">8. Product &amp; Inventory Management</w:t>
      </w:r>
      <w:bookmarkEnd w:id="100028"/>
    </w:p>
    <w:p>
      <w:pPr>
        <w:spacing w:after="120" w:before="0" w:line="312"/>
        <w:ind w:firstLine="0"/>
        <w:jc w:val="both"/>
      </w:pPr>
      <w:r>
        <w:rPr>
          <w:rFonts w:ascii="Calibri" w:eastAsia="Microsoft YaHei"/>
          <w:color w:val="1F2937"/>
          <w:sz w:val="22"/>
          <w:szCs w:val="22"/>
        </w:rPr>
        <w:t xml:space="preserve">Product and inventory management is the core of InventoryOS. The system tracks products at two levels: the Product master (the drug's identity — name, generic, strength, dosage form) and the Batch (a specific shipment of that product with its own batch number, manufacture date, expiry date, and quantity). This two-level model is essential for pharmacies because the same product can have multiple batches with different expiry dates, and FEFO (First-Expiry-First-Out) dispensing requires tracking each batch separately.</w:t>
      </w:r>
    </w:p>
    <w:p>
      <w:pPr>
        <w:pStyle w:val="Heading2"/>
        <w:spacing w:after="140" w:before="280" w:line="312"/>
      </w:pPr>
      <w:bookmarkStart w:id="100029" w:name="_Toc100029"/>
      <w:r>
        <w:rPr>
          <w:rFonts w:ascii="Calibri" w:eastAsia="Microsoft YaHei"/>
          <w:b/>
          <w:bCs/>
          <w:color w:val="064E3B"/>
          <w:sz w:val="28"/>
          <w:szCs w:val="28"/>
        </w:rPr>
        <w:t xml:space="preserve">8.1 Product Master with Pharmacy-Specific Fields</w:t>
      </w:r>
      <w:bookmarkEnd w:id="100029"/>
    </w:p>
    <w:p>
      <w:pPr>
        <w:spacing w:after="120" w:before="0" w:line="312"/>
        <w:ind w:firstLine="0"/>
        <w:jc w:val="both"/>
      </w:pPr>
      <w:r>
        <w:rPr>
          <w:rFonts w:ascii="Calibri" w:eastAsia="Microsoft YaHei"/>
          <w:color w:val="1F2937"/>
          <w:sz w:val="22"/>
          <w:szCs w:val="22"/>
        </w:rPr>
        <w:t xml:space="preserve">The Product model captures every field a pharmacy needs. Beyond the basics (name, generic, manufacturer, barcode, description), it tracks pharmacy-specific fields: strength (e.g., 500mg), dosage form (tablet, capsule, syrup, injection, etc.), schedule type (OTC, H, H1, X, Narcotic — the Bangladesh drug scheduling system), HSN code (for GST/VAT compliance), VAT rate, MRP (maximum retail price), Rx flag (prescription required), storage condition (room temperature, refrigerated, frozen), rack number (for physical location in the pharmacy), strip size and box size (for unit conversion), and min/max/reorder levels (for stock alerts).</w:t>
      </w:r>
    </w:p>
    <w:p>
      <w:pPr>
        <w:pStyle w:val="Heading2"/>
        <w:spacing w:after="140" w:before="280" w:line="312"/>
      </w:pPr>
      <w:bookmarkStart w:id="100030" w:name="_Toc100030"/>
      <w:r>
        <w:rPr>
          <w:rFonts w:ascii="Calibri" w:eastAsia="Microsoft YaHei"/>
          <w:b/>
          <w:bCs/>
          <w:color w:val="064E3B"/>
          <w:sz w:val="28"/>
          <w:szCs w:val="28"/>
        </w:rPr>
        <w:t xml:space="preserve">8.2 Product List &amp; Search</w:t>
      </w:r>
      <w:bookmarkEnd w:id="100030"/>
    </w:p>
    <w:p>
      <w:pPr>
        <w:spacing w:after="120" w:before="0" w:line="312"/>
        <w:ind w:firstLine="0"/>
        <w:jc w:val="both"/>
      </w:pPr>
      <w:r>
        <w:rPr>
          <w:rFonts w:ascii="Calibri" w:eastAsia="Microsoft YaHei"/>
          <w:color w:val="1F2937"/>
          <w:sz w:val="22"/>
          <w:szCs w:val="22"/>
        </w:rPr>
        <w:t xml:space="preserve">The ProductList component provides a fast, filterable list of all products. Search works across name, generic name, manufacturer, barcode, and rack number — so a pharmacist can find a product by typing any of these. Category chip filters allow narrowing by category (Antibiotics, Analgesics, etc.). Pagination handles large inventories smoothly. Each product row shows the name, generic, stock status (in stock, low stock, out of stock), and quick actions (edit, delete, view detail).</w:t>
      </w:r>
    </w:p>
    <w:p>
      <w:pPr>
        <w:pStyle w:val="Heading2"/>
        <w:spacing w:after="140" w:before="280" w:line="312"/>
      </w:pPr>
      <w:bookmarkStart w:id="100031" w:name="_Toc100031"/>
      <w:r>
        <w:rPr>
          <w:rFonts w:ascii="Calibri" w:eastAsia="Microsoft YaHei"/>
          <w:b/>
          <w:bCs/>
          <w:color w:val="064E3B"/>
          <w:sz w:val="28"/>
          <w:szCs w:val="28"/>
        </w:rPr>
        <w:t xml:space="preserve">8.3 Product Detail View</w:t>
      </w:r>
      <w:bookmarkEnd w:id="100031"/>
    </w:p>
    <w:p>
      <w:pPr>
        <w:spacing w:after="120" w:before="0" w:line="312"/>
        <w:ind w:firstLine="0"/>
        <w:jc w:val="both"/>
      </w:pPr>
      <w:r>
        <w:rPr>
          <w:rFonts w:ascii="Calibri" w:eastAsia="Microsoft YaHei"/>
          <w:color w:val="1F2937"/>
          <w:sz w:val="22"/>
          <w:szCs w:val="22"/>
        </w:rPr>
        <w:t xml:space="preserve">Clicking a product opens the ProductDetail view, which shows the complete product information plus stock summary cards (total quantity, batch count, expired batch count, near-expiry batch count), low-stock and out-of-stock warnings, and the full list of batches for this product with their expiry severity color-coded. Per-batch actions are available: Stock In, Stock Out, Edit, Delete. This is the primary screen a pharmacist uses to manage a single product's lifecycle.</w:t>
      </w:r>
    </w:p>
    <w:p>
      <w:pPr>
        <w:pStyle w:val="Heading2"/>
        <w:spacing w:after="140" w:before="280" w:line="312"/>
      </w:pPr>
      <w:bookmarkStart w:id="100032" w:name="_Toc100032"/>
      <w:r>
        <w:rPr>
          <w:rFonts w:ascii="Calibri" w:eastAsia="Microsoft YaHei"/>
          <w:b/>
          <w:bCs/>
          <w:color w:val="064E3B"/>
          <w:sz w:val="28"/>
          <w:szCs w:val="28"/>
        </w:rPr>
        <w:t xml:space="preserve">8.4 Category Management with Hierarchy</w:t>
      </w:r>
      <w:bookmarkEnd w:id="100032"/>
    </w:p>
    <w:p>
      <w:pPr>
        <w:spacing w:after="120" w:before="0" w:line="312"/>
        <w:ind w:firstLine="0"/>
        <w:jc w:val="both"/>
      </w:pPr>
      <w:r>
        <w:rPr>
          <w:rFonts w:ascii="Calibri" w:eastAsia="Microsoft YaHei"/>
          <w:color w:val="1F2937"/>
          <w:sz w:val="22"/>
          <w:szCs w:val="22"/>
        </w:rPr>
        <w:t xml:space="preserve">Categories support hierarchy (parent/child relationships), color coding, icons, and types. The CategoryManager UI allows creating, editing, and deleting categories with a color picker, icon selector, type field, and parent selector (which excludes the current category to prevent circular hierarchy). The delete operation has a safety check: it blocks deletion if the category has products or subcategories, preventing accidental orphaning of products.</w:t>
      </w:r>
    </w:p>
    <w:p>
      <w:pPr>
        <w:pStyle w:val="Heading2"/>
        <w:spacing w:after="140" w:before="280" w:line="312"/>
      </w:pPr>
      <w:bookmarkStart w:id="100033" w:name="_Toc100033"/>
      <w:r>
        <w:rPr>
          <w:rFonts w:ascii="Calibri" w:eastAsia="Microsoft YaHei"/>
          <w:b/>
          <w:bCs/>
          <w:color w:val="064E3B"/>
          <w:sz w:val="28"/>
          <w:szCs w:val="28"/>
        </w:rPr>
        <w:t xml:space="preserve">8.5 Batch Tracking with Auto-Status</w:t>
      </w:r>
      <w:bookmarkEnd w:id="100033"/>
    </w:p>
    <w:p>
      <w:pPr>
        <w:spacing w:after="120" w:before="0" w:line="312"/>
        <w:ind w:firstLine="0"/>
        <w:jc w:val="both"/>
      </w:pPr>
      <w:r>
        <w:rPr>
          <w:rFonts w:ascii="Calibri" w:eastAsia="Microsoft YaHei"/>
          <w:color w:val="1F2937"/>
          <w:sz w:val="22"/>
          <w:szCs w:val="22"/>
        </w:rPr>
        <w:t xml:space="preserve">Each batch tracks: batch number, manufacture date, expiry date, quantity, purchase price, MRP, supplier link, status (active, near_expiry, expired, quarantined, returned, destroyed), and notes. The status is automatically calculated on every read and write: expired if expiry date is in the past, near_expiry if expiry is within 90 days, active otherwise. Quarantined, returned, and destroyed statuses are set explicitly by user actions. Duplicate batch prevention is enforced via a compound unique constraint on (businessId, batchNo, productId) — the same batch number can exist for different products, but not twice for the same product.</w:t>
      </w:r>
    </w:p>
    <w:p>
      <w:pPr>
        <w:pStyle w:val="Heading2"/>
        <w:spacing w:after="140" w:before="280" w:line="312"/>
      </w:pPr>
      <w:bookmarkStart w:id="100034" w:name="_Toc100034"/>
      <w:r>
        <w:rPr>
          <w:rFonts w:ascii="Calibri" w:eastAsia="Microsoft YaHei"/>
          <w:b/>
          <w:bCs/>
          <w:color w:val="064E3B"/>
          <w:sz w:val="28"/>
          <w:szCs w:val="28"/>
        </w:rPr>
        <w:t xml:space="preserve">8.6 Stock Adjustments</w:t>
      </w:r>
      <w:bookmarkEnd w:id="100034"/>
    </w:p>
    <w:p>
      <w:pPr>
        <w:spacing w:after="120" w:before="0" w:line="312"/>
        <w:ind w:firstLine="0"/>
        <w:jc w:val="both"/>
      </w:pPr>
      <w:r>
        <w:rPr>
          <w:rFonts w:ascii="Calibri" w:eastAsia="Microsoft YaHei"/>
          <w:color w:val="1F2937"/>
          <w:sz w:val="22"/>
          <w:szCs w:val="22"/>
        </w:rPr>
        <w:t xml:space="preserve">Stock adjustments come in four types: STOCK_IN (receiving new stock), STOCK_OUT (manual removal, e.g., sample given to doctor), WASTE (damaged or spoiled), and RETURN (returned to supplier). Each adjustment requires a reason (selected from predefined chips), supports quick-amount buttons (10, 50, 100, All), shows a live preview of the resulting quantity, and validates against insufficient stock. Every adjustment writes a Transaction audit trail row with the type, quantity, unitPrice, note, and createdBy user ID.</w:t>
      </w:r>
    </w:p>
    <w:p>
      <w:pPr>
        <w:pStyle w:val="Heading2"/>
        <w:spacing w:after="140" w:before="280" w:line="312"/>
      </w:pPr>
      <w:bookmarkStart w:id="100035" w:name="_Toc100035"/>
      <w:r>
        <w:rPr>
          <w:rFonts w:ascii="Calibri" w:eastAsia="Microsoft YaHei"/>
          <w:b/>
          <w:bCs/>
          <w:color w:val="064E3B"/>
          <w:sz w:val="28"/>
          <w:szCs w:val="28"/>
        </w:rPr>
        <w:t xml:space="preserve">8.7 FEFO Allocation Engine</w:t>
      </w:r>
      <w:bookmarkEnd w:id="100035"/>
    </w:p>
    <w:p>
      <w:pPr>
        <w:spacing w:after="120" w:before="0" w:line="312"/>
        <w:ind w:firstLine="0"/>
        <w:jc w:val="both"/>
      </w:pPr>
      <w:r>
        <w:rPr>
          <w:rFonts w:ascii="Calibri" w:eastAsia="Microsoft YaHei"/>
          <w:color w:val="1F2937"/>
          <w:sz w:val="22"/>
          <w:szCs w:val="22"/>
        </w:rPr>
        <w:t xml:space="preserve">The FEFO (First-Expiry-First-Out) allocation engine is the heart of the pharmacy inventory system. When a sale or dispense operation needs to deduct stock, the engine automatically picks the batch with the earliest expiry date first, skipping any expired or quarantined batches. The engine supports both dry-run mode (returns what would be allocated, without modifying stock) and execute mode (actually deducts stock). If insufficient stock is available, it returns a 409 response with the shortfall amount, allowing the UI to show the user exactly how much is missing. Manual batch override is supported but requires a reason (minimum 10 characters) and creates a FefoOverride audit trail row for DGDA compliance.</w:t>
      </w:r>
    </w:p>
    <w:p>
      <w:pPr>
        <w:pStyle w:val="Heading2"/>
        <w:spacing w:after="140" w:before="280" w:line="312"/>
      </w:pPr>
      <w:bookmarkStart w:id="100036" w:name="_Toc100036"/>
      <w:r>
        <w:rPr>
          <w:rFonts w:ascii="Calibri" w:eastAsia="Microsoft YaHei"/>
          <w:b/>
          <w:bCs/>
          <w:color w:val="064E3B"/>
          <w:sz w:val="28"/>
          <w:szCs w:val="28"/>
        </w:rPr>
        <w:t xml:space="preserve">8.8 Quarantine, Dispose, and Return Workflows</w:t>
      </w:r>
      <w:bookmarkEnd w:id="100036"/>
    </w:p>
    <w:p>
      <w:pPr>
        <w:spacing w:after="120" w:before="0" w:line="312"/>
        <w:ind w:firstLine="0"/>
        <w:jc w:val="both"/>
      </w:pPr>
      <w:r>
        <w:rPr>
          <w:rFonts w:ascii="Calibri" w:eastAsia="Microsoft YaHei"/>
          <w:color w:val="1F2937"/>
          <w:sz w:val="22"/>
          <w:szCs w:val="22"/>
        </w:rPr>
        <w:t xml:space="preserve">Three workflows handle problematic batches. Quarantine (5 reasons: damaged, suspected counterfeit, recall, quality_issue, other) removes a batch from FEFO rotation and creates a NotificationLog entry so the staff is aware. Dispose (5 reasons + 5 disposal methods: landfill, incineration, return_to_supplier, sewer, other) handles end-of-life disposal with an optional witness name field for regulatory compliance — many jurisdictions require a witness for narcotic disposal. Return-to-supplier records the return with supplier name, reason, and quantity (defaulting to the full batch quantity, but partial returns are supported). All three workflows support partial quantities and write to the Transaction audit trail.</w:t>
      </w:r>
    </w:p>
    <w:p>
      <w:pPr>
        <w:pStyle w:val="Heading2"/>
        <w:spacing w:after="140" w:before="280" w:line="312"/>
      </w:pPr>
      <w:bookmarkStart w:id="100037" w:name="_Toc100037"/>
      <w:r>
        <w:rPr>
          <w:rFonts w:ascii="Calibri" w:eastAsia="Microsoft YaHei"/>
          <w:b/>
          <w:bCs/>
          <w:color w:val="064E3B"/>
          <w:sz w:val="28"/>
          <w:szCs w:val="28"/>
        </w:rPr>
        <w:t xml:space="preserve">8.9 Bulk Batch Actions</w:t>
      </w:r>
      <w:bookmarkEnd w:id="100037"/>
    </w:p>
    <w:p>
      <w:pPr>
        <w:spacing w:after="120" w:before="0" w:line="312"/>
        <w:ind w:firstLine="0"/>
        <w:jc w:val="both"/>
      </w:pPr>
      <w:r>
        <w:rPr>
          <w:rFonts w:ascii="Calibri" w:eastAsia="Microsoft YaHei"/>
          <w:color w:val="1F2937"/>
          <w:sz w:val="22"/>
          <w:szCs w:val="22"/>
        </w:rPr>
        <w:t xml:space="preserve">For pharmacies with hundreds of batches, the BulkActionBar component allows applying actions (quarantine, dispose, return, release, delete) to multiple batches at once. The user selects batches via checkboxes, then clicks the action button. This is particularly useful when a supplier issues a recall — the pharmacist can quarantine all affected batches in one operation rather than handling them individually.</w:t>
      </w:r>
    </w:p>
    <w:p>
      <w:pPr>
        <w:keepNext/>
        <w:spacing w:after="100" w:before="200"/>
        <w:jc w:val="left"/>
      </w:pPr>
      <w:r>
        <w:rPr>
          <w:rFonts w:ascii="Calibri" w:eastAsia="Microsoft YaHei"/>
          <w:b/>
          <w:bCs/>
          <w:color w:val="064E3B"/>
          <w:sz w:val="21"/>
          <w:szCs w:val="21"/>
        </w:rPr>
        <w:t xml:space="preserve">Table 8.1 — Product &amp; Inventory Feature Summary</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tblGrid>
      <w:tr>
        <w:trPr>
          <w:cantSplit/>
          <w:tblHeader/>
        </w:trPr>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Feature</w:t>
            </w:r>
          </w:p>
        </w:tc>
        <w:tc>
          <w:tcPr>
            <w:tcW w:type="pct" w:w="7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What the User Can Do</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 master</w:t>
            </w:r>
          </w:p>
        </w:tc>
        <w:tc>
          <w:tcPr>
            <w:tcW w:type="pct" w:w="7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Create/edit products with 20+ pharmacy-specific fields</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 search</w:t>
            </w:r>
          </w:p>
        </w:tc>
        <w:tc>
          <w:tcPr>
            <w:tcW w:type="pct" w:w="7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Find products by name, generic, manufacturer, barcode, rack</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 detail</w:t>
            </w:r>
          </w:p>
        </w:tc>
        <w:tc>
          <w:tcPr>
            <w:tcW w:type="pct" w:w="7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View stock summary, batch list, perform per-batch actions</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Category management</w:t>
            </w:r>
          </w:p>
        </w:tc>
        <w:tc>
          <w:tcPr>
            <w:tcW w:type="pct" w:w="7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Create hierarchical categories with color, icon, type</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Batch tracking</w:t>
            </w:r>
          </w:p>
        </w:tc>
        <w:tc>
          <w:tcPr>
            <w:tcW w:type="pct" w:w="7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Track each batch with auto-calculated status (active/near/expired)</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Stock adjustments</w:t>
            </w:r>
          </w:p>
        </w:tc>
        <w:tc>
          <w:tcPr>
            <w:tcW w:type="pct" w:w="7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Stock In/Out/Waste/Return with reasons and audit trail</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FEFO allocation</w:t>
            </w:r>
          </w:p>
        </w:tc>
        <w:tc>
          <w:tcPr>
            <w:tcW w:type="pct" w:w="7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Auto-pick earliest-expiry batch for sales and dispenses</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Quarantine</w:t>
            </w:r>
          </w:p>
        </w:tc>
        <w:tc>
          <w:tcPr>
            <w:tcW w:type="pct" w:w="7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Remove damaged/suspect batches from rotation</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Dispose</w:t>
            </w:r>
          </w:p>
        </w:tc>
        <w:tc>
          <w:tcPr>
            <w:tcW w:type="pct" w:w="7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End-of-life disposal with witness + method for compliance</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Return to supplier</w:t>
            </w:r>
          </w:p>
        </w:tc>
        <w:tc>
          <w:tcPr>
            <w:tcW w:type="pct" w:w="7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Record supplier returns with reason + quantity</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Bulk actions</w:t>
            </w:r>
          </w:p>
        </w:tc>
        <w:tc>
          <w:tcPr>
            <w:tcW w:type="pct" w:w="7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Apply actions to multiple batches at once</w:t>
            </w:r>
          </w:p>
        </w:tc>
      </w:tr>
    </w:tbl>
    <w:p>
      <w:pPr>
        <w:pStyle w:val="Heading1"/>
        <w:spacing w:after="200" w:before="360" w:line="312"/>
      </w:pPr>
      <w:bookmarkStart w:id="100038" w:name="_Toc100038"/>
      <w:r>
        <w:rPr>
          <w:rFonts w:ascii="Calibri" w:eastAsia="Microsoft YaHei"/>
          <w:b/>
          <w:bCs/>
          <w:color w:val="064E3B"/>
          <w:sz w:val="32"/>
          <w:szCs w:val="32"/>
        </w:rPr>
        <w:t xml:space="preserve">9. Sales &amp; Dispensing</w:t>
      </w:r>
      <w:bookmarkEnd w:id="100038"/>
    </w:p>
    <w:p>
      <w:pPr>
        <w:spacing w:after="120" w:before="0" w:line="312"/>
        <w:ind w:firstLine="0"/>
        <w:jc w:val="both"/>
      </w:pPr>
      <w:r>
        <w:rPr>
          <w:rFonts w:ascii="Calibri" w:eastAsia="Microsoft YaHei"/>
          <w:color w:val="1F2937"/>
          <w:sz w:val="22"/>
          <w:szCs w:val="22"/>
        </w:rPr>
        <w:t xml:space="preserve">The sales and dispensing module is what the pharmacy staff uses most frequently — often hundreds of times per day. InventoryOS optimizes this workflow for speed: the Quick Dispense screen allows completing a sale in three taps (search product, enter quantity, confirm), and the full sale flow supports multi-item invoices with discounts, tax, and multiple payment methods. Every sale uses the FEFO allocation engine by default, ensuring the earliest-expiry stock is sold first.</w:t>
      </w:r>
    </w:p>
    <w:p>
      <w:pPr>
        <w:pStyle w:val="Heading2"/>
        <w:spacing w:after="140" w:before="280" w:line="312"/>
      </w:pPr>
      <w:bookmarkStart w:id="100039" w:name="_Toc100039"/>
      <w:r>
        <w:rPr>
          <w:rFonts w:ascii="Calibri" w:eastAsia="Microsoft YaHei"/>
          <w:b/>
          <w:bCs/>
          <w:color w:val="064E3B"/>
          <w:sz w:val="28"/>
          <w:szCs w:val="28"/>
        </w:rPr>
        <w:t xml:space="preserve">9.1 Quick Dispense (3-Tap POS)</w:t>
      </w:r>
      <w:bookmarkEnd w:id="100039"/>
    </w:p>
    <w:p>
      <w:pPr>
        <w:spacing w:after="120" w:before="0" w:line="312"/>
        <w:ind w:firstLine="0"/>
        <w:jc w:val="both"/>
      </w:pPr>
      <w:r>
        <w:rPr>
          <w:rFonts w:ascii="Calibri" w:eastAsia="Microsoft YaHei"/>
          <w:color w:val="1F2937"/>
          <w:sz w:val="22"/>
          <w:szCs w:val="22"/>
        </w:rPr>
        <w:t xml:space="preserve">The QuickDispense component is designed for the fast-paced pharmacy counter. The user searches for a product by name or barcode, enters the quantity, and confirms. The system shows a FEFO allocation preview (which batches will be deducted) before finalizing. Multiple items can be added to the cart before finalizing the sale. This is the fastest path for walk-in customers buying over-the-counter medicines.</w:t>
      </w:r>
    </w:p>
    <w:p>
      <w:pPr>
        <w:pStyle w:val="Heading2"/>
        <w:spacing w:after="140" w:before="280" w:line="312"/>
      </w:pPr>
      <w:bookmarkStart w:id="100040" w:name="_Toc100040"/>
      <w:r>
        <w:rPr>
          <w:rFonts w:ascii="Calibri" w:eastAsia="Microsoft YaHei"/>
          <w:b/>
          <w:bCs/>
          <w:color w:val="064E3B"/>
          <w:sz w:val="28"/>
          <w:szCs w:val="28"/>
        </w:rPr>
        <w:t xml:space="preserve">9.2 Full Sale (Invoice) Creation</w:t>
      </w:r>
      <w:bookmarkEnd w:id="100040"/>
    </w:p>
    <w:p>
      <w:pPr>
        <w:spacing w:after="120" w:before="0" w:line="312"/>
        <w:ind w:firstLine="0"/>
        <w:jc w:val="both"/>
      </w:pPr>
      <w:r>
        <w:rPr>
          <w:rFonts w:ascii="Calibri" w:eastAsia="Microsoft YaHei"/>
          <w:color w:val="1F2937"/>
          <w:sz w:val="22"/>
          <w:szCs w:val="22"/>
        </w:rPr>
        <w:t xml:space="preserve">The full sale flow generates a sequential invoice number (INV-YYYY-NNNN, e.g., INV-2026-0007), applies FEFO per line item, calculates subtotal, discount, tax, and total, records the payment method and payment status, and links to a customer (optional — walk-in sales are supported with a null customerId). The Sale model tracks: invoiceNo, customerId, items (SaleItem[] with productId, batchId, quantity, unitPrice, discount, tax), subtotal, discountAmount, taxAmount, total, paymentMethod, paymentStatus (unpaid, partial, paid), status (active, cancelled), and audit fields (createdAt, createdBy, cancelledAt, cancelledBy, cancelReason).</w:t>
      </w:r>
    </w:p>
    <w:p>
      <w:pPr>
        <w:pStyle w:val="Heading2"/>
        <w:spacing w:after="140" w:before="280" w:line="312"/>
      </w:pPr>
      <w:bookmarkStart w:id="100041" w:name="_Toc100041"/>
      <w:r>
        <w:rPr>
          <w:rFonts w:ascii="Calibri" w:eastAsia="Microsoft YaHei"/>
          <w:b/>
          <w:bCs/>
          <w:color w:val="064E3B"/>
          <w:sz w:val="28"/>
          <w:szCs w:val="28"/>
        </w:rPr>
        <w:t xml:space="preserve">9.3 Sale Detail View</w:t>
      </w:r>
      <w:bookmarkEnd w:id="100041"/>
    </w:p>
    <w:p>
      <w:pPr>
        <w:spacing w:after="120" w:before="0" w:line="312"/>
        <w:ind w:firstLine="0"/>
        <w:jc w:val="both"/>
      </w:pPr>
      <w:r>
        <w:rPr>
          <w:rFonts w:ascii="Calibri" w:eastAsia="Microsoft YaHei"/>
          <w:color w:val="1F2937"/>
          <w:sz w:val="22"/>
          <w:szCs w:val="22"/>
        </w:rPr>
        <w:t xml:space="preserve">The SaleDetail component shows the complete sale: line items with batch info, customer info, payment history, and refund/return actions. A print button generates a printable invoice via window.print(). This is the screen a pharmacist uses when a customer returns with a question about a past purchase, or when staff needs to process a return or refund.</w:t>
      </w:r>
    </w:p>
    <w:p>
      <w:pPr>
        <w:pStyle w:val="Heading2"/>
        <w:spacing w:after="140" w:before="280" w:line="312"/>
      </w:pPr>
      <w:bookmarkStart w:id="100042" w:name="_Toc100042"/>
      <w:r>
        <w:rPr>
          <w:rFonts w:ascii="Calibri" w:eastAsia="Microsoft YaHei"/>
          <w:b/>
          <w:bCs/>
          <w:color w:val="064E3B"/>
          <w:sz w:val="28"/>
          <w:szCs w:val="28"/>
        </w:rPr>
        <w:t xml:space="preserve">9.4 Returns &amp; Refunds</w:t>
      </w:r>
      <w:bookmarkEnd w:id="100042"/>
    </w:p>
    <w:p>
      <w:pPr>
        <w:spacing w:after="120" w:before="0" w:line="312"/>
        <w:ind w:firstLine="0"/>
        <w:jc w:val="both"/>
      </w:pPr>
      <w:r>
        <w:rPr>
          <w:rFonts w:ascii="Calibri" w:eastAsia="Microsoft YaHei"/>
          <w:color w:val="1F2937"/>
          <w:sz w:val="22"/>
          <w:szCs w:val="22"/>
        </w:rPr>
        <w:t xml:space="preserve">Returns are tracked separately from sales with their own sequential number (RET-YYYY-NNNN). The ReturnsManager UI allows processing partial returns per line item (e.g., customer bought 10 tablets, returns 3). A restock toggle controls whether the returned items go back into inventory (default yes, unless they are damaged). Five return reasons are supported: defective, wrong_item, expired, customer_changed_mind, other. Refund methods include cash, credit (added to customer's credit account), and store_credit (for future purchases). The reason field must be at the request body level (not inside the items array), which is a documented API requirement.</w:t>
      </w:r>
    </w:p>
    <w:p>
      <w:pPr>
        <w:pStyle w:val="Heading2"/>
        <w:spacing w:after="140" w:before="280" w:line="312"/>
      </w:pPr>
      <w:bookmarkStart w:id="100043" w:name="_Toc100043"/>
      <w:r>
        <w:rPr>
          <w:rFonts w:ascii="Calibri" w:eastAsia="Microsoft YaHei"/>
          <w:b/>
          <w:bCs/>
          <w:color w:val="064E3B"/>
          <w:sz w:val="28"/>
          <w:szCs w:val="28"/>
        </w:rPr>
        <w:t xml:space="preserve">9.5 Discount Rules Engine</w:t>
      </w:r>
      <w:bookmarkEnd w:id="100043"/>
    </w:p>
    <w:p>
      <w:pPr>
        <w:spacing w:after="120" w:before="0" w:line="312"/>
        <w:ind w:firstLine="0"/>
        <w:jc w:val="both"/>
      </w:pPr>
      <w:r>
        <w:rPr>
          <w:rFonts w:ascii="Calibri" w:eastAsia="Microsoft YaHei"/>
          <w:color w:val="1F2937"/>
          <w:sz w:val="22"/>
          <w:szCs w:val="22"/>
        </w:rPr>
        <w:t xml:space="preserve">The discount rules engine allows pharmacies to configure automatic discounts that apply at sale time. Each rule has: a type (percent or flat amount), conditions (none, minimum quantity, minimum amount, customer tag, schedule type, time-based), scope (all products, specific category, specific product, specific schedule type), priority (for ordering when multiple rules apply), start/end dates (for time-limited promotions), and tracks usage (timesUsed and totalDiscountGiven) so the pharmacist can see which rules are performing well. For example, a pharmacy could create a rule: 10 percent off all OTC products for customers tagged 'senior', priority 1, valid January 1 to December 31.</w:t>
      </w:r>
    </w:p>
    <w:p>
      <w:pPr>
        <w:pStyle w:val="Heading2"/>
        <w:spacing w:after="140" w:before="280" w:line="312"/>
      </w:pPr>
      <w:bookmarkStart w:id="100044" w:name="_Toc100044"/>
      <w:r>
        <w:rPr>
          <w:rFonts w:ascii="Calibri" w:eastAsia="Microsoft YaHei"/>
          <w:b/>
          <w:bCs/>
          <w:color w:val="064E3B"/>
          <w:sz w:val="28"/>
          <w:szCs w:val="28"/>
        </w:rPr>
        <w:t xml:space="preserve">9.6 FEFO Override with Audit</w:t>
      </w:r>
      <w:bookmarkEnd w:id="100044"/>
    </w:p>
    <w:p>
      <w:pPr>
        <w:spacing w:after="120" w:before="0" w:line="312"/>
        <w:ind w:firstLine="0"/>
        <w:jc w:val="both"/>
      </w:pPr>
      <w:r>
        <w:rPr>
          <w:rFonts w:ascii="Calibri" w:eastAsia="Microsoft YaHei"/>
          <w:color w:val="1F2937"/>
          <w:sz w:val="22"/>
          <w:szCs w:val="22"/>
        </w:rPr>
        <w:t xml:space="preserve">In some cases, staff needs to manually pick a non-FEFO batch — for example, when the FEFO batch is damaged, recalled, or being held for a specific customer. The system allows this via the manualBatches field in the dispense API, but requires a reason (minimum 10 characters). Every override creates a FefoOverride audit trail row capturing the userId, expected batch (what FEFO would have picked), selected batch (what was actually picked), and reason. This audit trail is exportable via the FEFO Override Report for DGDA compliance.</w:t>
      </w:r>
    </w:p>
    <w:p>
      <w:pPr>
        <w:pStyle w:val="Heading2"/>
        <w:spacing w:after="140" w:before="280" w:line="312"/>
      </w:pPr>
      <w:bookmarkStart w:id="100045" w:name="_Toc100045"/>
      <w:r>
        <w:rPr>
          <w:rFonts w:ascii="Calibri" w:eastAsia="Microsoft YaHei"/>
          <w:b/>
          <w:bCs/>
          <w:color w:val="064E3B"/>
          <w:sz w:val="28"/>
          <w:szCs w:val="28"/>
        </w:rPr>
        <w:t xml:space="preserve">9.7 Sale Cancellation</w:t>
      </w:r>
      <w:bookmarkEnd w:id="100045"/>
    </w:p>
    <w:p>
      <w:pPr>
        <w:spacing w:after="120" w:before="0" w:line="312"/>
        <w:ind w:firstLine="0"/>
        <w:jc w:val="both"/>
      </w:pPr>
      <w:r>
        <w:rPr>
          <w:rFonts w:ascii="Calibri" w:eastAsia="Microsoft YaHei"/>
          <w:color w:val="1F2937"/>
          <w:sz w:val="22"/>
          <w:szCs w:val="22"/>
        </w:rPr>
        <w:t xml:space="preserve">Sales can be cancelled (distinct from returns — a cancellation voids the entire sale, while a return processes a partial refund). The Sale model has status (active, cancelled), cancelledAt, cancelledBy, and cancelReason fields. Cancelling a sale reverses the stock deduction (restocks the batches) and reverses the payment, but preserves the audit trail. Double-cancellation is blocked by the status check.</w:t>
      </w:r>
    </w:p>
    <w:p>
      <w:pPr>
        <w:pStyle w:val="Heading2"/>
        <w:spacing w:after="140" w:before="280" w:line="312"/>
      </w:pPr>
      <w:bookmarkStart w:id="100046" w:name="_Toc100046"/>
      <w:r>
        <w:rPr>
          <w:rFonts w:ascii="Calibri" w:eastAsia="Microsoft YaHei"/>
          <w:b/>
          <w:bCs/>
          <w:color w:val="064E3B"/>
          <w:sz w:val="28"/>
          <w:szCs w:val="28"/>
        </w:rPr>
        <w:t xml:space="preserve">9.8 Payment Methods</w:t>
      </w:r>
      <w:bookmarkEnd w:id="100046"/>
    </w:p>
    <w:p>
      <w:pPr>
        <w:spacing w:after="120" w:before="0" w:line="312"/>
        <w:ind w:firstLine="0"/>
        <w:jc w:val="both"/>
      </w:pPr>
      <w:r>
        <w:rPr>
          <w:rFonts w:ascii="Calibri" w:eastAsia="Microsoft YaHei"/>
          <w:color w:val="1F2937"/>
          <w:sz w:val="22"/>
          <w:szCs w:val="22"/>
        </w:rPr>
        <w:t xml:space="preserve">Six payment methods are supported: cash, card, mobile_banking (bKash, Nagad, Rocket), credit (customer pays later), mixed (combination of methods), and cheque. Each sale can have one or more Payment records (for partial payments, mixed payments, or installment payments). The Payment model tracks: amount, method, reference (transaction ID, cheque number), createdAt, createdBy.</w:t>
      </w:r>
    </w:p>
    <w:p>
      <w:pPr>
        <w:pStyle w:val="Heading1"/>
        <w:spacing w:after="200" w:before="360" w:line="312"/>
      </w:pPr>
      <w:bookmarkStart w:id="100047" w:name="_Toc100047"/>
      <w:r>
        <w:rPr>
          <w:rFonts w:ascii="Calibri" w:eastAsia="Microsoft YaHei"/>
          <w:b/>
          <w:bCs/>
          <w:color w:val="064E3B"/>
          <w:sz w:val="32"/>
          <w:szCs w:val="32"/>
        </w:rPr>
        <w:t xml:space="preserve">10. Purchases, Suppliers &amp; Customers</w:t>
      </w:r>
      <w:bookmarkEnd w:id="100047"/>
    </w:p>
    <w:p>
      <w:pPr>
        <w:pStyle w:val="Heading2"/>
        <w:spacing w:after="140" w:before="280" w:line="312"/>
      </w:pPr>
      <w:bookmarkStart w:id="100048" w:name="_Toc100048"/>
      <w:r>
        <w:rPr>
          <w:rFonts w:ascii="Calibri" w:eastAsia="Microsoft YaHei"/>
          <w:b/>
          <w:bCs/>
          <w:color w:val="064E3B"/>
          <w:sz w:val="28"/>
          <w:szCs w:val="28"/>
        </w:rPr>
        <w:t xml:space="preserve">10.1 Supplier Master</w:t>
      </w:r>
      <w:bookmarkEnd w:id="100048"/>
    </w:p>
    <w:p>
      <w:pPr>
        <w:spacing w:after="120" w:before="0" w:line="312"/>
        <w:ind w:firstLine="0"/>
        <w:jc w:val="both"/>
      </w:pPr>
      <w:r>
        <w:rPr>
          <w:rFonts w:ascii="Calibri" w:eastAsia="Microsoft YaHei"/>
          <w:color w:val="1F2937"/>
          <w:sz w:val="22"/>
          <w:szCs w:val="22"/>
        </w:rPr>
        <w:t xml:space="preserve">The Supplier model tracks: name, code (auto-generated as SUP-001, SUP-002, etc.), contact person, phone, email, address, balance (outstanding payable to this supplier), totalPurchased (lifetime purchase value), totalPaid (lifetime payment value), and notes. The SupplierManager UI provides a searchable, filterable list with balance indicators, and the SupplierDetailView shows a complete picture: balance breakdown with aging buckets (current, 31-60 days, 61-90 days, 90+ days), outstanding purchases list, payment history, and a record-payment dialog.</w:t>
      </w:r>
    </w:p>
    <w:p>
      <w:pPr>
        <w:pStyle w:val="Heading2"/>
        <w:spacing w:after="140" w:before="280" w:line="312"/>
      </w:pPr>
      <w:bookmarkStart w:id="100049" w:name="_Toc100049"/>
      <w:r>
        <w:rPr>
          <w:rFonts w:ascii="Calibri" w:eastAsia="Microsoft YaHei"/>
          <w:b/>
          <w:bCs/>
          <w:color w:val="064E3B"/>
          <w:sz w:val="28"/>
          <w:szCs w:val="28"/>
        </w:rPr>
        <w:t xml:space="preserve">10.2 Purchase Order Creation</w:t>
      </w:r>
      <w:bookmarkEnd w:id="100049"/>
    </w:p>
    <w:p>
      <w:pPr>
        <w:spacing w:after="120" w:before="0" w:line="312"/>
        <w:ind w:firstLine="0"/>
        <w:jc w:val="both"/>
      </w:pPr>
      <w:r>
        <w:rPr>
          <w:rFonts w:ascii="Calibri" w:eastAsia="Microsoft YaHei"/>
          <w:color w:val="1F2937"/>
          <w:sz w:val="22"/>
          <w:szCs w:val="22"/>
        </w:rPr>
        <w:t xml:space="preserve">Creating a purchase order generates a sequential PO number (PO-YYYY-NNNN), auto-creates a Batch for each line item (with batchNo, mfgDate, expiryDate, mrp, quantity, purchase price), auto-syncs the Inventory record (sum of all batches), links to the supplier, and updates the supplier's balance. The system blocks purchase orders with missing expiry dates — a pharmacy-specific requirement, since every medicine batch must have an expiry date for FEFO tracking. The PurchaseForm UI supports adding multiple line items, each with its own batch details.</w:t>
      </w:r>
    </w:p>
    <w:p>
      <w:pPr>
        <w:pStyle w:val="Heading2"/>
        <w:spacing w:after="140" w:before="280" w:line="312"/>
      </w:pPr>
      <w:bookmarkStart w:id="100050" w:name="_Toc100050"/>
      <w:r>
        <w:rPr>
          <w:rFonts w:ascii="Calibri" w:eastAsia="Microsoft YaHei"/>
          <w:b/>
          <w:bCs/>
          <w:color w:val="064E3B"/>
          <w:sz w:val="28"/>
          <w:szCs w:val="28"/>
        </w:rPr>
        <w:t xml:space="preserve">10.3 Purchase Returns to Supplier</w:t>
      </w:r>
      <w:bookmarkEnd w:id="100050"/>
    </w:p>
    <w:p>
      <w:pPr>
        <w:spacing w:after="120" w:before="0" w:line="312"/>
        <w:ind w:firstLine="0"/>
        <w:jc w:val="both"/>
      </w:pPr>
      <w:r>
        <w:rPr>
          <w:rFonts w:ascii="Calibri" w:eastAsia="Microsoft YaHei"/>
          <w:color w:val="1F2937"/>
          <w:sz w:val="22"/>
          <w:szCs w:val="22"/>
        </w:rPr>
        <w:t xml:space="preserve">Purchase returns (POST /purchases/[purchaseId]/returns) handle the case where a supplier delivers damaged or incorrect stock. The system reduces stock (deletes or marks the linked batches as returned), refunds from the supplier (reduces Supplier.balance), and marks the affected batches as returned status. The PurchaseReturnDialog UI guides the user through selecting which items to return and the reason.</w:t>
      </w:r>
    </w:p>
    <w:p>
      <w:pPr>
        <w:pStyle w:val="Heading2"/>
        <w:spacing w:after="140" w:before="280" w:line="312"/>
      </w:pPr>
      <w:bookmarkStart w:id="100051" w:name="_Toc100051"/>
      <w:r>
        <w:rPr>
          <w:rFonts w:ascii="Calibri" w:eastAsia="Microsoft YaHei"/>
          <w:b/>
          <w:bCs/>
          <w:color w:val="064E3B"/>
          <w:sz w:val="28"/>
          <w:szCs w:val="28"/>
        </w:rPr>
        <w:t xml:space="preserve">10.4 Customer Management</w:t>
      </w:r>
      <w:bookmarkEnd w:id="100051"/>
    </w:p>
    <w:p>
      <w:pPr>
        <w:spacing w:after="120" w:before="0" w:line="312"/>
        <w:ind w:firstLine="0"/>
        <w:jc w:val="both"/>
      </w:pPr>
      <w:r>
        <w:rPr>
          <w:rFonts w:ascii="Calibri" w:eastAsia="Microsoft YaHei"/>
          <w:color w:val="1F2937"/>
          <w:sz w:val="22"/>
          <w:szCs w:val="22"/>
        </w:rPr>
        <w:t xml:space="preserve">The Customer model tracks: name, phone, email, address, date of birth, gender, chronic conditions (comma-separated, e.g., 'diabetes, hypertension'), allergies, and notes. Loyalty metrics are auto-maintained: totalSpent (lifetime purchase value), visitCount (number of sales), lastVisitAt (timestamp of last sale). The CustomerCreditView shows outstanding balance across all the customer's sales, aging buckets (current, 31-60, 61-90, 90+), payment history per sale, and a payment recording dialog. Walk-in sales are supported via a nullable customerId on the Sale model.</w:t>
      </w:r>
    </w:p>
    <w:p>
      <w:pPr>
        <w:pStyle w:val="Heading2"/>
        <w:spacing w:after="140" w:before="280" w:line="312"/>
      </w:pPr>
      <w:bookmarkStart w:id="100052" w:name="_Toc100052"/>
      <w:r>
        <w:rPr>
          <w:rFonts w:ascii="Calibri" w:eastAsia="Microsoft YaHei"/>
          <w:b/>
          <w:bCs/>
          <w:color w:val="064E3B"/>
          <w:sz w:val="28"/>
          <w:szCs w:val="28"/>
        </w:rPr>
        <w:t xml:space="preserve">10.5 Stats and Analytics</w:t>
      </w:r>
      <w:bookmarkEnd w:id="100052"/>
    </w:p>
    <w:p>
      <w:pPr>
        <w:spacing w:after="120" w:before="0" w:line="312"/>
        <w:ind w:firstLine="0"/>
        <w:jc w:val="both"/>
      </w:pPr>
      <w:r>
        <w:rPr>
          <w:rFonts w:ascii="Calibri" w:eastAsia="Microsoft YaHei"/>
          <w:color w:val="1F2937"/>
          <w:sz w:val="22"/>
          <w:szCs w:val="22"/>
        </w:rPr>
        <w:t xml:space="preserve">Two stats endpoints provide aggregated insights. The supplier stats endpoint (GET /suppliers/stats) returns top suppliers by purchase value (last 30 days), total balance across all suppliers, total purchased, and total paid. The purchase stats endpoint (GET /purchases/stats) returns today/week/month totals plus a 7-day trend chart data. These feed the supplier management UI and the unified business dashboard.</w:t>
      </w:r>
    </w:p>
    <w:p>
      <w:pPr>
        <w:pStyle w:val="Heading1"/>
        <w:spacing w:after="200" w:before="360" w:line="312"/>
      </w:pPr>
      <w:bookmarkStart w:id="100053" w:name="_Toc100053"/>
      <w:r>
        <w:rPr>
          <w:rFonts w:ascii="Calibri" w:eastAsia="Microsoft YaHei"/>
          <w:b/>
          <w:bCs/>
          <w:color w:val="064E3B"/>
          <w:sz w:val="32"/>
          <w:szCs w:val="32"/>
        </w:rPr>
        <w:t xml:space="preserve">11. Dashboards &amp; Analytics</w:t>
      </w:r>
      <w:bookmarkEnd w:id="100053"/>
    </w:p>
    <w:p>
      <w:pPr>
        <w:spacing w:after="120" w:before="0" w:line="312"/>
        <w:ind w:firstLine="0"/>
        <w:jc w:val="both"/>
      </w:pPr>
      <w:r>
        <w:rPr>
          <w:rFonts w:ascii="Calibri" w:eastAsia="Microsoft YaHei"/>
          <w:color w:val="1F2937"/>
          <w:sz w:val="22"/>
          <w:szCs w:val="22"/>
        </w:rPr>
        <w:t xml:space="preserve">InventoryOS provides multiple dashboard views tailored to different user needs. The Pharmacy Dashboard (Home tab) is optimized for daily operations — quick stats and recent activity. The Unified Business Dashboard provides a complete KPI snapshot across all modules for the owner. The Sales Analytics Dashboard is a deep-dive view for analyzing sales trends over time. Together, these three dashboards cover the information needs of every role in the pharmacy.</w:t>
      </w:r>
    </w:p>
    <w:p>
      <w:pPr>
        <w:pStyle w:val="Heading2"/>
        <w:spacing w:after="140" w:before="280" w:line="312"/>
      </w:pPr>
      <w:bookmarkStart w:id="100054" w:name="_Toc100054"/>
      <w:r>
        <w:rPr>
          <w:rFonts w:ascii="Calibri" w:eastAsia="Microsoft YaHei"/>
          <w:b/>
          <w:bCs/>
          <w:color w:val="064E3B"/>
          <w:sz w:val="28"/>
          <w:szCs w:val="28"/>
        </w:rPr>
        <w:t xml:space="preserve">11.1 Pharmacy Dashboard (Home Tab)</w:t>
      </w:r>
      <w:bookmarkEnd w:id="100054"/>
    </w:p>
    <w:p>
      <w:pPr>
        <w:spacing w:after="120" w:before="0" w:line="312"/>
        <w:ind w:firstLine="0"/>
        <w:jc w:val="both"/>
      </w:pPr>
      <w:r>
        <w:rPr>
          <w:rFonts w:ascii="Calibri" w:eastAsia="Microsoft YaHei"/>
          <w:color w:val="1F2937"/>
          <w:sz w:val="22"/>
          <w:szCs w:val="22"/>
        </w:rPr>
        <w:t xml:space="preserve">The PharmacyDashboard component is the first screen users see after logging in. It shows four summary cards (total products, low stock count, expiring soon count, total categories), a recent products list, quick action buttons (Add Product, New Sale, etc.), an expiry alerts widget (showing critical, warning, and expired counts with suggested actions), and a notification center popover. This is the daily starting point for pharmacy staff — everything they need to know about the day's priorities is on this one screen.</w:t>
      </w:r>
    </w:p>
    <w:p>
      <w:pPr>
        <w:pStyle w:val="Heading2"/>
        <w:spacing w:after="140" w:before="280" w:line="312"/>
      </w:pPr>
      <w:bookmarkStart w:id="100055" w:name="_Toc100055"/>
      <w:r>
        <w:rPr>
          <w:rFonts w:ascii="Calibri" w:eastAsia="Microsoft YaHei"/>
          <w:b/>
          <w:bCs/>
          <w:color w:val="064E3B"/>
          <w:sz w:val="28"/>
          <w:szCs w:val="28"/>
        </w:rPr>
        <w:t xml:space="preserve">11.2 Unified Business Dashboard</w:t>
      </w:r>
      <w:bookmarkEnd w:id="100055"/>
    </w:p>
    <w:p>
      <w:pPr>
        <w:spacing w:after="120" w:before="0" w:line="312"/>
        <w:ind w:firstLine="0"/>
        <w:jc w:val="both"/>
      </w:pPr>
      <w:r>
        <w:rPr>
          <w:rFonts w:ascii="Calibri" w:eastAsia="Microsoft YaHei"/>
          <w:color w:val="1F2937"/>
          <w:sz w:val="22"/>
          <w:szCs w:val="22"/>
        </w:rPr>
        <w:t xml:space="preserve">The BusinessDashboard component provides a complete KPI snapshot across all modules. It pulls data from the /api/businesses/[id]/dashboard endpoint, which uses Promise.all to run multiple Prisma aggregations in parallel for performance. The dashboard shows: sales KPIs (today, week, month), purchases KPIs, payments KPIs, returns KPIs, inventory KPIs (cost value, MRP value, potential profit), expiry KPIs (expired, near-expiry, quarantined, value at risk), contacts KPIs (total customers, total suppliers), financials (receivables, payables, cash flow), profit metrics (revenue, COGS, gross profit, margin), and a 7-day trend chart. This is the screen the pharmacy owner uses to understand the overall health of the business.</w:t>
      </w:r>
    </w:p>
    <w:p>
      <w:pPr>
        <w:pStyle w:val="Heading2"/>
        <w:spacing w:after="140" w:before="280" w:line="312"/>
      </w:pPr>
      <w:bookmarkStart w:id="100056" w:name="_Toc100056"/>
      <w:r>
        <w:rPr>
          <w:rFonts w:ascii="Calibri" w:eastAsia="Microsoft YaHei"/>
          <w:b/>
          <w:bCs/>
          <w:color w:val="064E3B"/>
          <w:sz w:val="28"/>
          <w:szCs w:val="28"/>
        </w:rPr>
        <w:t xml:space="preserve">11.3 Sales Analytics Dashboard</w:t>
      </w:r>
      <w:bookmarkEnd w:id="100056"/>
    </w:p>
    <w:p>
      <w:pPr>
        <w:spacing w:after="120" w:before="0" w:line="312"/>
        <w:ind w:firstLine="0"/>
        <w:jc w:val="both"/>
      </w:pPr>
      <w:r>
        <w:rPr>
          <w:rFonts w:ascii="Calibri" w:eastAsia="Microsoft YaHei"/>
          <w:color w:val="1F2937"/>
          <w:sz w:val="22"/>
          <w:szCs w:val="22"/>
        </w:rPr>
        <w:t xml:space="preserve">The SalesAnalytics component is the most detailed analytics view. A period selector (7 days, 30 days, 90 days, 365 days) controls the time range. The dashboard shows KPIs (total sales, sale count, average sale value, total collected, refunds, net revenue, discounts given, tax collected, growth percentage vs. previous period), a daily trend bar chart with hover tooltips showing sales, count, refunds, and net per day, top products by revenue and quantity, top customers by spend, payment method breakdown (cash, card, mobile banking, etc.), peak hours heatmap, day-of-week analysis, and discount rules used. This is the screen a manager uses to identify trends and make decisions about pricing, promotions, and inventory.</w:t>
      </w:r>
    </w:p>
    <w:p>
      <w:pPr>
        <w:pStyle w:val="Heading2"/>
        <w:spacing w:after="140" w:before="280" w:line="312"/>
      </w:pPr>
      <w:bookmarkStart w:id="100057" w:name="_Toc100057"/>
      <w:r>
        <w:rPr>
          <w:rFonts w:ascii="Calibri" w:eastAsia="Microsoft YaHei"/>
          <w:b/>
          <w:bCs/>
          <w:color w:val="064E3B"/>
          <w:sz w:val="28"/>
          <w:szCs w:val="28"/>
        </w:rPr>
        <w:t xml:space="preserve">11.4 Hubs and Stats</w:t>
      </w:r>
      <w:bookmarkEnd w:id="100057"/>
    </w:p>
    <w:p>
      <w:pPr>
        <w:spacing w:after="120" w:before="0" w:line="312"/>
        <w:ind w:firstLine="0"/>
        <w:jc w:val="both"/>
      </w:pPr>
      <w:r>
        <w:rPr>
          <w:rFonts w:ascii="Calibri" w:eastAsia="Microsoft YaHei"/>
          <w:color w:val="1F2937"/>
          <w:sz w:val="22"/>
          <w:szCs w:val="22"/>
        </w:rPr>
        <w:t xml:space="preserve">Three hub components organize navigation. The InventoryHub (Stock tab) links to batches, expiry dashboard, products, add product, CSV import, and categories. The ReportsHub provides a central list of all 7 report types. The MoreHub consolidates admin, operations, and reports sections. Two stats endpoints provide additional data: GET /sales/stats returns today/week/month/year aggregations plus top products, and GET /payments/stats returns today/week/month totals plus a 7-day breakdown plus payment-method breakdown.</w:t>
      </w:r>
    </w:p>
    <w:p>
      <w:pPr>
        <w:pStyle w:val="Heading1"/>
        <w:spacing w:after="200" w:before="360" w:line="312"/>
      </w:pPr>
      <w:bookmarkStart w:id="100058" w:name="_Toc100058"/>
      <w:r>
        <w:rPr>
          <w:rFonts w:ascii="Calibri" w:eastAsia="Microsoft YaHei"/>
          <w:b/>
          <w:bCs/>
          <w:color w:val="064E3B"/>
          <w:sz w:val="32"/>
          <w:szCs w:val="32"/>
        </w:rPr>
        <w:t xml:space="preserve">12. Financial &amp; Compliance Reports</w:t>
      </w:r>
      <w:bookmarkEnd w:id="100058"/>
    </w:p>
    <w:p>
      <w:pPr>
        <w:spacing w:after="120" w:before="0" w:line="312"/>
        <w:ind w:firstLine="0"/>
        <w:jc w:val="both"/>
      </w:pPr>
      <w:r>
        <w:rPr>
          <w:rFonts w:ascii="Calibri" w:eastAsia="Microsoft YaHei"/>
          <w:color w:val="1F2937"/>
          <w:sz w:val="22"/>
          <w:szCs w:val="22"/>
        </w:rPr>
        <w:t xml:space="preserve">InventoryOS ships with seven report types covering financial, tax, inventory, audit, and compliance needs. All reports support a period selector (today, week, month, quarter, year, or custom date range), can be printed via window.print(), and most support CSV export via a ?format=csv query parameter. These reports are the primary way the pharmacy owner communicates with their accountant, the National Board of Revenue (NBR), and the Directorate General of Drug Administration (DGDA).</w:t>
      </w:r>
    </w:p>
    <w:p>
      <w:pPr>
        <w:pStyle w:val="Heading2"/>
        <w:spacing w:after="140" w:before="280" w:line="312"/>
      </w:pPr>
      <w:bookmarkStart w:id="100059" w:name="_Toc100059"/>
      <w:r>
        <w:rPr>
          <w:rFonts w:ascii="Calibri" w:eastAsia="Microsoft YaHei"/>
          <w:b/>
          <w:bCs/>
          <w:color w:val="064E3B"/>
          <w:sz w:val="28"/>
          <w:szCs w:val="28"/>
        </w:rPr>
        <w:t xml:space="preserve">12.1 Profit &amp; Loss Report</w:t>
      </w:r>
      <w:bookmarkEnd w:id="100059"/>
    </w:p>
    <w:p>
      <w:pPr>
        <w:spacing w:after="120" w:before="0" w:line="312"/>
        <w:ind w:firstLine="0"/>
        <w:jc w:val="both"/>
      </w:pPr>
      <w:r>
        <w:rPr>
          <w:rFonts w:ascii="Calibri" w:eastAsia="Microsoft YaHei"/>
          <w:color w:val="1F2937"/>
          <w:sz w:val="22"/>
          <w:szCs w:val="22"/>
        </w:rPr>
        <w:t xml:space="preserve">The P&amp;L report provides a complete income statement. It calculates revenue (gross sales, returns, net revenue), COGS (cost of goods sold as total + percentage of revenue), gross profit (amount + margin percentage), expenses (purchases + purchase count + discounts given + tax collected), cash flow (payments received, payments made, net cash flow), and net profit. It also identifies top profit products and loss products (products with negative margin). The report supports period selection and is printable and CSV-exportable. This is the report the pharmacy owner shows to their accountant at month-end.</w:t>
      </w:r>
    </w:p>
    <w:p>
      <w:pPr>
        <w:pStyle w:val="Heading2"/>
        <w:spacing w:after="140" w:before="280" w:line="312"/>
      </w:pPr>
      <w:bookmarkStart w:id="100060" w:name="_Toc100060"/>
      <w:r>
        <w:rPr>
          <w:rFonts w:ascii="Calibri" w:eastAsia="Microsoft YaHei"/>
          <w:b/>
          <w:bCs/>
          <w:color w:val="064E3B"/>
          <w:sz w:val="28"/>
          <w:szCs w:val="28"/>
        </w:rPr>
        <w:t xml:space="preserve">12.2 Tax/VAT Compliance Report</w:t>
      </w:r>
      <w:bookmarkEnd w:id="100060"/>
    </w:p>
    <w:p>
      <w:pPr>
        <w:spacing w:after="120" w:before="0" w:line="312"/>
        <w:ind w:firstLine="0"/>
        <w:jc w:val="both"/>
      </w:pPr>
      <w:r>
        <w:rPr>
          <w:rFonts w:ascii="Calibri" w:eastAsia="Microsoft YaHei"/>
          <w:color w:val="1F2937"/>
          <w:sz w:val="22"/>
          <w:szCs w:val="22"/>
        </w:rPr>
        <w:t xml:space="preserve">The tax report is specifically formatted for Bangladesh VAT compliance. It calculates output tax (VAT collected on sales), input tax (VAT paid on purchases), net VAT payable (output minus input, with an isRefund flag if input exceeds output), VAT-by-rate breakdown (15 percent, 7.5 percent, 5 percent, 0 percent), output tax details per invoice with HSN codes, and input tax details per purchase. This is the report the pharmacy owner files with the NBR. The format matches the NBR's expected structure, reducing manual preparation time.</w:t>
      </w:r>
    </w:p>
    <w:p>
      <w:pPr>
        <w:pStyle w:val="Heading2"/>
        <w:spacing w:after="140" w:before="280" w:line="312"/>
      </w:pPr>
      <w:bookmarkStart w:id="100061" w:name="_Toc100061"/>
      <w:r>
        <w:rPr>
          <w:rFonts w:ascii="Calibri" w:eastAsia="Microsoft YaHei"/>
          <w:b/>
          <w:bCs/>
          <w:color w:val="064E3B"/>
          <w:sz w:val="28"/>
          <w:szCs w:val="28"/>
        </w:rPr>
        <w:t xml:space="preserve">12.3 Inventory Valuation Report</w:t>
      </w:r>
      <w:bookmarkEnd w:id="100061"/>
    </w:p>
    <w:p>
      <w:pPr>
        <w:spacing w:after="120" w:before="0" w:line="312"/>
        <w:ind w:firstLine="0"/>
        <w:jc w:val="both"/>
      </w:pPr>
      <w:r>
        <w:rPr>
          <w:rFonts w:ascii="Calibri" w:eastAsia="Microsoft YaHei"/>
          <w:color w:val="1F2937"/>
          <w:sz w:val="22"/>
          <w:szCs w:val="22"/>
        </w:rPr>
        <w:t xml:space="preserve">The inventory valuation report calculates the value of current stock at cost and at MRP, by product, by category, and by batch. It shows total potential profit (MRP value minus cost value) and average margin. This is the report the pharmacy owner uses for insurance purposes, for business valuation, and for identifying slow-moving inventory. The report supports CSV export for spreadsheet analysis.</w:t>
      </w:r>
    </w:p>
    <w:p>
      <w:pPr>
        <w:pStyle w:val="Heading2"/>
        <w:spacing w:after="140" w:before="280" w:line="312"/>
      </w:pPr>
      <w:bookmarkStart w:id="100062" w:name="_Toc100062"/>
      <w:r>
        <w:rPr>
          <w:rFonts w:ascii="Calibri" w:eastAsia="Microsoft YaHei"/>
          <w:b/>
          <w:bCs/>
          <w:color w:val="064E3B"/>
          <w:sz w:val="28"/>
          <w:szCs w:val="28"/>
        </w:rPr>
        <w:t xml:space="preserve">12.4 Comprehensive Business Report</w:t>
      </w:r>
      <w:bookmarkEnd w:id="100062"/>
    </w:p>
    <w:p>
      <w:pPr>
        <w:spacing w:after="120" w:before="0" w:line="312"/>
        <w:ind w:firstLine="0"/>
        <w:jc w:val="both"/>
      </w:pPr>
      <w:r>
        <w:rPr>
          <w:rFonts w:ascii="Calibri" w:eastAsia="Microsoft YaHei"/>
          <w:color w:val="1F2937"/>
          <w:sz w:val="22"/>
          <w:szCs w:val="22"/>
        </w:rPr>
        <w:t xml:space="preserve">The business report is a one-stop executive summary covering inventory health, contacts, financials, top products, top customers, and top suppliers. It is designed for monthly review meetings — the pharmacy owner can generate this report and have a complete picture of the business in one document. It supports period selection and is printable.</w:t>
      </w:r>
    </w:p>
    <w:p>
      <w:pPr>
        <w:pStyle w:val="Heading2"/>
        <w:spacing w:after="140" w:before="280" w:line="312"/>
      </w:pPr>
      <w:bookmarkStart w:id="100063" w:name="_Toc100063"/>
      <w:r>
        <w:rPr>
          <w:rFonts w:ascii="Calibri" w:eastAsia="Microsoft YaHei"/>
          <w:b/>
          <w:bCs/>
          <w:color w:val="064E3B"/>
          <w:sz w:val="28"/>
          <w:szCs w:val="28"/>
        </w:rPr>
        <w:t xml:space="preserve">12.5 Audit Trail Report</w:t>
      </w:r>
      <w:bookmarkEnd w:id="100063"/>
    </w:p>
    <w:p>
      <w:pPr>
        <w:spacing w:after="120" w:before="0" w:line="312"/>
        <w:ind w:firstLine="0"/>
        <w:jc w:val="both"/>
      </w:pPr>
      <w:r>
        <w:rPr>
          <w:rFonts w:ascii="Calibri" w:eastAsia="Microsoft YaHei"/>
          <w:color w:val="1F2937"/>
          <w:sz w:val="22"/>
          <w:szCs w:val="22"/>
        </w:rPr>
        <w:t xml:space="preserve">The audit trail report provides a unified timeline of all events across the system. It can be filtered by module (sales, purchases, inventory, payments, returns), entity type (Product, Batch, Sale, etc.), entity ID, and date range. The report queries the Transaction table (which records every stock movement) plus other audit tables (Sale.cancellation, FefoOverride, etc.) and presents a unified chronological view. This is the report used for internal investigations and for compliance audits.</w:t>
      </w:r>
    </w:p>
    <w:p>
      <w:pPr>
        <w:pStyle w:val="Heading2"/>
        <w:spacing w:after="140" w:before="280" w:line="312"/>
      </w:pPr>
      <w:bookmarkStart w:id="100064" w:name="_Toc100064"/>
      <w:r>
        <w:rPr>
          <w:rFonts w:ascii="Calibri" w:eastAsia="Microsoft YaHei"/>
          <w:b/>
          <w:bCs/>
          <w:color w:val="064E3B"/>
          <w:sz w:val="28"/>
          <w:szCs w:val="28"/>
        </w:rPr>
        <w:t xml:space="preserve">12.6 FEFO Override Report</w:t>
      </w:r>
      <w:bookmarkEnd w:id="100064"/>
    </w:p>
    <w:p>
      <w:pPr>
        <w:spacing w:after="120" w:before="0" w:line="312"/>
        <w:ind w:firstLine="0"/>
        <w:jc w:val="both"/>
      </w:pPr>
      <w:r>
        <w:rPr>
          <w:rFonts w:ascii="Calibri" w:eastAsia="Microsoft YaHei"/>
          <w:color w:val="1F2937"/>
          <w:sz w:val="22"/>
          <w:szCs w:val="22"/>
        </w:rPr>
        <w:t xml:space="preserve">The FEFO override report is specifically for DGDA compliance. It lists every instance where staff manually picked a non-FEFO batch, with date, user, product, expected batch (the one FEFO would have picked), selected batch (the one actually picked), and reason. The report can be filtered by date, user, and product. CSV export is supported for submission to DGDA inspectors.</w:t>
      </w:r>
    </w:p>
    <w:p>
      <w:pPr>
        <w:pStyle w:val="Heading2"/>
        <w:spacing w:after="140" w:before="280" w:line="312"/>
      </w:pPr>
      <w:bookmarkStart w:id="100065" w:name="_Toc100065"/>
      <w:r>
        <w:rPr>
          <w:rFonts w:ascii="Calibri" w:eastAsia="Microsoft YaHei"/>
          <w:b/>
          <w:bCs/>
          <w:color w:val="064E3B"/>
          <w:sz w:val="28"/>
          <w:szCs w:val="28"/>
        </w:rPr>
        <w:t xml:space="preserve">12.7 Expiry Report</w:t>
      </w:r>
      <w:bookmarkEnd w:id="100065"/>
    </w:p>
    <w:p>
      <w:pPr>
        <w:spacing w:after="120" w:before="0" w:line="312"/>
        <w:ind w:firstLine="0"/>
        <w:jc w:val="both"/>
      </w:pPr>
      <w:r>
        <w:rPr>
          <w:rFonts w:ascii="Calibri" w:eastAsia="Microsoft YaHei"/>
          <w:color w:val="1F2937"/>
          <w:sz w:val="22"/>
          <w:szCs w:val="22"/>
        </w:rPr>
        <w:t xml:space="preserve">The expiry report is a printable daily, weekly, or monthly report with a business header (pharmacy name, address, license number), alert preferences, summary (total batches, expired count, near-expiry count, value at risk), and batch-level details (product name, batch number, expiry date, quantity, value, suggested action). This is the report the pharmacist uses for daily expiry review and for monthly regulatory submissions.</w:t>
      </w:r>
    </w:p>
    <w:p>
      <w:pPr>
        <w:pStyle w:val="Heading1"/>
        <w:spacing w:after="200" w:before="360" w:line="312"/>
      </w:pPr>
      <w:bookmarkStart w:id="100066" w:name="_Toc100066"/>
      <w:r>
        <w:rPr>
          <w:rFonts w:ascii="Calibri" w:eastAsia="Microsoft YaHei"/>
          <w:b/>
          <w:bCs/>
          <w:color w:val="064E3B"/>
          <w:sz w:val="32"/>
          <w:szCs w:val="32"/>
        </w:rPr>
        <w:t xml:space="preserve">13. Expiry Management (FEFO)</w:t>
      </w:r>
      <w:bookmarkEnd w:id="100066"/>
    </w:p>
    <w:p>
      <w:pPr>
        <w:spacing w:after="120" w:before="0" w:line="312"/>
        <w:ind w:firstLine="0"/>
        <w:jc w:val="both"/>
      </w:pPr>
      <w:r>
        <w:rPr>
          <w:rFonts w:ascii="Calibri" w:eastAsia="Microsoft YaHei"/>
          <w:color w:val="1F2937"/>
          <w:sz w:val="22"/>
          <w:szCs w:val="22"/>
        </w:rPr>
        <w:t xml:space="preserve">Expiry management is one of InventoryOS's strongest differentiators. Pharmacies lose significant money to expired stock — industry estimates suggest 2-5 percent of inventory value expires unused. InventoryOS attacks this problem from multiple angles: FEFO allocation ensures the earliest-expiry stock is sold first, the expiry dashboard provides a complete view of upcoming expiries, the AI expiry optimizer recommends specific actions (discount, return, dispose) for at-risk batches, and the expiry alerts system pushes notifications before batches become unsellable.</w:t>
      </w:r>
    </w:p>
    <w:p>
      <w:pPr>
        <w:pStyle w:val="Heading2"/>
        <w:spacing w:after="140" w:before="280" w:line="312"/>
      </w:pPr>
      <w:bookmarkStart w:id="100067" w:name="_Toc100067"/>
      <w:r>
        <w:rPr>
          <w:rFonts w:ascii="Calibri" w:eastAsia="Microsoft YaHei"/>
          <w:b/>
          <w:bCs/>
          <w:color w:val="064E3B"/>
          <w:sz w:val="28"/>
          <w:szCs w:val="28"/>
        </w:rPr>
        <w:t xml:space="preserve">13.1 FEFO (First-Expiry-First-Out)</w:t>
      </w:r>
      <w:bookmarkEnd w:id="100067"/>
    </w:p>
    <w:p>
      <w:pPr>
        <w:spacing w:after="120" w:before="0" w:line="312"/>
        <w:ind w:firstLine="0"/>
        <w:jc w:val="both"/>
      </w:pPr>
      <w:r>
        <w:rPr>
          <w:rFonts w:ascii="Calibri" w:eastAsia="Microsoft YaHei"/>
          <w:color w:val="1F2937"/>
          <w:sz w:val="22"/>
          <w:szCs w:val="22"/>
        </w:rPr>
        <w:t xml:space="preserve">FEFO is the default allocation strategy for all sales and dispenses. When the system needs to deduct stock for a sale, it automatically picks the batch with the earliest expiry date first, skipping any expired or quarantined batches. This is implemented in the /api/businesses/[id]/products/[productId]/allocate endpoint, which supports both dry-run (preview allocation without modifying stock) and execute (actually deduct stock) modes. The FEFO allocation engine is also used by the dispense and sale APIs internally.</w:t>
      </w:r>
    </w:p>
    <w:p>
      <w:pPr>
        <w:pStyle w:val="Heading2"/>
        <w:spacing w:after="140" w:before="280" w:line="312"/>
      </w:pPr>
      <w:bookmarkStart w:id="100068" w:name="_Toc100068"/>
      <w:r>
        <w:rPr>
          <w:rFonts w:ascii="Calibri" w:eastAsia="Microsoft YaHei"/>
          <w:b/>
          <w:bCs/>
          <w:color w:val="064E3B"/>
          <w:sz w:val="28"/>
          <w:szCs w:val="28"/>
        </w:rPr>
        <w:t xml:space="preserve">13.2 Expiry Dashboard</w:t>
      </w:r>
      <w:bookmarkEnd w:id="100068"/>
    </w:p>
    <w:p>
      <w:pPr>
        <w:spacing w:after="120" w:before="0" w:line="312"/>
        <w:ind w:firstLine="0"/>
        <w:jc w:val="both"/>
      </w:pPr>
      <w:r>
        <w:rPr>
          <w:rFonts w:ascii="Calibri" w:eastAsia="Microsoft YaHei"/>
          <w:color w:val="1F2937"/>
          <w:sz w:val="22"/>
          <w:szCs w:val="22"/>
        </w:rPr>
        <w:t xml:space="preserve">The ExpiryDashboard component provides a full management view. It shows summary cards (expired count, critical count &lt;30 days, warning count 30-90 days, total value at risk), filter tabs (All, Expired, Critical, Warning, Quarantined), a search bar, a 13-week timeline chart showing when batches will expire, and a bulk action bar for applying actions to multiple batches. This is the primary screen a pharmacist uses to manage upcoming expiries.</w:t>
      </w:r>
    </w:p>
    <w:p>
      <w:pPr>
        <w:pStyle w:val="Heading2"/>
        <w:spacing w:after="140" w:before="280" w:line="312"/>
      </w:pPr>
      <w:bookmarkStart w:id="100069" w:name="_Toc100069"/>
      <w:r>
        <w:rPr>
          <w:rFonts w:ascii="Calibri" w:eastAsia="Microsoft YaHei"/>
          <w:b/>
          <w:bCs/>
          <w:color w:val="064E3B"/>
          <w:sz w:val="28"/>
          <w:szCs w:val="28"/>
        </w:rPr>
        <w:t xml:space="preserve">13.3 Expiry Alerts</w:t>
      </w:r>
      <w:bookmarkEnd w:id="100069"/>
    </w:p>
    <w:p>
      <w:pPr>
        <w:spacing w:after="120" w:before="0" w:line="312"/>
        <w:ind w:firstLine="0"/>
        <w:jc w:val="both"/>
      </w:pPr>
      <w:r>
        <w:rPr>
          <w:rFonts w:ascii="Calibri" w:eastAsia="Microsoft YaHei"/>
          <w:color w:val="1F2937"/>
          <w:sz w:val="22"/>
          <w:szCs w:val="22"/>
        </w:rPr>
        <w:t xml:space="preserve">Three layers of expiry alerts ensure nothing slips through. The ExpiryAlertsWidget on the home dashboard shows critical/warning/expired counts with suggested actions. The Expiry Alerts API (GET /expiry-alerts) returns batches grouped by severity (expired, critical &lt;30 days, warning 30-90 days) with a suggestedAction field (Dispose, Sell first, FEFO priority) and a totalValueAtRisk amount. The Notification Center pushes expiry_critical, expiry_warning notifications that appear in real time. Alert preferences are configurable: critical threshold (default 7 days), warning threshold (default 30 days), notice threshold (default 90 days).</w:t>
      </w:r>
    </w:p>
    <w:p>
      <w:pPr>
        <w:pStyle w:val="Heading2"/>
        <w:spacing w:after="140" w:before="280" w:line="312"/>
      </w:pPr>
      <w:bookmarkStart w:id="100070" w:name="_Toc100070"/>
      <w:r>
        <w:rPr>
          <w:rFonts w:ascii="Calibri" w:eastAsia="Microsoft YaHei"/>
          <w:b/>
          <w:bCs/>
          <w:color w:val="064E3B"/>
          <w:sz w:val="28"/>
          <w:szCs w:val="28"/>
        </w:rPr>
        <w:t xml:space="preserve">13.4 Expiry Timeline Chart</w:t>
      </w:r>
      <w:bookmarkEnd w:id="100070"/>
    </w:p>
    <w:p>
      <w:pPr>
        <w:spacing w:after="120" w:before="0" w:line="312"/>
        <w:ind w:firstLine="0"/>
        <w:jc w:val="both"/>
      </w:pPr>
      <w:r>
        <w:rPr>
          <w:rFonts w:ascii="Calibri" w:eastAsia="Microsoft YaHei"/>
          <w:color w:val="1F2937"/>
          <w:sz w:val="22"/>
          <w:szCs w:val="22"/>
        </w:rPr>
        <w:t xml:space="preserve">The ExpiryTimelineChart component visualizes the next 13 weeks (one quarter) of upcoming expiries as a bar chart. Bars are color-coded by urgency: rose (red) for expired batches, amber for critical (within 30 days), emerald for warning (30-90 days). Hovering over a bar shows the count and value of batches expiring that week. This visual makes it immediately obvious when a cluster of expiries is approaching, allowing the pharmacist to take action (discount, return to supplier) before they become losses.</w:t>
      </w:r>
    </w:p>
    <w:p>
      <w:pPr>
        <w:pStyle w:val="Heading2"/>
        <w:spacing w:after="140" w:before="280" w:line="312"/>
      </w:pPr>
      <w:bookmarkStart w:id="100071" w:name="_Toc100071"/>
      <w:r>
        <w:rPr>
          <w:rFonts w:ascii="Calibri" w:eastAsia="Microsoft YaHei"/>
          <w:b/>
          <w:bCs/>
          <w:color w:val="064E3B"/>
          <w:sz w:val="28"/>
          <w:szCs w:val="28"/>
        </w:rPr>
        <w:t xml:space="preserve">13.5 Quarantine, Dispose, and AI Optimizer</w:t>
      </w:r>
      <w:bookmarkEnd w:id="100071"/>
    </w:p>
    <w:p>
      <w:pPr>
        <w:spacing w:after="120" w:before="0" w:line="312"/>
        <w:ind w:firstLine="0"/>
        <w:jc w:val="both"/>
      </w:pPr>
      <w:r>
        <w:rPr>
          <w:rFonts w:ascii="Calibri" w:eastAsia="Microsoft YaHei"/>
          <w:color w:val="1F2937"/>
          <w:sz w:val="22"/>
          <w:szCs w:val="22"/>
        </w:rPr>
        <w:t xml:space="preserve">Three workflows handle problematic batches. Quarantine and Dispose are detailed in Section 8.8. The AI Expiry Optimizer (detailed in Section 14.3) analyzes near-expiry batches and recommends specific actions: sell at full price (if demand is high enough), discount by X percent (to accelerate sales), return to supplier (if return window is still open), or dispose (if no other option). The optimizer considers historical sales velocity, current stock levels, days until expiry, and the batch's purchase cost to make its recommendation. This is one of the highest-ROI AI features — even a 10 percent reduction in expired stock value pays for the AI subscription many times over.</w:t>
      </w:r>
    </w:p>
    <w:p>
      <w:pPr>
        <w:pStyle w:val="Heading1"/>
        <w:spacing w:after="200" w:before="360" w:line="312"/>
      </w:pPr>
      <w:bookmarkStart w:id="100072" w:name="_Toc100072"/>
      <w:r>
        <w:rPr>
          <w:rFonts w:ascii="Calibri" w:eastAsia="Microsoft YaHei"/>
          <w:b/>
          <w:bCs/>
          <w:color w:val="064E3B"/>
          <w:sz w:val="32"/>
          <w:szCs w:val="32"/>
        </w:rPr>
        <w:t xml:space="preserve">14. AI &amp; Smart Features</w:t>
      </w:r>
      <w:bookmarkEnd w:id="100072"/>
    </w:p>
    <w:p>
      <w:pPr>
        <w:spacing w:after="120" w:before="0" w:line="312"/>
        <w:ind w:firstLine="0"/>
        <w:jc w:val="both"/>
      </w:pPr>
      <w:r>
        <w:rPr>
          <w:rFonts w:ascii="Calibri" w:eastAsia="Microsoft YaHei"/>
          <w:color w:val="1F2937"/>
          <w:sz w:val="22"/>
          <w:szCs w:val="22"/>
        </w:rPr>
        <w:t xml:space="preserve">InventoryOS integrates six AI-branded features, four of which call the Z.ai GLM-4 LLM and two of which are deterministic (pure statistical math, no LLM). All six are gated behind the pro_ai subscription tier. The AI Hub (AI tab) is the central entry point, showing gradient cards for each feature. The four LLM features share the cost-control infrastructure detailed in Section 4 (5-tier rate limit, 24h cache, SQL router, fallback system, AIUsageLog).</w:t>
      </w:r>
    </w:p>
    <w:p>
      <w:pPr>
        <w:pStyle w:val="Heading2"/>
        <w:spacing w:after="140" w:before="280" w:line="312"/>
      </w:pPr>
      <w:bookmarkStart w:id="100073" w:name="_Toc100073"/>
      <w:r>
        <w:rPr>
          <w:rFonts w:ascii="Calibri" w:eastAsia="Microsoft YaHei"/>
          <w:b/>
          <w:bCs/>
          <w:color w:val="064E3B"/>
          <w:sz w:val="28"/>
          <w:szCs w:val="28"/>
        </w:rPr>
        <w:t xml:space="preserve">14.1 AI Chat Assistant</w:t>
      </w:r>
      <w:bookmarkEnd w:id="100073"/>
    </w:p>
    <w:p>
      <w:pPr>
        <w:spacing w:after="120" w:before="0" w:line="312"/>
        <w:ind w:firstLine="0"/>
        <w:jc w:val="both"/>
      </w:pPr>
      <w:r>
        <w:rPr>
          <w:rFonts w:ascii="Calibri" w:eastAsia="Microsoft YaHei"/>
          <w:color w:val="1F2937"/>
          <w:sz w:val="22"/>
          <w:szCs w:val="22"/>
        </w:rPr>
        <w:t xml:space="preserve">The AI Chat component allows the pharmacist to ask natural-language questions about their inventory and get instant answers. Examples: 'Show me low stock items', 'What sold today?', 'Which customers owe me money?', 'What's my inventory value?'. The SQL Router intercepts 20 common question patterns and answers them with deterministic Prisma queries (zero LLM tokens consumed). For questions that do not match any pattern, the chat falls back to GLM-4 with the 24-hour cache and full rate limiting. The UI shows suggested questions to help users discover what they can ask.</w:t>
      </w:r>
    </w:p>
    <w:p>
      <w:pPr>
        <w:pStyle w:val="Heading2"/>
        <w:spacing w:after="140" w:before="280" w:line="312"/>
      </w:pPr>
      <w:bookmarkStart w:id="100074" w:name="_Toc100074"/>
      <w:r>
        <w:rPr>
          <w:rFonts w:ascii="Calibri" w:eastAsia="Microsoft YaHei"/>
          <w:b/>
          <w:bCs/>
          <w:color w:val="064E3B"/>
          <w:sz w:val="28"/>
          <w:szCs w:val="28"/>
        </w:rPr>
        <w:t xml:space="preserve">14.2 AI Insights</w:t>
      </w:r>
      <w:bookmarkEnd w:id="100074"/>
    </w:p>
    <w:p>
      <w:pPr>
        <w:spacing w:after="120" w:before="0" w:line="312"/>
        <w:ind w:firstLine="0"/>
        <w:jc w:val="both"/>
      </w:pPr>
      <w:r>
        <w:rPr>
          <w:rFonts w:ascii="Calibri" w:eastAsia="Microsoft YaHei"/>
          <w:color w:val="1F2937"/>
          <w:sz w:val="22"/>
          <w:szCs w:val="22"/>
        </w:rPr>
        <w:t xml:space="preserve">The AI Insights component provides a daily business health analysis. It returns a health score (0-100), a summary paragraph, an insights array (each with a type: success, warning, danger, info, or tip), and prioritized recommendations with expected impact (e.g., 'Discount the 23 batches expiring in 30 days to recover approximately 15,000 BDT'). This is the feature a pharmacy owner opens every morning to get a quick read on the business. The response is cached for 24 hours, so opening it multiple times in a day costs only one LLM call.</w:t>
      </w:r>
    </w:p>
    <w:p>
      <w:pPr>
        <w:pStyle w:val="Heading2"/>
        <w:spacing w:after="140" w:before="280" w:line="312"/>
      </w:pPr>
      <w:bookmarkStart w:id="100075" w:name="_Toc100075"/>
      <w:r>
        <w:rPr>
          <w:rFonts w:ascii="Calibri" w:eastAsia="Microsoft YaHei"/>
          <w:b/>
          <w:bCs/>
          <w:color w:val="064E3B"/>
          <w:sz w:val="28"/>
          <w:szCs w:val="28"/>
        </w:rPr>
        <w:t xml:space="preserve">14.3 AI Expiry Optimizer</w:t>
      </w:r>
      <w:bookmarkEnd w:id="100075"/>
    </w:p>
    <w:p>
      <w:pPr>
        <w:spacing w:after="120" w:before="0" w:line="312"/>
        <w:ind w:firstLine="0"/>
        <w:jc w:val="both"/>
      </w:pPr>
      <w:r>
        <w:rPr>
          <w:rFonts w:ascii="Calibri" w:eastAsia="Microsoft YaHei"/>
          <w:color w:val="1F2937"/>
          <w:sz w:val="22"/>
          <w:szCs w:val="22"/>
        </w:rPr>
        <w:t xml:space="preserve">The AI Expiry Optimizer analyzes near-expiry batches and recommends a specific action for each: sell (at full price, if demand is sufficient), discount (by a suggested percentage, to accelerate sales), return to supplier (if the return window is still open), or dispose (if no other option). For each batch, it shows the recommended action, urgency level (critical, high, medium, low), suggested discount percentage (if applicable), and estimated recovery amount. This is the highest-ROI AI feature — recovering even a fraction of the value-at-risk stock pays for the AI subscription.</w:t>
      </w:r>
    </w:p>
    <w:p>
      <w:pPr>
        <w:pStyle w:val="Heading2"/>
        <w:spacing w:after="140" w:before="280" w:line="312"/>
      </w:pPr>
      <w:bookmarkStart w:id="100076" w:name="_Toc100076"/>
      <w:r>
        <w:rPr>
          <w:rFonts w:ascii="Calibri" w:eastAsia="Microsoft YaHei"/>
          <w:b/>
          <w:bCs/>
          <w:color w:val="064E3B"/>
          <w:sz w:val="28"/>
          <w:szCs w:val="28"/>
        </w:rPr>
        <w:t xml:space="preserve">14.4 AI Product Assistant</w:t>
      </w:r>
      <w:bookmarkEnd w:id="100076"/>
    </w:p>
    <w:p>
      <w:pPr>
        <w:spacing w:after="120" w:before="0" w:line="312"/>
        <w:ind w:firstLine="0"/>
        <w:jc w:val="both"/>
      </w:pPr>
      <w:r>
        <w:rPr>
          <w:rFonts w:ascii="Calibri" w:eastAsia="Microsoft YaHei"/>
          <w:color w:val="1F2937"/>
          <w:sz w:val="22"/>
          <w:szCs w:val="22"/>
        </w:rPr>
        <w:t xml:space="preserve">The AI Product Assistant provides four sub-actions on the product page: generate_description (writes a patient-friendly product description), check_interactions (checks for drug interactions between a list of medications, up to 20), suggest_category (suggests the best category for a new product), and suggest_dosage (suggests standard dosage information). The check_interactions feature is particularly valuable for pharmacists verifying prescriptions — they can paste a list of medications and get an instant interaction check before dispensing.</w:t>
      </w:r>
    </w:p>
    <w:p>
      <w:pPr>
        <w:pStyle w:val="Heading2"/>
        <w:spacing w:after="140" w:before="280" w:line="312"/>
      </w:pPr>
      <w:bookmarkStart w:id="100077" w:name="_Toc100077"/>
      <w:r>
        <w:rPr>
          <w:rFonts w:ascii="Calibri" w:eastAsia="Microsoft YaHei"/>
          <w:b/>
          <w:bCs/>
          <w:color w:val="064E3B"/>
          <w:sz w:val="28"/>
          <w:szCs w:val="28"/>
        </w:rPr>
        <w:t xml:space="preserve">14.5 Smart Reorder Suggestions</w:t>
      </w:r>
      <w:bookmarkEnd w:id="100077"/>
    </w:p>
    <w:p>
      <w:pPr>
        <w:spacing w:after="120" w:before="0" w:line="312"/>
        <w:ind w:firstLine="0"/>
        <w:jc w:val="both"/>
      </w:pPr>
      <w:r>
        <w:rPr>
          <w:rFonts w:ascii="Calibri" w:eastAsia="Microsoft YaHei"/>
          <w:color w:val="1F2937"/>
          <w:sz w:val="22"/>
          <w:szCs w:val="22"/>
        </w:rPr>
        <w:t xml:space="preserve">The ReorderSuggestions component shows products that need reordering, ranked by urgency. For each product, it calculates: sales velocity (30-day daily average), days of stock remaining (current quantity divided by velocity), urgency level (critical &lt;7 days, high &lt;14 days, medium &lt;30 days, low &lt;60 days), suggested order quantity (based on velocity and lead time), estimated cost (suggested quantity times purchase price), and a near-expiry flag (if current stock is near expiry, reorder is more urgent). Despite being branded as AI, this feature is deterministic (pure statistical math, no LLM call) — which is actually the correct design, since LLMs are bad at numeric forecasting.</w:t>
      </w:r>
    </w:p>
    <w:p>
      <w:pPr>
        <w:pStyle w:val="Heading2"/>
        <w:spacing w:after="140" w:before="280" w:line="312"/>
      </w:pPr>
      <w:bookmarkStart w:id="100078" w:name="_Toc100078"/>
      <w:r>
        <w:rPr>
          <w:rFonts w:ascii="Calibri" w:eastAsia="Microsoft YaHei"/>
          <w:b/>
          <w:bCs/>
          <w:color w:val="064E3B"/>
          <w:sz w:val="28"/>
          <w:szCs w:val="28"/>
        </w:rPr>
        <w:t xml:space="preserve">14.6 Demand Forecast</w:t>
      </w:r>
      <w:bookmarkEnd w:id="100078"/>
    </w:p>
    <w:p>
      <w:pPr>
        <w:spacing w:after="120" w:before="0" w:line="312"/>
        <w:ind w:firstLine="0"/>
        <w:jc w:val="both"/>
      </w:pPr>
      <w:r>
        <w:rPr>
          <w:rFonts w:ascii="Calibri" w:eastAsia="Microsoft YaHei"/>
          <w:color w:val="1F2937"/>
          <w:sz w:val="22"/>
          <w:szCs w:val="22"/>
        </w:rPr>
        <w:t xml:space="preserve">The DemandForecast component shows a 90-day historical sales analysis with a forecast for the next N days. For each product, it calculates: daily sales buckets for the past 90 days, trend (increasing, decreasing, or stable), and forecasted sales and revenue for the next 7/14/30 days. Like Smart Reorder, this feature is deterministic (no LLM call) — forecasting is a math problem, not a language problem. The 'AI' branding is aspirational; the implementation is solid statistical analysis.</w:t>
      </w:r>
    </w:p>
    <w:p>
      <w:pPr>
        <w:pStyle w:val="Heading2"/>
        <w:spacing w:after="140" w:before="280" w:line="312"/>
      </w:pPr>
      <w:bookmarkStart w:id="100079" w:name="_Toc100079"/>
      <w:r>
        <w:rPr>
          <w:rFonts w:ascii="Calibri" w:eastAsia="Microsoft YaHei"/>
          <w:b/>
          <w:bCs/>
          <w:color w:val="064E3B"/>
          <w:sz w:val="28"/>
          <w:szCs w:val="28"/>
        </w:rPr>
        <w:t xml:space="preserve">14.7 AI Hub</w:t>
      </w:r>
      <w:bookmarkEnd w:id="100079"/>
    </w:p>
    <w:p>
      <w:pPr>
        <w:spacing w:after="120" w:before="0" w:line="312"/>
        <w:ind w:firstLine="0"/>
        <w:jc w:val="both"/>
      </w:pPr>
      <w:r>
        <w:rPr>
          <w:rFonts w:ascii="Calibri" w:eastAsia="Microsoft YaHei"/>
          <w:color w:val="1F2937"/>
          <w:sz w:val="22"/>
          <w:szCs w:val="22"/>
        </w:rPr>
        <w:t xml:space="preserve">The AIHub component (AI tab) is the central entry point to all AI features. It shows four gradient cards (Chat, Insights, Expiry Optimizer, Product Assistant) with brief descriptions and tap-to-open behavior. The card design uses the violet AI accent color (matching the bottom nav's AI tab glow), distinguishing AI features from the rest of the app's emerald palette.</w:t>
      </w:r>
    </w:p>
    <w:p>
      <w:pPr>
        <w:pStyle w:val="Heading1"/>
        <w:spacing w:after="200" w:before="360" w:line="312"/>
      </w:pPr>
      <w:bookmarkStart w:id="100080" w:name="_Toc100080"/>
      <w:r>
        <w:rPr>
          <w:rFonts w:ascii="Calibri" w:eastAsia="Microsoft YaHei"/>
          <w:b/>
          <w:bCs/>
          <w:color w:val="064E3B"/>
          <w:sz w:val="32"/>
          <w:szCs w:val="32"/>
        </w:rPr>
        <w:t xml:space="preserve">15. Alerts &amp; Notifications</w:t>
      </w:r>
      <w:bookmarkEnd w:id="100080"/>
    </w:p>
    <w:p>
      <w:pPr>
        <w:spacing w:after="120" w:before="0" w:line="312"/>
        <w:ind w:firstLine="0"/>
        <w:jc w:val="both"/>
      </w:pPr>
      <w:r>
        <w:rPr>
          <w:rFonts w:ascii="Calibri" w:eastAsia="Microsoft YaHei"/>
          <w:color w:val="1F2937"/>
          <w:sz w:val="22"/>
          <w:szCs w:val="22"/>
        </w:rPr>
        <w:t xml:space="preserve">The alerts and notifications system ensures the pharmacy staff never misses an important event — a batch expiring, stock running low, a quarantined batch needing attention. The system is configurable per business, so each pharmacy can tune the thresholds to their preferences. All alerts are also logged to the NotificationLog table for audit purposes.</w:t>
      </w:r>
    </w:p>
    <w:p>
      <w:pPr>
        <w:pStyle w:val="Heading2"/>
        <w:spacing w:after="140" w:before="280" w:line="312"/>
      </w:pPr>
      <w:bookmarkStart w:id="100081" w:name="_Toc100081"/>
      <w:r>
        <w:rPr>
          <w:rFonts w:ascii="Calibri" w:eastAsia="Microsoft YaHei"/>
          <w:b/>
          <w:bCs/>
          <w:color w:val="064E3B"/>
          <w:sz w:val="28"/>
          <w:szCs w:val="28"/>
        </w:rPr>
        <w:t xml:space="preserve">15.1 Alerts Center</w:t>
      </w:r>
      <w:bookmarkEnd w:id="100081"/>
    </w:p>
    <w:p>
      <w:pPr>
        <w:spacing w:after="120" w:before="0" w:line="312"/>
        <w:ind w:firstLine="0"/>
        <w:jc w:val="both"/>
      </w:pPr>
      <w:r>
        <w:rPr>
          <w:rFonts w:ascii="Calibri" w:eastAsia="Microsoft YaHei"/>
          <w:color w:val="1F2937"/>
          <w:sz w:val="22"/>
          <w:szCs w:val="22"/>
        </w:rPr>
        <w:t xml:space="preserve">The AlertsCenter component provides a combined view of all alert types: low stock alerts (products below reorder level), expiry alerts (using the business's configured thresholds), and quarantine alerts (batches currently in quarantine). Each alert is color-coded by severity (red for critical, amber for warning, emerald for info). The combined alerts endpoint (GET /combined-alerts) returns all three types in a single response for efficient loading.</w:t>
      </w:r>
    </w:p>
    <w:p>
      <w:pPr>
        <w:pStyle w:val="Heading2"/>
        <w:spacing w:after="140" w:before="280" w:line="312"/>
      </w:pPr>
      <w:bookmarkStart w:id="100082" w:name="_Toc100082"/>
      <w:r>
        <w:rPr>
          <w:rFonts w:ascii="Calibri" w:eastAsia="Microsoft YaHei"/>
          <w:b/>
          <w:bCs/>
          <w:color w:val="064E3B"/>
          <w:sz w:val="28"/>
          <w:szCs w:val="28"/>
        </w:rPr>
        <w:t xml:space="preserve">15.2 Alert Preferences</w:t>
      </w:r>
      <w:bookmarkEnd w:id="100082"/>
    </w:p>
    <w:p>
      <w:pPr>
        <w:spacing w:after="120" w:before="0" w:line="312"/>
        <w:ind w:firstLine="0"/>
        <w:jc w:val="both"/>
      </w:pPr>
      <w:r>
        <w:rPr>
          <w:rFonts w:ascii="Calibri" w:eastAsia="Microsoft YaHei"/>
          <w:color w:val="1F2937"/>
          <w:sz w:val="22"/>
          <w:szCs w:val="22"/>
        </w:rPr>
        <w:t xml:space="preserve">The AlertPreferences component allows configuring: expiry thresholds (critical default 7 days, warning default 30 days, notice default 90 days), low-stock threshold (products below this quantity trigger an alert), quarantine alerts toggle (on/off), email and SMS channels (schema-only — email/SMS sending is not yet implemented), digest frequency (daily, weekly, monthly, none), and quiet hours (start and end times when notifications should not be pushed — also schema-only, not yet enforced).</w:t>
      </w:r>
    </w:p>
    <w:p>
      <w:pPr>
        <w:pStyle w:val="Heading2"/>
        <w:spacing w:after="140" w:before="280" w:line="312"/>
      </w:pPr>
      <w:bookmarkStart w:id="100083" w:name="_Toc100083"/>
      <w:r>
        <w:rPr>
          <w:rFonts w:ascii="Calibri" w:eastAsia="Microsoft YaHei"/>
          <w:b/>
          <w:bCs/>
          <w:color w:val="064E3B"/>
          <w:sz w:val="28"/>
          <w:szCs w:val="28"/>
        </w:rPr>
        <w:t xml:space="preserve">15.3 Alert Digest</w:t>
      </w:r>
      <w:bookmarkEnd w:id="100083"/>
    </w:p>
    <w:p>
      <w:pPr>
        <w:spacing w:after="120" w:before="0" w:line="312"/>
        <w:ind w:firstLine="0"/>
        <w:jc w:val="both"/>
      </w:pPr>
      <w:r>
        <w:rPr>
          <w:rFonts w:ascii="Calibri" w:eastAsia="Microsoft YaHei"/>
          <w:color w:val="1F2937"/>
          <w:sz w:val="22"/>
          <w:szCs w:val="22"/>
        </w:rPr>
        <w:t xml:space="preserve">The alert digest endpoint (POST /alerts/digest) generates a summary suitable for email or SMS sending. It respects the digestFrequency setting: if set to 'none', the digest is skipped. Otherwise, it generates a summary of all active alerts and logs a NotificationLog entry. The actual email/SMS sending is not yet implemented — this is a schema-ready feature awaiting integration with an email/SMS provider.</w:t>
      </w:r>
    </w:p>
    <w:p>
      <w:pPr>
        <w:pStyle w:val="Heading2"/>
        <w:spacing w:after="140" w:before="280" w:line="312"/>
      </w:pPr>
      <w:bookmarkStart w:id="100084" w:name="_Toc100084"/>
      <w:r>
        <w:rPr>
          <w:rFonts w:ascii="Calibri" w:eastAsia="Microsoft YaHei"/>
          <w:b/>
          <w:bCs/>
          <w:color w:val="064E3B"/>
          <w:sz w:val="28"/>
          <w:szCs w:val="28"/>
        </w:rPr>
        <w:t xml:space="preserve">15.4 Notification Center</w:t>
      </w:r>
      <w:bookmarkEnd w:id="100084"/>
    </w:p>
    <w:p>
      <w:pPr>
        <w:spacing w:after="120" w:before="0" w:line="312"/>
        <w:ind w:firstLine="0"/>
        <w:jc w:val="both"/>
      </w:pPr>
      <w:r>
        <w:rPr>
          <w:rFonts w:ascii="Calibri" w:eastAsia="Microsoft YaHei"/>
          <w:color w:val="1F2937"/>
          <w:sz w:val="22"/>
          <w:szCs w:val="22"/>
        </w:rPr>
        <w:t xml:space="preserve">The NotificationCenter component is a popover accessible from the top bar. It shows an unread count badge, a list of recent notifications with type-styled entries (expiry_critical, expiry_warning, low_stock, quarantine, disposed), mark-as-read individual, and mark-all-read buttons. Notifications are stored in the NotificationLog table with severity, title, message, entity reference (for deep linking), isRead, isResolved, and readAt fields.</w:t>
      </w:r>
    </w:p>
    <w:p>
      <w:pPr>
        <w:pStyle w:val="Heading1"/>
        <w:spacing w:after="200" w:before="360" w:line="312"/>
      </w:pPr>
      <w:bookmarkStart w:id="100085" w:name="_Toc100085"/>
      <w:r>
        <w:rPr>
          <w:rFonts w:ascii="Calibri" w:eastAsia="Microsoft YaHei"/>
          <w:b/>
          <w:bCs/>
          <w:color w:val="064E3B"/>
          <w:sz w:val="32"/>
          <w:szCs w:val="32"/>
        </w:rPr>
        <w:t xml:space="preserve">16. User Management, Roles &amp; Subscription</w:t>
      </w:r>
      <w:bookmarkEnd w:id="100085"/>
    </w:p>
    <w:p>
      <w:pPr>
        <w:spacing w:after="120" w:before="0" w:line="312"/>
        <w:ind w:firstLine="0"/>
        <w:jc w:val="both"/>
      </w:pPr>
      <w:r>
        <w:rPr>
          <w:rFonts w:ascii="Calibri" w:eastAsia="Microsoft YaHei"/>
          <w:color w:val="1F2937"/>
          <w:sz w:val="22"/>
          <w:szCs w:val="22"/>
        </w:rPr>
        <w:t xml:space="preserve">InventoryOS supports multi-user pharmacies with full RBAC (detailed in Section 2.2) and a tiered subscription model. A typical pharmacy has 1-3 users: the owner (with the 'owner' role, full permissions), the head pharmacist (with the 'pharmacist' or 'manager' role), and optionally a counter assistant (with the 'cashier' role). Each user has their own credentials, and their permissions determine what they can see and do in the app.</w:t>
      </w:r>
    </w:p>
    <w:p>
      <w:pPr>
        <w:pStyle w:val="Heading2"/>
        <w:spacing w:after="140" w:before="280" w:line="312"/>
      </w:pPr>
      <w:bookmarkStart w:id="100086" w:name="_Toc100086"/>
      <w:r>
        <w:rPr>
          <w:rFonts w:ascii="Calibri" w:eastAsia="Microsoft YaHei"/>
          <w:b/>
          <w:bCs/>
          <w:color w:val="064E3B"/>
          <w:sz w:val="28"/>
          <w:szCs w:val="28"/>
        </w:rPr>
        <w:t xml:space="preserve">16.1 User Management</w:t>
      </w:r>
      <w:bookmarkEnd w:id="100086"/>
    </w:p>
    <w:p>
      <w:pPr>
        <w:spacing w:after="120" w:before="0" w:line="312"/>
        <w:ind w:firstLine="0"/>
        <w:jc w:val="both"/>
      </w:pPr>
      <w:r>
        <w:rPr>
          <w:rFonts w:ascii="Calibri" w:eastAsia="Microsoft YaHei"/>
          <w:color w:val="1F2937"/>
          <w:sz w:val="22"/>
          <w:szCs w:val="22"/>
        </w:rPr>
        <w:t xml:space="preserve">The UserManagement component allows creating, editing, and deleting users. Each user has: username (scoped to the business), password (hashed with bcrypt), role (one of 6), custom permissions (optional JSON override of role defaults), active toggle (suspend a user without deleting), and last-login display. The change password dialog supports self-service (requires current password) or admin reset (no current password required), with an optional 'invalidate all other sessions' flag for security.</w:t>
      </w:r>
    </w:p>
    <w:p>
      <w:pPr>
        <w:pStyle w:val="Heading2"/>
        <w:spacing w:after="140" w:before="280" w:line="312"/>
      </w:pPr>
      <w:bookmarkStart w:id="100087" w:name="_Toc100087"/>
      <w:r>
        <w:rPr>
          <w:rFonts w:ascii="Calibri" w:eastAsia="Microsoft YaHei"/>
          <w:b/>
          <w:bCs/>
          <w:color w:val="064E3B"/>
          <w:sz w:val="28"/>
          <w:szCs w:val="28"/>
        </w:rPr>
        <w:t xml:space="preserve">16.2 Session and Login Management</w:t>
      </w:r>
      <w:bookmarkEnd w:id="100087"/>
    </w:p>
    <w:p>
      <w:pPr>
        <w:spacing w:after="120" w:before="0" w:line="312"/>
        <w:ind w:firstLine="0"/>
        <w:jc w:val="both"/>
      </w:pPr>
      <w:r>
        <w:rPr>
          <w:rFonts w:ascii="Calibri" w:eastAsia="Microsoft YaHei"/>
          <w:color w:val="1F2937"/>
          <w:sz w:val="22"/>
          <w:szCs w:val="22"/>
        </w:rPr>
        <w:t xml:space="preserve">The SessionManager component shows all active sessions for all users in the business, with masked tokens (first 8 characters only), device info (user agent, IP), and expiry indicators. The owner can force-logout any session. The LoginActivity component shows recent login events and a summary (total users, active users, never-logged-in users). Both feed from the Session table, which records every login event.</w:t>
      </w:r>
    </w:p>
    <w:p>
      <w:pPr>
        <w:pStyle w:val="Heading2"/>
        <w:spacing w:after="140" w:before="280" w:line="312"/>
      </w:pPr>
      <w:bookmarkStart w:id="100088" w:name="_Toc100088"/>
      <w:r>
        <w:rPr>
          <w:rFonts w:ascii="Calibri" w:eastAsia="Microsoft YaHei"/>
          <w:b/>
          <w:bCs/>
          <w:color w:val="064E3B"/>
          <w:sz w:val="28"/>
          <w:szCs w:val="28"/>
        </w:rPr>
        <w:t xml:space="preserve">16.3 Subscription Tiers</w:t>
      </w:r>
      <w:bookmarkEnd w:id="100088"/>
    </w:p>
    <w:p>
      <w:pPr>
        <w:spacing w:after="120" w:before="0" w:line="312"/>
        <w:ind w:firstLine="0"/>
        <w:jc w:val="both"/>
      </w:pPr>
      <w:r>
        <w:rPr>
          <w:rFonts w:ascii="Calibri" w:eastAsia="Microsoft YaHei"/>
          <w:color w:val="1F2937"/>
          <w:sz w:val="22"/>
          <w:szCs w:val="22"/>
        </w:rPr>
        <w:t xml:space="preserve">InventoryOS uses a three-tier subscription model defined in src/lib/feature-gate.ts. The Free tier (0 BDT/month) is for trial: 100 products maximum, single user, no AI features, all reports and analytics enabled. The Pro tier (500 BDT/month) is for small pharmacies: unlimited products, multi-user, no AI features. The Pro+AI tier (1000 BDT/month) is the full-featured plan: unlimited products, multi-user, all AI features (chat, insights, expiry optimizer, product assistant, smart reorder, demand forecast), with AI rate limits of 50 calls per day, 1000 calls per month, and 500,000 tokens per month.</w:t>
      </w:r>
    </w:p>
    <w:p>
      <w:pPr>
        <w:keepNext/>
        <w:spacing w:after="100" w:before="200"/>
        <w:jc w:val="left"/>
      </w:pPr>
      <w:r>
        <w:rPr>
          <w:rFonts w:ascii="Calibri" w:eastAsia="Microsoft YaHei"/>
          <w:b/>
          <w:bCs/>
          <w:color w:val="064E3B"/>
          <w:sz w:val="21"/>
          <w:szCs w:val="21"/>
        </w:rPr>
        <w:t xml:space="preserve">Table 16.1 — Subscription Tier Comparison</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3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Feature</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Free (0 BDT)</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Pro (500 BDT)</w:t>
            </w:r>
          </w:p>
        </w:tc>
        <w:tc>
          <w:tcPr>
            <w:tcW w:type="pct" w:w="2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Pro+AI (1000 BDT)</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Max products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Unlimited</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Unlimited</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Multi-user accounts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(1 user only)</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All 7 reports (P&amp;L, Tax, etc.)</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Analytics dashboard</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Supplier + customer management</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Customer credit accounts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Payments + returns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Discount rules engine</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CSV import + template</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Audit trail + transaction log</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Chat Assistant</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Insights (health score)</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Expiry Optimizer</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Product Assistant</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Smart Reorder</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Demand Forecast</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Yes</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rate limits</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n/a</w:t>
            </w:r>
          </w:p>
        </w:tc>
        <w:tc>
          <w:tcPr>
            <w:tcW w:type="pct" w:w="2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50/day, 1000/mo, 500K tok/mo</w:t>
            </w:r>
          </w:p>
        </w:tc>
      </w:tr>
    </w:tbl>
    <w:p>
      <w:pPr>
        <w:pStyle w:val="Heading2"/>
        <w:spacing w:after="140" w:before="280" w:line="312"/>
      </w:pPr>
      <w:bookmarkStart w:id="100089" w:name="_Toc100089"/>
      <w:r>
        <w:rPr>
          <w:rFonts w:ascii="Calibri" w:eastAsia="Microsoft YaHei"/>
          <w:b/>
          <w:bCs/>
          <w:color w:val="064E3B"/>
          <w:sz w:val="28"/>
          <w:szCs w:val="28"/>
        </w:rPr>
        <w:t xml:space="preserve">16.4 Subscription Lifecycle</w:t>
      </w:r>
      <w:bookmarkEnd w:id="100089"/>
    </w:p>
    <w:p>
      <w:pPr>
        <w:spacing w:after="120" w:before="0" w:line="312"/>
        <w:ind w:firstLine="0"/>
        <w:jc w:val="both"/>
      </w:pPr>
      <w:r>
        <w:rPr>
          <w:rFonts w:ascii="Calibri" w:eastAsia="Microsoft YaHei"/>
          <w:color w:val="1F2937"/>
          <w:sz w:val="22"/>
          <w:szCs w:val="22"/>
        </w:rPr>
        <w:t xml:space="preserve">The Business model tracks subscriptionTier (free, pro, pro_ai), subscriptionStatus (trial, active, suspended, cancelled), subscriptionStart, and subscriptionEnd. The hourly-subscriptions cron job auto-suspends businesses with subscriptionEnd in the past, and disables AI for suspended pro_ai businesses. The SubscriptionStatus UI component shows the current tier, plan details, AI usage meters (daily calls used, monthly calls used, tokens used), feature comparison, and an upgrade CTA. Tier upgrades are performed by the super-admin via the /admin dashboard.</w:t>
      </w:r>
    </w:p>
    <w:p>
      <w:pPr>
        <w:pStyle w:val="Heading1"/>
        <w:spacing w:after="200" w:before="360" w:line="312"/>
      </w:pPr>
      <w:bookmarkStart w:id="100090" w:name="_Toc100090"/>
      <w:r>
        <w:rPr>
          <w:rFonts w:ascii="Calibri" w:eastAsia="Microsoft YaHei"/>
          <w:b/>
          <w:bCs/>
          <w:color w:val="064E3B"/>
          <w:sz w:val="32"/>
          <w:szCs w:val="32"/>
        </w:rPr>
        <w:t xml:space="preserve">17. Audit, Compliance &amp; Data Management</w:t>
      </w:r>
      <w:bookmarkEnd w:id="100090"/>
    </w:p>
    <w:p>
      <w:pPr>
        <w:spacing w:after="120" w:before="0" w:line="312"/>
        <w:ind w:firstLine="0"/>
        <w:jc w:val="both"/>
      </w:pPr>
      <w:r>
        <w:rPr>
          <w:rFonts w:ascii="Calibri" w:eastAsia="Microsoft YaHei"/>
          <w:color w:val="1F2937"/>
          <w:sz w:val="22"/>
          <w:szCs w:val="22"/>
        </w:rPr>
        <w:t xml:space="preserve">InventoryOS maintains six distinct audit log types, ensuring every meaningful action in the system is traceable. This depth of audit logging is required for Bangladesh pharmacy regulations (DGDA compliance) and is a significant competitive advantage — many competing pharmacy software solutions in Bangladesh have no audit trail at all.</w:t>
      </w:r>
    </w:p>
    <w:p>
      <w:pPr>
        <w:pStyle w:val="Heading2"/>
        <w:spacing w:after="140" w:before="280" w:line="312"/>
      </w:pPr>
      <w:bookmarkStart w:id="100091" w:name="_Toc100091"/>
      <w:r>
        <w:rPr>
          <w:rFonts w:ascii="Calibri" w:eastAsia="Microsoft YaHei"/>
          <w:b/>
          <w:bCs/>
          <w:color w:val="064E3B"/>
          <w:sz w:val="28"/>
          <w:szCs w:val="28"/>
        </w:rPr>
        <w:t xml:space="preserve">17.1 Audit Log Types</w:t>
      </w:r>
      <w:bookmarkEnd w:id="100091"/>
    </w:p>
    <w:p>
      <w:pPr>
        <w:keepNext/>
        <w:spacing w:after="100" w:before="200"/>
        <w:jc w:val="left"/>
      </w:pPr>
      <w:r>
        <w:rPr>
          <w:rFonts w:ascii="Calibri" w:eastAsia="Microsoft YaHei"/>
          <w:b/>
          <w:bCs/>
          <w:color w:val="064E3B"/>
          <w:sz w:val="21"/>
          <w:szCs w:val="21"/>
        </w:rPr>
        <w:t xml:space="preserve">Table 17.1 — Audit Log Types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Log Type</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Table</w:t>
            </w:r>
          </w:p>
        </w:tc>
        <w:tc>
          <w:tcPr>
            <w:tcW w:type="pct" w:w="6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What It Tracks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Transaction audit trail</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Transaction</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stock movement (PURCHASE, SALE, ADJUSTMENT, WASTE, RETURN, QUARANTINE, RELEASE) with type, quantity, unitPrice, note, createdBy</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FEFO override audit</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FefoOverride</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manual non-FEFO batch pick with reason, userId, expected batch, selected batch — required for DGDA compliance</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Login activity log</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Session (createdAt)</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login event with device info, IP, expiry — used for security monitoring</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usage log</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AIUsageLog</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AI call with feature, tokens, cost (BDT), success/error — used for cost monitoring</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 job log</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CronJobLog</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background job execution with status, duration, records written, error message, full log text</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Notification log</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NotificationLog</w:t>
            </w:r>
          </w:p>
        </w:tc>
        <w:tc>
          <w:tcPr>
            <w:tcW w:type="pct" w:w="6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 alert with severity, title, message, entity ref, isRead/isResolved — used for audit + dedup</w:t>
            </w:r>
          </w:p>
        </w:tc>
      </w:tr>
    </w:tbl>
    <w:p>
      <w:pPr>
        <w:pStyle w:val="Heading2"/>
        <w:spacing w:after="140" w:before="280" w:line="312"/>
      </w:pPr>
      <w:bookmarkStart w:id="100092" w:name="_Toc100092"/>
      <w:r>
        <w:rPr>
          <w:rFonts w:ascii="Calibri" w:eastAsia="Microsoft YaHei"/>
          <w:b/>
          <w:bCs/>
          <w:color w:val="064E3B"/>
          <w:sz w:val="28"/>
          <w:szCs w:val="28"/>
        </w:rPr>
        <w:t xml:space="preserve">17.2 Transaction Log UI</w:t>
      </w:r>
      <w:bookmarkEnd w:id="100092"/>
    </w:p>
    <w:p>
      <w:pPr>
        <w:spacing w:after="120" w:before="0" w:line="312"/>
        <w:ind w:firstLine="0"/>
        <w:jc w:val="both"/>
      </w:pPr>
      <w:r>
        <w:rPr>
          <w:rFonts w:ascii="Calibri" w:eastAsia="Microsoft YaHei"/>
          <w:color w:val="1F2937"/>
          <w:sz w:val="22"/>
          <w:szCs w:val="22"/>
        </w:rPr>
        <w:t xml:space="preserve">The TransactionLog component provides a filterable view of the Transaction audit trail. The user can filter by movement type (PURCHASE, SALE, ADJUSTMENT, WASTE, RETURN, QUARANTINE, RELEASE), date range, product, and batch. This is the screen a pharmacist uses to investigate discrepancies — for example, if the stock count of a product does not match the physical count, they can review every movement of that product to find the discrepancy.</w:t>
      </w:r>
    </w:p>
    <w:p>
      <w:pPr>
        <w:pStyle w:val="Heading2"/>
        <w:spacing w:after="140" w:before="280" w:line="312"/>
      </w:pPr>
      <w:bookmarkStart w:id="100093" w:name="_Toc100093"/>
      <w:r>
        <w:rPr>
          <w:rFonts w:ascii="Calibri" w:eastAsia="Microsoft YaHei"/>
          <w:b/>
          <w:bCs/>
          <w:color w:val="064E3B"/>
          <w:sz w:val="28"/>
          <w:szCs w:val="28"/>
        </w:rPr>
        <w:t xml:space="preserve">17.3 Sale Cancellation Audit</w:t>
      </w:r>
      <w:bookmarkEnd w:id="100093"/>
    </w:p>
    <w:p>
      <w:pPr>
        <w:spacing w:after="120" w:before="0" w:line="312"/>
        <w:ind w:firstLine="0"/>
        <w:jc w:val="both"/>
      </w:pPr>
      <w:r>
        <w:rPr>
          <w:rFonts w:ascii="Calibri" w:eastAsia="Microsoft YaHei"/>
          <w:color w:val="1F2937"/>
          <w:sz w:val="22"/>
          <w:szCs w:val="22"/>
        </w:rPr>
        <w:t xml:space="preserve">When a sale is cancelled (distinct from a return), the Sale model records cancelledAt (timestamp), cancelledBy (userId), and cancelReason (text). The original sale data is preserved — the cancellation does not delete the sale, it only changes its status. This preserves the audit trail while allowing the system to reverse the stock deduction and payment. Double-cancellation is blocked by the status check (a cancelled sale cannot be cancelled again).</w:t>
      </w:r>
    </w:p>
    <w:p>
      <w:pPr>
        <w:pStyle w:val="Heading1"/>
        <w:spacing w:after="200" w:before="360" w:line="312"/>
      </w:pPr>
      <w:bookmarkStart w:id="100094" w:name="_Toc100094"/>
      <w:r>
        <w:rPr>
          <w:rFonts w:ascii="Calibri" w:eastAsia="Microsoft YaHei"/>
          <w:b/>
          <w:bCs/>
          <w:color w:val="064E3B"/>
          <w:sz w:val="32"/>
          <w:szCs w:val="32"/>
        </w:rPr>
        <w:t xml:space="preserve">18. Summary &amp; What's Next</w:t>
      </w:r>
      <w:bookmarkEnd w:id="100094"/>
    </w:p>
    <w:p>
      <w:pPr>
        <w:pStyle w:val="Heading2"/>
        <w:spacing w:after="140" w:before="280" w:line="312"/>
      </w:pPr>
      <w:bookmarkStart w:id="100095" w:name="_Toc100095"/>
      <w:r>
        <w:rPr>
          <w:rFonts w:ascii="Calibri" w:eastAsia="Microsoft YaHei"/>
          <w:b/>
          <w:bCs/>
          <w:color w:val="064E3B"/>
          <w:sz w:val="28"/>
          <w:szCs w:val="28"/>
        </w:rPr>
        <w:t xml:space="preserve">18.1 Strengths to Highlight in Sales Pitches</w:t>
      </w:r>
      <w:bookmarkEnd w:id="100095"/>
    </w:p>
    <w:p>
      <w:pPr>
        <w:spacing w:after="120" w:before="0" w:line="312"/>
        <w:ind w:firstLine="0"/>
        <w:jc w:val="both"/>
      </w:pPr>
      <w:r>
        <w:rPr>
          <w:rFonts w:ascii="Calibri" w:eastAsia="Microsoft YaHei"/>
          <w:color w:val="1F2937"/>
          <w:sz w:val="22"/>
          <w:szCs w:val="22"/>
        </w:rPr>
        <w:t xml:space="preserve">When pitching InventoryOS to a prospective pharmacy client, lead with the business strengths — they resonate with the pharmacy owner's daily pain points. The top five are: (1) Three-tap Quick Dispense for fast counter service, (2) Complete FEFO + expiry management suite that recovers value from at-risk stock, (3) AI Insights that give a daily health score and prioritized recommendations, (4) Bangladesh VAT-compliant tax report formatted for NBR submission, and (5) Full audit trail satisfying DGDA compliance requirements. These five features address the highest-priority concerns of every pharmacy owner: speed at the counter, reducing expired-stock losses, business intelligence, tax compliance, and regulatory compliance.</w:t>
      </w:r>
    </w:p>
    <w:p>
      <w:pPr>
        <w:spacing w:after="120" w:before="0" w:line="312"/>
        <w:ind w:firstLine="0"/>
        <w:jc w:val="both"/>
      </w:pPr>
      <w:r>
        <w:rPr>
          <w:rFonts w:ascii="Calibri" w:eastAsia="Microsoft YaHei"/>
          <w:color w:val="1F2937"/>
          <w:sz w:val="22"/>
          <w:szCs w:val="22"/>
        </w:rPr>
        <w:t xml:space="preserve">When pitching to technical stakeholders or investors, lead with the technical strengths. The top five are: (1) True multi-tenant architecture with businessId isolation on every entity, (2) Complete RBAC with 6 roles and 41 permissions across 13 namespaces, (3) Five-tier AI cost control that makes BDT-priced AI features economically viable, (4) FEFO + DGDA compliance built into the data model (FefoOverride audit table), and (5) Disaster-recovery-ready backup infrastructure with monthly DR drills and 8-point backup verification. These five demonstrate that the platform is built for scale, security, cost-control, regulatory compliance, and reliability.</w:t>
      </w:r>
    </w:p>
    <w:p>
      <w:pPr>
        <w:pStyle w:val="Heading2"/>
        <w:spacing w:after="140" w:before="280" w:line="312"/>
      </w:pPr>
      <w:bookmarkStart w:id="100096" w:name="_Toc100096"/>
      <w:r>
        <w:rPr>
          <w:rFonts w:ascii="Calibri" w:eastAsia="Microsoft YaHei"/>
          <w:b/>
          <w:bCs/>
          <w:color w:val="064E3B"/>
          <w:sz w:val="28"/>
          <w:szCs w:val="28"/>
        </w:rPr>
        <w:t xml:space="preserve">18.2 Features in Code but NOT Yet Wired to UI</w:t>
      </w:r>
      <w:bookmarkEnd w:id="100096"/>
    </w:p>
    <w:p>
      <w:pPr>
        <w:spacing w:after="120" w:before="0" w:line="312"/>
        <w:ind w:firstLine="0"/>
        <w:jc w:val="both"/>
      </w:pPr>
      <w:r>
        <w:rPr>
          <w:rFonts w:ascii="Calibri" w:eastAsia="Microsoft YaHei"/>
          <w:color w:val="1F2937"/>
          <w:sz w:val="22"/>
          <w:szCs w:val="22"/>
        </w:rPr>
        <w:t xml:space="preserve">The audit identified thirteen features that exist in code but are not yet fully wired to the user experience. These are not bugs — they are gaps that should be closed in future iterations. They are listed here so the founder has a complete and honest picture of what is shipping today versus what is technically possible but not yet exposed.</w:t>
      </w:r>
    </w:p>
    <w:p>
      <w:pPr>
        <w:keepNext/>
        <w:spacing w:after="100" w:before="200"/>
        <w:jc w:val="left"/>
      </w:pPr>
      <w:r>
        <w:rPr>
          <w:rFonts w:ascii="Calibri" w:eastAsia="Microsoft YaHei"/>
          <w:b/>
          <w:bCs/>
          <w:color w:val="064E3B"/>
          <w:sz w:val="21"/>
          <w:szCs w:val="21"/>
        </w:rPr>
        <w:t xml:space="preserve">Table 18.1 — Features in Code but Not Yet Wired to UI</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t>
            </w:r>
          </w:p>
        </w:tc>
        <w:tc>
          <w:tcPr>
            <w:tcW w:type="pct" w:w="3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Feature</w:t>
            </w:r>
          </w:p>
        </w:tc>
        <w:tc>
          <w:tcPr>
            <w:tcW w:type="pct" w:w="2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Status</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Recommended Action</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Demand Forecast (claimed LLM, actually deterministic)</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Code-complete, no LLM call</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Rebrand as 'Smart Forecast' in UI</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AI Smart Reorder (claimed LLM, actually deterministic)</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Code-complete, no LLM call</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Rebrand as 'Smart Reorder' in UI</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Email/SMS alert channels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Schema-only (AlertPreference fields exist)</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Integrate with email/SMS provider</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Quiet hours for notifications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Schema-only (quietHoursStart/End exist)</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Enforce in alert digest endpoint</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 non-pharmacy business modules (grocery, restaurant, etc.)</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Registered with isActive=false, no components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Build modules when expanding verticals</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 job external scheduler</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Endpoints exist, no vercel.json/systemd timer</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Configure external cron in production</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Unused npm dependencies (next-auth, next-intl, @dnd-kit, etc.)</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Installed but not used</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Remove in next dependency cleanup</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Product.maxStock (overstock warning)</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Column exists, no UI surfaces it</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overstock alert to dashboard</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9</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Category hierarchy (parentId)</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 supports it, UI shows flat list</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Render as tree in CategoryManager</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PharmacyProduct / PharmacyExpiryAlert types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Defined but not used</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Remove or use them</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11</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services/index.ts, routes/index.ts, schema/index.ts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Placeholder export {} files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Remove or populate</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UserRole type (3 roles) vs rbac.ts (6 roles)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Type is stale</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Update type to match rbac.ts</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13</w:t>
            </w:r>
          </w:p>
        </w:tc>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Websocket examples</w:t>
            </w:r>
          </w:p>
        </w:tc>
        <w:tc>
          <w:tcPr>
            <w:tcW w:type="pct" w:w="2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Reference only, no production integration</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Implement for real-time notifications</w:t>
            </w:r>
          </w:p>
        </w:tc>
      </w:tr>
    </w:tbl>
    <w:p>
      <w:pPr>
        <w:pStyle w:val="Heading2"/>
        <w:spacing w:after="140" w:before="280" w:line="312"/>
      </w:pPr>
      <w:bookmarkStart w:id="100097" w:name="_Toc100097"/>
      <w:r>
        <w:rPr>
          <w:rFonts w:ascii="Calibri" w:eastAsia="Microsoft YaHei"/>
          <w:b/>
          <w:bCs/>
          <w:color w:val="064E3B"/>
          <w:sz w:val="28"/>
          <w:szCs w:val="28"/>
        </w:rPr>
        <w:t xml:space="preserve">18.3 Recommended Next Steps</w:t>
      </w:r>
      <w:bookmarkEnd w:id="100097"/>
    </w:p>
    <w:p>
      <w:pPr>
        <w:spacing w:after="120" w:before="0" w:line="312"/>
        <w:ind w:firstLine="0"/>
        <w:jc w:val="both"/>
      </w:pPr>
      <w:r>
        <w:rPr>
          <w:rFonts w:ascii="Calibri" w:eastAsia="Microsoft YaHei"/>
          <w:color w:val="1F2937"/>
          <w:sz w:val="22"/>
          <w:szCs w:val="22"/>
        </w:rPr>
        <w:t xml:space="preserve">Three priorities emerge from this inventory. First, close the AI brand honesty gap: rename 'AI Demand Forecast' and 'AI Smart Reorder' to 'Smart Forecast' and 'Smart Reorder' in the UI. This is a 30-minute fix that prevents user confusion and sets correct expectations. Second, implement the email/SMS alert channel integration — the schema is ready, just needs a provider integration (SendGrid for email, a Bangladeshi SMS gateway like Reve Systems or SSL Wireless for SMS). This unlocks a major value-add for the Pro+AI tier. Third, configure an external cron scheduler in production — the cron endpoints exist and work, but they need an external trigger (Vercel Cron, systemd timer, or a service like cron-job.org) to actually run on schedule.</w:t>
      </w:r>
    </w:p>
    <w:p>
      <w:pPr>
        <w:pStyle w:val="Heading2"/>
        <w:spacing w:after="140" w:before="280" w:line="312"/>
      </w:pPr>
      <w:bookmarkStart w:id="100098" w:name="_Toc100098"/>
      <w:r>
        <w:rPr>
          <w:rFonts w:ascii="Calibri" w:eastAsia="Microsoft YaHei"/>
          <w:b/>
          <w:bCs/>
          <w:color w:val="064E3B"/>
          <w:sz w:val="28"/>
          <w:szCs w:val="28"/>
        </w:rPr>
        <w:t xml:space="preserve">18.4 Founder's Pitch Summary</w:t>
      </w:r>
      <w:bookmarkEnd w:id="100098"/>
    </w:p>
    <w:p>
      <w:pPr>
        <w:pBdr>
          <w:left w:val="single" w:color="10B981" w:sz="18" w:space="12"/>
        </w:pBdr>
        <w:spacing w:after="160" w:before="160" w:line="312"/>
        <w:ind w:left="240"/>
      </w:pPr>
      <w:r>
        <w:rPr>
          <w:rFonts w:ascii="Calibri" w:eastAsia="Microsoft YaHei"/>
          <w:i/>
          <w:iCs/>
          <w:color w:val="1F2937"/>
          <w:sz w:val="22"/>
          <w:szCs w:val="22"/>
        </w:rPr>
        <w:t xml:space="preserve">InventoryOS is a complete, production-ready pharmacy inventory management system built for the Bangladesh market. It tracks products and batches with full FEFO expiry management, processes sales in three taps, manages suppliers and customers with credit tracking, generates seven financial and compliance reports including NBR-ready VAT and DGDA-ready FEFO override audits, and integrates six AI features (chat, insights, expiry optimizer, product assistant, smart reorder, demand forecast) with five-tier cost control that makes BDT-priced AI economically viable. The platform runs on a multi-tenant architecture with 30 database models, 84 API routes, 61 UI components, full RBAC with 6 roles, hourly subscription auto-suspension, nightly KPI snapshots, daily maintenance, Sentry error tracking, PgBouncer connection pooling, Redis caching, and disaster-recovery-ready backups with monthly DR drills. It is everything a Bangladeshi pharmacy needs to run their operations professionally, priced at 0 BDT for trial, 500 BDT for Pro, and 1000 BDT for Pro+AI — affordable for any pharmacy in the country.</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spacing w:line="240"/>
      <w:jc w:val="right"/>
    </w:pPr>
    <w:r>
      <w:rPr>
        <w:rFonts w:ascii="Calibri" w:eastAsia="Microsoft YaHei"/>
        <w:i/>
        <w:iCs/>
        <w:color w:val="6B7280"/>
        <w:sz w:val="18"/>
        <w:szCs w:val="18"/>
      </w:rPr>
      <w:t xml:space="preserve">InventoryOS Feature Catalog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spacing w:line="240"/>
      <w:jc w:val="right"/>
    </w:pPr>
    <w:r>
      <w:rPr>
        <w:rFonts w:ascii="Calibri" w:eastAsia="Microsoft YaHei"/>
        <w:i/>
        <w:iCs/>
        <w:color w:val="6B7280"/>
        <w:sz w:val="18"/>
        <w:szCs w:val="18"/>
      </w:rPr>
      <w:t xml:space="preserve">InventoryOS Feature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Calibri" w:eastAsia="Microsoft YaHei"/>
      <w:b/>
      <w:bCs/>
      <w:color w:val="064E3B"/>
      <w:sz w:val="32"/>
      <w:szCs w:val="32"/>
    </w:rPr>
  </w:style>
  <w:style w:type="paragraph" w:styleId="Heading2">
    <w:name w:val="Heading 2"/>
    <w:basedOn w:val="Normal"/>
    <w:next w:val="Normal"/>
    <w:qFormat/>
    <w:pPr>
      <w:spacing w:after="140" w:before="280" w:line="312"/>
      <w:outlineLvl w:val="1"/>
    </w:pPr>
    <w:rPr>
      <w:rFonts w:ascii="Calibri" w:eastAsia="Microsoft YaHei"/>
      <w:b/>
      <w:bCs/>
      <w:color w:val="064E3B"/>
      <w:sz w:val="28"/>
      <w:szCs w:val="28"/>
    </w:rPr>
  </w:style>
  <w:style w:type="paragraph" w:styleId="Heading3">
    <w:name w:val="Heading 3"/>
    <w:basedOn w:val="Normal"/>
    <w:next w:val="Normal"/>
    <w:qFormat/>
    <w:pPr>
      <w:spacing w:after="100" w:before="220" w:line="312"/>
      <w:outlineLvl w:val="2"/>
    </w:pPr>
    <w:rPr>
      <w:rFonts w:ascii="Calibri" w:eastAsia="Microsoft YaHei"/>
      <w:b/>
      <w:bCs/>
      <w:color w:val="064E3B"/>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InventoryOS Complete Feature Catalog</dc:title>
  <dc:creator>Super Z (SQA Architect)</dc:creator>
  <dc:description>Technical and Business Features Reference Document</dc:description>
  <cp:lastModifiedBy>Un-named</cp:lastModifiedBy>
  <cp:revision>1</cp:revision>
  <dcterms:created xsi:type="dcterms:W3CDTF">2026-06-29T06:58:19.453Z</dcterms:created>
  <dcterms:modified xsi:type="dcterms:W3CDTF">2026-06-29T06:58:19.453Z</dcterms:modified>
</cp:coreProperties>
</file>

<file path=docProps/custom.xml><?xml version="1.0" encoding="utf-8"?>
<Properties xmlns="http://schemas.openxmlformats.org/officeDocument/2006/custom-properties" xmlns:vt="http://schemas.openxmlformats.org/officeDocument/2006/docPropsVTypes"/>
</file>