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62F23" w:val="clear"/>
          </w:tcPr>
          <w:p>
            <w:pPr>
              <w:spacing w:before="2800"/>
            </w:pPr>
          </w:p>
          <w:p>
            <w:pPr>
              <w:pBdr>
                <w:bottom w:val="single" w:color="10B981" w:sz="6" w:space="8"/>
              </w:pBdr>
              <w:spacing w:after="500" w:line="360" w:lineRule="atLeast"/>
              <w:ind w:left="1200" w:right="800"/>
            </w:pPr>
            <w:r>
              <w:rPr>
                <w:rFonts w:ascii="Calibri"/>
                <w:b/>
                <w:bCs/>
                <w:color w:val="10B981"/>
                <w:spacing w:val="40"/>
                <w:sz w:val="18"/>
                <w:szCs w:val="18"/>
              </w:rPr>
              <w:t xml:space="preserve">I M P L E M E N T A T I O N   S P E C I F I C A T I O N   /   J U N E   2 0 2 6</w:t>
            </w:r>
          </w:p>
          <w:p>
            <w:pPr>
              <w:spacing w:after="100" w:line="736" w:lineRule="atLeast"/>
              <w:ind w:left="1200"/>
            </w:pPr>
            <w:r>
              <w:rPr>
                <w:rFonts w:ascii="Arial"/>
                <w:b/>
                <w:bCs/>
                <w:color w:val="FFFFFF"/>
                <w:sz w:val="64"/>
                <w:szCs w:val="64"/>
              </w:rPr>
              <w:t xml:space="preserve">InventoryOS</w:t>
            </w:r>
          </w:p>
          <w:p>
            <w:pPr>
              <w:spacing w:after="100" w:line="736" w:lineRule="atLeast"/>
              <w:ind w:left="1200"/>
            </w:pPr>
            <w:r>
              <w:rPr>
                <w:rFonts w:ascii="Arial"/>
                <w:b/>
                <w:bCs/>
                <w:color w:val="FFFFFF"/>
                <w:sz w:val="64"/>
                <w:szCs w:val="64"/>
              </w:rPr>
              <w:t xml:space="preserve">AI Report Scheduling</w:t>
            </w:r>
          </w:p>
          <w:p>
            <w:pPr>
              <w:spacing w:after="320" w:line="736" w:lineRule="atLeast"/>
              <w:ind w:left="1200"/>
            </w:pPr>
            <w:r>
              <w:rPr>
                <w:rFonts w:ascii="Arial"/>
                <w:b/>
                <w:bCs/>
                <w:color w:val="FFFFFF"/>
                <w:sz w:val="64"/>
                <w:szCs w:val="64"/>
              </w:rPr>
              <w:t xml:space="preserve">System</w:t>
            </w:r>
          </w:p>
          <w:p>
            <w:pPr>
              <w:spacing w:after="240" w:line="360" w:lineRule="atLeast"/>
              <w:ind w:left="1200"/>
            </w:pPr>
            <w:r>
              <w:rPr>
                <w:rFonts w:ascii="Arial"/>
                <w:color w:val="A7E3C6"/>
                <w:sz w:val="24"/>
                <w:szCs w:val="24"/>
              </w:rPr>
              <w:t xml:space="preserve">The Weekly Client Hook — Occasion-Aware Sales Prediction Reports</w:t>
            </w:r>
          </w:p>
          <w:p>
            <w:pPr>
              <w:spacing w:after="900" w:line="320" w:lineRule="atLeast"/>
              <w:ind w:left="1200"/>
            </w:pPr>
            <w:r>
              <w:rPr>
                <w:rFonts w:ascii="Arial"/>
                <w:i/>
                <w:iCs/>
                <w:color w:val="E8F5EE"/>
                <w:sz w:val="22"/>
                <w:szCs w:val="22"/>
              </w:rPr>
              <w:t xml:space="preserve">Automated AI reports delivered to every pharmacy client via Email &amp; WhatsApp</w:t>
            </w:r>
          </w:p>
          <w:p>
            <w:pPr>
              <w:pBdr>
                <w:left w:val="single" w:color="10B981" w:sz="8" w:space="12"/>
              </w:pBdr>
              <w:spacing w:after="100" w:line="320"/>
              <w:ind w:left="1400"/>
            </w:pPr>
            <w:r>
              <w:rPr>
                <w:rFonts w:ascii="Arial"/>
                <w:color w:val="E8F5EE"/>
                <w:sz w:val="22"/>
                <w:szCs w:val="22"/>
              </w:rPr>
              <w:t xml:space="preserve">5 new Prisma models  ·  10 new API endpoints  ·  3 new cron jobs</w:t>
            </w:r>
          </w:p>
          <w:p>
            <w:pPr>
              <w:pBdr>
                <w:left w:val="single" w:color="10B981" w:sz="8" w:space="12"/>
              </w:pBdr>
              <w:spacing w:after="100" w:line="320"/>
              <w:ind w:left="1400"/>
            </w:pPr>
            <w:r>
              <w:rPr>
                <w:rFonts w:ascii="Arial"/>
                <w:color w:val="E8F5EE"/>
                <w:sz w:val="22"/>
                <w:szCs w:val="22"/>
              </w:rPr>
              <w:t xml:space="preserve">Prediction: 1-year sales data + Bangladesh occasion calendar</w:t>
            </w:r>
          </w:p>
          <w:p>
            <w:pPr>
              <w:pBdr>
                <w:left w:val="single" w:color="10B981" w:sz="8" w:space="12"/>
              </w:pBdr>
              <w:spacing w:after="100" w:line="320"/>
              <w:ind w:left="1400"/>
            </w:pPr>
            <w:r>
              <w:rPr>
                <w:rFonts w:ascii="Arial"/>
                <w:color w:val="E8F5EE"/>
                <w:sz w:val="22"/>
                <w:szCs w:val="22"/>
              </w:rPr>
              <w:t xml:space="preserve">Delivery: Email (Phase D) + WhatsApp Business API (Phase E)</w:t>
            </w:r>
          </w:p>
          <w:p>
            <w:pPr>
              <w:pBdr>
                <w:left w:val="single" w:color="10B981" w:sz="8" w:space="12"/>
              </w:pBdr>
              <w:spacing w:after="100" w:line="320"/>
              <w:ind w:left="1400"/>
            </w:pPr>
            <w:r>
              <w:rPr>
                <w:rFonts w:ascii="Arial"/>
                <w:color w:val="E8F5EE"/>
                <w:sz w:val="22"/>
                <w:szCs w:val="22"/>
              </w:rPr>
              <w:t xml:space="preserve">Estimated effort: 38 hours over 8 weeks  ·  5 implementation phases</w:t>
            </w:r>
          </w:p>
          <w:p>
            <w:pPr>
              <w:spacing w:before="2000"/>
            </w:pPr>
          </w:p>
          <w:p>
            <w:pPr>
              <w:pBdr>
                <w:top w:val="single" w:color="10B981" w:sz="2" w:space="8"/>
              </w:pBdr>
              <w:spacing w:before="200" w:line="320"/>
              <w:ind w:left="1200" w:right="800"/>
            </w:pPr>
            <w:r>
              <w:rPr>
                <w:rFonts w:ascii="Arial"/>
                <w:color w:val="9CA3AF"/>
                <w:sz w:val="16"/>
                <w:szCs w:val="16"/>
              </w:rPr>
              <w:t xml:space="preserve">Prepared by: Super Z (SQA Architect)</w:t>
            </w:r>
            <w:r>
              <w:rPr>
                <w:color w:val="9CA3AF"/>
                <w:sz w:val="16"/>
                <w:szCs w:val="16"/>
              </w:rPr>
              <w:t xml:space="preserve">                                        </w:t>
            </w:r>
            <w:r>
              <w:rPr>
                <w:rFonts w:ascii="Arial"/>
                <w:color w:val="9CA3AF"/>
                <w:sz w:val="16"/>
                <w:szCs w:val="16"/>
              </w:rPr>
              <w:t xml:space="preserve">Founder + Developer Reference</w:t>
            </w:r>
          </w:p>
        </w:tc>
      </w:tr>
    </w:tbl>
    <w:p>
      <w:pPr>
        <w:sectPr>
          <w:pgSz w:w="11906" w:h="16838" w:orient="portrait"/>
          <w:pgMar w:top="0" w:right="0" w:bottom="0" w:left="0" w:header="708" w:footer="708" w:gutter="0"/>
          <w:pgNumType/>
          <w:docGrid w:linePitch="360"/>
        </w:sectPr>
      </w:pPr>
    </w:p>
    <w:p>
      <w:pPr>
        <w:spacing w:after="360" w:before="480" w:line="360"/>
        <w:jc w:val="center"/>
      </w:pPr>
      <w:r>
        <w:rPr>
          <w:rFonts w:ascii="Calibri" w:eastAsia="Microsoft YaHei"/>
          <w:b/>
          <w:bCs/>
          <w:color w:val="064E3B"/>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What the Client Receives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Business Impact</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Product Vision &amp; The Client Hook</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2.1 The Retention Problem</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2.2 The Hook Solution</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2.3 The Occasion-Awareness Differentiator</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2.4 Day in the Life — A Client Scenario</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3. How It Works — High-Level Flow</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3.1 The 8-Step Flow</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3.2 Edge Cases &amp; Fallbacks</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4. Data Model (Prisma Schema)</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4.1 ReportSchedule</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4.2 ReportOccasion</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4.3 HolidayCalendar</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4.4 GeneratedReport</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4.5 ReportDelivery</w:t>
            </w:r>
            <w:r>
              <w:tab/>
            </w:r>
            <w:r>
              <w:fldChar w:fldCharType="begin"/>
            </w:r>
            <w:r>
              <w:instrText xml:space="preserve"> PAGEREF _Toc100016 \h </w:instrText>
            </w:r>
            <w:r>
              <w:fldChar w:fldCharType="separate"/>
            </w:r>
            <w:r>
              <w:t>8</w:t>
            </w:r>
            <w:r>
              <w:fldChar w:fldCharType="end"/>
            </w:r>
          </w:hyperlink>
        </w:p>
        <w:p>
          <w:pPr>
            <w:pStyle w:val="9"/>
            <w:tabs>
              <w:tab w:val="right" w:leader="dot" w:pos="9026"/>
            </w:tabs>
            <w:spacing w:before="120" w:after="60"/>
          </w:pPr>
          <w:hyperlink w:anchor="_Toc100017" w:history="1">
            <w:r>
              <w:rPr>
                <w:rStyle w:val="Hyperlink"/>
              </w:rPr>
              <w:t>5. Occasion Calendar System</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5.1 Why Occasions Matter for Pharmacy Sales</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5.2 The Three Date Pattern Types</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5.3 Impact Weighting System</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5.4 Combination Multiplier</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5.5 How Occasions Are Matched to Historical Sales</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5.6 Pre-Seeded Bangladesh Holiday Calendar</w:t>
            </w:r>
            <w:r>
              <w:tab/>
            </w:r>
            <w:r>
              <w:fldChar w:fldCharType="begin"/>
            </w:r>
            <w:r>
              <w:instrText xml:space="preserve"> PAGEREF _Toc100023 \h </w:instrText>
            </w:r>
            <w:r>
              <w:fldChar w:fldCharType="separate"/>
            </w:r>
            <w:r>
              <w:t>10</w:t>
            </w:r>
            <w:r>
              <w:fldChar w:fldCharType="end"/>
            </w:r>
          </w:hyperlink>
        </w:p>
        <w:p>
          <w:pPr>
            <w:pStyle w:val="9"/>
            <w:tabs>
              <w:tab w:val="right" w:leader="dot" w:pos="9026"/>
            </w:tabs>
            <w:spacing w:before="120" w:after="60"/>
          </w:pPr>
          <w:hyperlink w:anchor="_Toc100024" w:history="1">
            <w:r>
              <w:rPr>
                <w:rStyle w:val="Hyperlink"/>
              </w:rPr>
              <w:t>6. AI Prediction Algorithm</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6.1 Inputs</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6.2 The 5-Step Process</w:t>
            </w:r>
            <w:r>
              <w:tab/>
            </w:r>
            <w:r>
              <w:fldChar w:fldCharType="begin"/>
            </w:r>
            <w:r>
              <w:instrText xml:space="preserve"> PAGEREF _Toc100026 \h </w:instrText>
            </w:r>
            <w:r>
              <w:fldChar w:fldCharType="separate"/>
            </w:r>
            <w:r>
              <w:t>11</w:t>
            </w:r>
            <w:r>
              <w:fldChar w:fldCharType="end"/>
            </w:r>
          </w:hyperlink>
        </w:p>
        <w:p>
          <w:pPr>
            <w:pStyle w:val="12"/>
            <w:ind w:left="720"/>
            <w:tabs>
              <w:tab w:val="right" w:leader="dot" w:pos="9026"/>
            </w:tabs>
            <w:spacing w:before="120" w:after="60"/>
          </w:pPr>
          <w:hyperlink w:anchor="_Toc100027" w:history="1">
            <w:r>
              <w:rPr>
                <w:rStyle w:val="Hyperlink"/>
              </w:rPr>
              <w:t>Step 1 — Base Demand Calculation</w:t>
            </w:r>
            <w:r>
              <w:tab/>
            </w:r>
            <w:r>
              <w:fldChar w:fldCharType="begin"/>
            </w:r>
            <w:r>
              <w:instrText xml:space="preserve"> PAGEREF _Toc100027 \h </w:instrText>
            </w:r>
            <w:r>
              <w:fldChar w:fldCharType="separate"/>
            </w:r>
            <w:r>
              <w:t>11</w:t>
            </w:r>
            <w:r>
              <w:fldChar w:fldCharType="end"/>
            </w:r>
          </w:hyperlink>
        </w:p>
        <w:p>
          <w:pPr>
            <w:pStyle w:val="12"/>
            <w:ind w:left="720"/>
            <w:tabs>
              <w:tab w:val="right" w:leader="dot" w:pos="9026"/>
            </w:tabs>
            <w:spacing w:before="120" w:after="60"/>
          </w:pPr>
          <w:hyperlink w:anchor="_Toc100028" w:history="1">
            <w:r>
              <w:rPr>
                <w:rStyle w:val="Hyperlink"/>
              </w:rPr>
              <w:t>Step 2 — Occasion Overlay</w:t>
            </w:r>
            <w:r>
              <w:tab/>
            </w:r>
            <w:r>
              <w:fldChar w:fldCharType="begin"/>
            </w:r>
            <w:r>
              <w:instrText xml:space="preserve"> PAGEREF _Toc100028 \h </w:instrText>
            </w:r>
            <w:r>
              <w:fldChar w:fldCharType="separate"/>
            </w:r>
            <w:r>
              <w:t>11</w:t>
            </w:r>
            <w:r>
              <w:fldChar w:fldCharType="end"/>
            </w:r>
          </w:hyperlink>
        </w:p>
        <w:p>
          <w:pPr>
            <w:pStyle w:val="12"/>
            <w:ind w:left="720"/>
            <w:tabs>
              <w:tab w:val="right" w:leader="dot" w:pos="9026"/>
            </w:tabs>
            <w:spacing w:before="120" w:after="60"/>
          </w:pPr>
          <w:hyperlink w:anchor="_Toc100029" w:history="1">
            <w:r>
              <w:rPr>
                <w:rStyle w:val="Hyperlink"/>
              </w:rPr>
              <w:t>Step 3 — Combination Handling</w:t>
            </w:r>
            <w:r>
              <w:tab/>
            </w:r>
            <w:r>
              <w:fldChar w:fldCharType="begin"/>
            </w:r>
            <w:r>
              <w:instrText xml:space="preserve"> PAGEREF _Toc100029 \h </w:instrText>
            </w:r>
            <w:r>
              <w:fldChar w:fldCharType="separate"/>
            </w:r>
            <w:r>
              <w:t>11</w:t>
            </w:r>
            <w:r>
              <w:fldChar w:fldCharType="end"/>
            </w:r>
          </w:hyperlink>
        </w:p>
        <w:p>
          <w:pPr>
            <w:pStyle w:val="12"/>
            <w:ind w:left="720"/>
            <w:tabs>
              <w:tab w:val="right" w:leader="dot" w:pos="9026"/>
            </w:tabs>
            <w:spacing w:before="120" w:after="60"/>
          </w:pPr>
          <w:hyperlink w:anchor="_Toc100030" w:history="1">
            <w:r>
              <w:rPr>
                <w:rStyle w:val="Hyperlink"/>
              </w:rPr>
              <w:t>Step 4 — Stock Gap Analysis</w:t>
            </w:r>
            <w:r>
              <w:tab/>
            </w:r>
            <w:r>
              <w:fldChar w:fldCharType="begin"/>
            </w:r>
            <w:r>
              <w:instrText xml:space="preserve"> PAGEREF _Toc100030 \h </w:instrText>
            </w:r>
            <w:r>
              <w:fldChar w:fldCharType="separate"/>
            </w:r>
            <w:r>
              <w:t>11</w:t>
            </w:r>
            <w:r>
              <w:fldChar w:fldCharType="end"/>
            </w:r>
          </w:hyperlink>
        </w:p>
        <w:p>
          <w:pPr>
            <w:pStyle w:val="12"/>
            <w:ind w:left="720"/>
            <w:tabs>
              <w:tab w:val="right" w:leader="dot" w:pos="9026"/>
            </w:tabs>
            <w:spacing w:before="120" w:after="60"/>
          </w:pPr>
          <w:hyperlink w:anchor="_Toc100031" w:history="1">
            <w:r>
              <w:rPr>
                <w:rStyle w:val="Hyperlink"/>
              </w:rPr>
              <w:t>Step 5 — AI Synthesis</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6.3 The System Prompt Template</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6.4 Cost Control Integration</w:t>
            </w:r>
            <w:r>
              <w:tab/>
            </w:r>
            <w:r>
              <w:fldChar w:fldCharType="begin"/>
            </w:r>
            <w:r>
              <w:instrText xml:space="preserve"> PAGEREF _Toc100033 \h </w:instrText>
            </w:r>
            <w:r>
              <w:fldChar w:fldCharType="separate"/>
            </w:r>
            <w:r>
              <w:t>12</w:t>
            </w:r>
            <w:r>
              <w:fldChar w:fldCharType="end"/>
            </w:r>
          </w:hyperlink>
        </w:p>
        <w:p>
          <w:pPr>
            <w:pStyle w:val="9"/>
            <w:tabs>
              <w:tab w:val="right" w:leader="dot" w:pos="9026"/>
            </w:tabs>
            <w:spacing w:before="120" w:after="60"/>
          </w:pPr>
          <w:hyperlink w:anchor="_Toc100034" w:history="1">
            <w:r>
              <w:rPr>
                <w:rStyle w:val="Hyperlink"/>
              </w:rPr>
              <w:t>7. Report Content Structure</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7.1 Section 1: Executive Summary</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7.2 Section 2: Big Sales Spike Predictions</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7.3 Section 3: Top 20 High-Potential Items</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7.4 Section 4: Stock Risks &amp; Recommendations</w:t>
            </w:r>
            <w:r>
              <w:tab/>
            </w:r>
            <w:r>
              <w:fldChar w:fldCharType="begin"/>
            </w:r>
            <w:r>
              <w:instrText xml:space="preserve"> PAGEREF _Toc100038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7.5 Report Branding &amp; Format</w:t>
            </w:r>
            <w:r>
              <w:tab/>
            </w:r>
            <w:r>
              <w:fldChar w:fldCharType="begin"/>
            </w:r>
            <w:r>
              <w:instrText xml:space="preserve"> PAGEREF _Toc100039 \h </w:instrText>
            </w:r>
            <w:r>
              <w:fldChar w:fldCharType="separate"/>
            </w:r>
            <w:r>
              <w:t>14</w:t>
            </w:r>
            <w:r>
              <w:fldChar w:fldCharType="end"/>
            </w:r>
          </w:hyperlink>
        </w:p>
        <w:p>
          <w:pPr>
            <w:pStyle w:val="9"/>
            <w:tabs>
              <w:tab w:val="right" w:leader="dot" w:pos="9026"/>
            </w:tabs>
            <w:spacing w:before="120" w:after="60"/>
          </w:pPr>
          <w:hyperlink w:anchor="_Toc100040" w:history="1">
            <w:r>
              <w:rPr>
                <w:rStyle w:val="Hyperlink"/>
              </w:rPr>
              <w:t>8. API Endpoints Specification</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8.1 Schedule CRUD Endpoints</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8.2 Occasion &amp; Holiday Endpoints</w:t>
            </w:r>
            <w:r>
              <w:tab/>
            </w:r>
            <w:r>
              <w:fldChar w:fldCharType="begin"/>
            </w:r>
            <w:r>
              <w:instrText xml:space="preserve"> PAGEREF _Toc100042 \h </w:instrText>
            </w:r>
            <w:r>
              <w:fldChar w:fldCharType="separate"/>
            </w:r>
            <w:r>
              <w:t>15</w:t>
            </w:r>
            <w:r>
              <w:fldChar w:fldCharType="end"/>
            </w:r>
          </w:hyperlink>
        </w:p>
        <w:p>
          <w:pPr>
            <w:pStyle w:val="11"/>
            <w:ind w:left="360"/>
            <w:tabs>
              <w:tab w:val="right" w:leader="dot" w:pos="9026"/>
            </w:tabs>
            <w:spacing w:before="120" w:after="60"/>
          </w:pPr>
          <w:hyperlink w:anchor="_Toc100043" w:history="1">
            <w:r>
              <w:rPr>
                <w:rStyle w:val="Hyperlink"/>
              </w:rPr>
              <w:t>8.3 Report &amp; Delivery Endpoints</w:t>
            </w:r>
            <w:r>
              <w:tab/>
            </w:r>
            <w:r>
              <w:fldChar w:fldCharType="begin"/>
            </w:r>
            <w:r>
              <w:instrText xml:space="preserve"> PAGEREF _Toc100043 \h </w:instrText>
            </w:r>
            <w:r>
              <w:fldChar w:fldCharType="separate"/>
            </w:r>
            <w:r>
              <w:t>15</w:t>
            </w:r>
            <w:r>
              <w:fldChar w:fldCharType="end"/>
            </w:r>
          </w:hyperlink>
        </w:p>
        <w:p>
          <w:pPr>
            <w:pStyle w:val="11"/>
            <w:ind w:left="360"/>
            <w:tabs>
              <w:tab w:val="right" w:leader="dot" w:pos="9026"/>
            </w:tabs>
            <w:spacing w:before="120" w:after="60"/>
          </w:pPr>
          <w:hyperlink w:anchor="_Toc100044" w:history="1">
            <w:r>
              <w:rPr>
                <w:rStyle w:val="Hyperlink"/>
              </w:rPr>
              <w:t>8.4 Example: Create Schedule Request/Response</w:t>
            </w:r>
            <w:r>
              <w:tab/>
            </w:r>
            <w:r>
              <w:fldChar w:fldCharType="begin"/>
            </w:r>
            <w:r>
              <w:instrText xml:space="preserve"> PAGEREF _Toc100044 \h </w:instrText>
            </w:r>
            <w:r>
              <w:fldChar w:fldCharType="separate"/>
            </w:r>
            <w:r>
              <w:t>15</w:t>
            </w:r>
            <w:r>
              <w:fldChar w:fldCharType="end"/>
            </w:r>
          </w:hyperlink>
        </w:p>
        <w:p>
          <w:pPr>
            <w:pStyle w:val="9"/>
            <w:tabs>
              <w:tab w:val="right" w:leader="dot" w:pos="9026"/>
            </w:tabs>
            <w:spacing w:before="120" w:after="60"/>
          </w:pPr>
          <w:hyperlink w:anchor="_Toc100045" w:history="1">
            <w:r>
              <w:rPr>
                <w:rStyle w:val="Hyperlink"/>
              </w:rPr>
              <w:t>9. Super Admin UI — Schedule Builder</w:t>
            </w:r>
            <w:r>
              <w:tab/>
            </w:r>
            <w:r>
              <w:fldChar w:fldCharType="begin"/>
            </w:r>
            <w:r>
              <w:instrText xml:space="preserve"> PAGEREF _Toc100045 \h </w:instrText>
            </w:r>
            <w:r>
              <w:fldChar w:fldCharType="separate"/>
            </w:r>
            <w:r>
              <w:t>15</w:t>
            </w:r>
            <w:r>
              <w:fldChar w:fldCharType="end"/>
            </w:r>
          </w:hyperlink>
        </w:p>
        <w:p>
          <w:pPr>
            <w:pStyle w:val="11"/>
            <w:ind w:left="360"/>
            <w:tabs>
              <w:tab w:val="right" w:leader="dot" w:pos="9026"/>
            </w:tabs>
            <w:spacing w:before="120" w:after="60"/>
          </w:pPr>
          <w:hyperlink w:anchor="_Toc100046" w:history="1">
            <w:r>
              <w:rPr>
                <w:rStyle w:val="Hyperlink"/>
              </w:rPr>
              <w:t>9.1 Screen 1: Schedule List</w:t>
            </w:r>
            <w:r>
              <w:tab/>
            </w:r>
            <w:r>
              <w:fldChar w:fldCharType="begin"/>
            </w:r>
            <w:r>
              <w:instrText xml:space="preserve"> PAGEREF _Toc100046 \h </w:instrText>
            </w:r>
            <w:r>
              <w:fldChar w:fldCharType="separate"/>
            </w:r>
            <w:r>
              <w:t>16</w:t>
            </w:r>
            <w:r>
              <w:fldChar w:fldCharType="end"/>
            </w:r>
          </w:hyperlink>
        </w:p>
        <w:p>
          <w:pPr>
            <w:pStyle w:val="11"/>
            <w:ind w:left="360"/>
            <w:tabs>
              <w:tab w:val="right" w:leader="dot" w:pos="9026"/>
            </w:tabs>
            <w:spacing w:before="120" w:after="60"/>
          </w:pPr>
          <w:hyperlink w:anchor="_Toc100047" w:history="1">
            <w:r>
              <w:rPr>
                <w:rStyle w:val="Hyperlink"/>
              </w:rPr>
              <w:t>9.2 Screen 2: Schedule Builder Form</w:t>
            </w:r>
            <w:r>
              <w:tab/>
            </w:r>
            <w:r>
              <w:fldChar w:fldCharType="begin"/>
            </w:r>
            <w:r>
              <w:instrText xml:space="preserve"> PAGEREF _Toc100047 \h </w:instrText>
            </w:r>
            <w:r>
              <w:fldChar w:fldCharType="separate"/>
            </w:r>
            <w:r>
              <w:t>16</w:t>
            </w:r>
            <w:r>
              <w:fldChar w:fldCharType="end"/>
            </w:r>
          </w:hyperlink>
        </w:p>
        <w:p>
          <w:pPr>
            <w:pStyle w:val="11"/>
            <w:ind w:left="360"/>
            <w:tabs>
              <w:tab w:val="right" w:leader="dot" w:pos="9026"/>
            </w:tabs>
            <w:spacing w:before="120" w:after="60"/>
          </w:pPr>
          <w:hyperlink w:anchor="_Toc100048" w:history="1">
            <w:r>
              <w:rPr>
                <w:rStyle w:val="Hyperlink"/>
              </w:rPr>
              <w:t>9.3 Screen 3: Occasion Manager</w:t>
            </w:r>
            <w:r>
              <w:tab/>
            </w:r>
            <w:r>
              <w:fldChar w:fldCharType="begin"/>
            </w:r>
            <w:r>
              <w:instrText xml:space="preserve"> PAGEREF _Toc100048 \h </w:instrText>
            </w:r>
            <w:r>
              <w:fldChar w:fldCharType="separate"/>
            </w:r>
            <w:r>
              <w:t>16</w:t>
            </w:r>
            <w:r>
              <w:fldChar w:fldCharType="end"/>
            </w:r>
          </w:hyperlink>
        </w:p>
        <w:p>
          <w:pPr>
            <w:pStyle w:val="11"/>
            <w:ind w:left="360"/>
            <w:tabs>
              <w:tab w:val="right" w:leader="dot" w:pos="9026"/>
            </w:tabs>
            <w:spacing w:before="120" w:after="60"/>
          </w:pPr>
          <w:hyperlink w:anchor="_Toc100049" w:history="1">
            <w:r>
              <w:rPr>
                <w:rStyle w:val="Hyperlink"/>
              </w:rPr>
              <w:t>9.4 Screen 4: Generated Reports Viewer</w:t>
            </w:r>
            <w:r>
              <w:tab/>
            </w:r>
            <w:r>
              <w:fldChar w:fldCharType="begin"/>
            </w:r>
            <w:r>
              <w:instrText xml:space="preserve"> PAGEREF _Toc100049 \h </w:instrText>
            </w:r>
            <w:r>
              <w:fldChar w:fldCharType="separate"/>
            </w:r>
            <w:r>
              <w:t>16</w:t>
            </w:r>
            <w:r>
              <w:fldChar w:fldCharType="end"/>
            </w:r>
          </w:hyperlink>
        </w:p>
        <w:p>
          <w:pPr>
            <w:pStyle w:val="11"/>
            <w:ind w:left="360"/>
            <w:tabs>
              <w:tab w:val="right" w:leader="dot" w:pos="9026"/>
            </w:tabs>
            <w:spacing w:before="120" w:after="60"/>
          </w:pPr>
          <w:hyperlink w:anchor="_Toc100050" w:history="1">
            <w:r>
              <w:rPr>
                <w:rStyle w:val="Hyperlink"/>
              </w:rPr>
              <w:t>9.5 UX Principle: Tooltips Everywhere</w:t>
            </w:r>
            <w:r>
              <w:tab/>
            </w:r>
            <w:r>
              <w:fldChar w:fldCharType="begin"/>
            </w:r>
            <w:r>
              <w:instrText xml:space="preserve"> PAGEREF _Toc100050 \h </w:instrText>
            </w:r>
            <w:r>
              <w:fldChar w:fldCharType="separate"/>
            </w:r>
            <w:r>
              <w:t>17</w:t>
            </w:r>
            <w:r>
              <w:fldChar w:fldCharType="end"/>
            </w:r>
          </w:hyperlink>
        </w:p>
        <w:p>
          <w:pPr>
            <w:pStyle w:val="9"/>
            <w:tabs>
              <w:tab w:val="right" w:leader="dot" w:pos="9026"/>
            </w:tabs>
            <w:spacing w:before="120" w:after="60"/>
          </w:pPr>
          <w:hyperlink w:anchor="_Toc100051" w:history="1">
            <w:r>
              <w:rPr>
                <w:rStyle w:val="Hyperlink"/>
              </w:rPr>
              <w:t>10. Background Jobs &amp; Automation</w:t>
            </w:r>
            <w:r>
              <w:tab/>
            </w:r>
            <w:r>
              <w:fldChar w:fldCharType="begin"/>
            </w:r>
            <w:r>
              <w:instrText xml:space="preserve"> PAGEREF _Toc100051 \h </w:instrText>
            </w:r>
            <w:r>
              <w:fldChar w:fldCharType="separate"/>
            </w:r>
            <w:r>
              <w:t>17</w:t>
            </w:r>
            <w:r>
              <w:fldChar w:fldCharType="end"/>
            </w:r>
          </w:hyperlink>
        </w:p>
        <w:p>
          <w:pPr>
            <w:pStyle w:val="11"/>
            <w:ind w:left="360"/>
            <w:tabs>
              <w:tab w:val="right" w:leader="dot" w:pos="9026"/>
            </w:tabs>
            <w:spacing w:before="120" w:after="60"/>
          </w:pPr>
          <w:hyperlink w:anchor="_Toc100052" w:history="1">
            <w:r>
              <w:rPr>
                <w:rStyle w:val="Hyperlink"/>
              </w:rPr>
              <w:t>10.1 Job 1: report-schedule-checker</w:t>
            </w:r>
            <w:r>
              <w:tab/>
            </w:r>
            <w:r>
              <w:fldChar w:fldCharType="begin"/>
            </w:r>
            <w:r>
              <w:instrText xml:space="preserve"> PAGEREF _Toc100052 \h </w:instrText>
            </w:r>
            <w:r>
              <w:fldChar w:fldCharType="separate"/>
            </w:r>
            <w:r>
              <w:t>17</w:t>
            </w:r>
            <w:r>
              <w:fldChar w:fldCharType="end"/>
            </w:r>
          </w:hyperlink>
        </w:p>
        <w:p>
          <w:pPr>
            <w:pStyle w:val="11"/>
            <w:ind w:left="360"/>
            <w:tabs>
              <w:tab w:val="right" w:leader="dot" w:pos="9026"/>
            </w:tabs>
            <w:spacing w:before="120" w:after="60"/>
          </w:pPr>
          <w:hyperlink w:anchor="_Toc100053" w:history="1">
            <w:r>
              <w:rPr>
                <w:rStyle w:val="Hyperlink"/>
              </w:rPr>
              <w:t>10.2 Job 2: report-generator-worker</w:t>
            </w:r>
            <w:r>
              <w:tab/>
            </w:r>
            <w:r>
              <w:fldChar w:fldCharType="begin"/>
            </w:r>
            <w:r>
              <w:instrText xml:space="preserve"> PAGEREF _Toc100053 \h </w:instrText>
            </w:r>
            <w:r>
              <w:fldChar w:fldCharType="separate"/>
            </w:r>
            <w:r>
              <w:t>17</w:t>
            </w:r>
            <w:r>
              <w:fldChar w:fldCharType="end"/>
            </w:r>
          </w:hyperlink>
        </w:p>
        <w:p>
          <w:pPr>
            <w:pStyle w:val="11"/>
            <w:ind w:left="360"/>
            <w:tabs>
              <w:tab w:val="right" w:leader="dot" w:pos="9026"/>
            </w:tabs>
            <w:spacing w:before="120" w:after="60"/>
          </w:pPr>
          <w:hyperlink w:anchor="_Toc100054" w:history="1">
            <w:r>
              <w:rPr>
                <w:rStyle w:val="Hyperlink"/>
              </w:rPr>
              <w:t>10.3 Job 3: report-delivery-worker</w:t>
            </w:r>
            <w:r>
              <w:tab/>
            </w:r>
            <w:r>
              <w:fldChar w:fldCharType="begin"/>
            </w:r>
            <w:r>
              <w:instrText xml:space="preserve"> PAGEREF _Toc100054 \h </w:instrText>
            </w:r>
            <w:r>
              <w:fldChar w:fldCharType="separate"/>
            </w:r>
            <w:r>
              <w:t>18</w:t>
            </w:r>
            <w:r>
              <w:fldChar w:fldCharType="end"/>
            </w:r>
          </w:hyperlink>
        </w:p>
        <w:p>
          <w:pPr>
            <w:pStyle w:val="11"/>
            <w:ind w:left="360"/>
            <w:tabs>
              <w:tab w:val="right" w:leader="dot" w:pos="9026"/>
            </w:tabs>
            <w:spacing w:before="120" w:after="60"/>
          </w:pPr>
          <w:hyperlink w:anchor="_Toc100055" w:history="1">
            <w:r>
              <w:rPr>
                <w:rStyle w:val="Hyperlink"/>
              </w:rPr>
              <w:t>10.4 Cron Schedule Summary</w:t>
            </w:r>
            <w:r>
              <w:tab/>
            </w:r>
            <w:r>
              <w:fldChar w:fldCharType="begin"/>
            </w:r>
            <w:r>
              <w:instrText xml:space="preserve"> PAGEREF _Toc100055 \h </w:instrText>
            </w:r>
            <w:r>
              <w:fldChar w:fldCharType="separate"/>
            </w:r>
            <w:r>
              <w:t>18</w:t>
            </w:r>
            <w:r>
              <w:fldChar w:fldCharType="end"/>
            </w:r>
          </w:hyperlink>
        </w:p>
        <w:p>
          <w:pPr>
            <w:pStyle w:val="11"/>
            <w:ind w:left="360"/>
            <w:tabs>
              <w:tab w:val="right" w:leader="dot" w:pos="9026"/>
            </w:tabs>
            <w:spacing w:before="120" w:after="60"/>
          </w:pPr>
          <w:hyperlink w:anchor="_Toc100056" w:history="1">
            <w:r>
              <w:rPr>
                <w:rStyle w:val="Hyperlink"/>
              </w:rPr>
              <w:t>10.5 External Scheduler Setup</w:t>
            </w:r>
            <w:r>
              <w:tab/>
            </w:r>
            <w:r>
              <w:fldChar w:fldCharType="begin"/>
            </w:r>
            <w:r>
              <w:instrText xml:space="preserve"> PAGEREF _Toc100056 \h </w:instrText>
            </w:r>
            <w:r>
              <w:fldChar w:fldCharType="separate"/>
            </w:r>
            <w:r>
              <w:t>18</w:t>
            </w:r>
            <w:r>
              <w:fldChar w:fldCharType="end"/>
            </w:r>
          </w:hyperlink>
        </w:p>
        <w:p>
          <w:pPr>
            <w:pStyle w:val="9"/>
            <w:tabs>
              <w:tab w:val="right" w:leader="dot" w:pos="9026"/>
            </w:tabs>
            <w:spacing w:before="120" w:after="60"/>
          </w:pPr>
          <w:hyperlink w:anchor="_Toc100057" w:history="1">
            <w:r>
              <w:rPr>
                <w:rStyle w:val="Hyperlink"/>
              </w:rPr>
              <w:t>11. Delivery Integration — Email &amp; WhatsApp</w:t>
            </w:r>
            <w:r>
              <w:tab/>
            </w:r>
            <w:r>
              <w:fldChar w:fldCharType="begin"/>
            </w:r>
            <w:r>
              <w:instrText xml:space="preserve"> PAGEREF _Toc100057 \h </w:instrText>
            </w:r>
            <w:r>
              <w:fldChar w:fldCharType="separate"/>
            </w:r>
            <w:r>
              <w:t>18</w:t>
            </w:r>
            <w:r>
              <w:fldChar w:fldCharType="end"/>
            </w:r>
          </w:hyperlink>
        </w:p>
        <w:p>
          <w:pPr>
            <w:pStyle w:val="11"/>
            <w:ind w:left="360"/>
            <w:tabs>
              <w:tab w:val="right" w:leader="dot" w:pos="9026"/>
            </w:tabs>
            <w:spacing w:before="120" w:after="60"/>
          </w:pPr>
          <w:hyperlink w:anchor="_Toc100058" w:history="1">
            <w:r>
              <w:rPr>
                <w:rStyle w:val="Hyperlink"/>
              </w:rPr>
              <w:t>11.1 Email Delivery (Phase D)</w:t>
            </w:r>
            <w:r>
              <w:tab/>
            </w:r>
            <w:r>
              <w:fldChar w:fldCharType="begin"/>
            </w:r>
            <w:r>
              <w:instrText xml:space="preserve"> PAGEREF _Toc100058 \h </w:instrText>
            </w:r>
            <w:r>
              <w:fldChar w:fldCharType="separate"/>
            </w:r>
            <w:r>
              <w:t>19</w:t>
            </w:r>
            <w:r>
              <w:fldChar w:fldCharType="end"/>
            </w:r>
          </w:hyperlink>
        </w:p>
        <w:p>
          <w:pPr>
            <w:pStyle w:val="11"/>
            <w:ind w:left="360"/>
            <w:tabs>
              <w:tab w:val="right" w:leader="dot" w:pos="9026"/>
            </w:tabs>
            <w:spacing w:before="120" w:after="60"/>
          </w:pPr>
          <w:hyperlink w:anchor="_Toc100059" w:history="1">
            <w:r>
              <w:rPr>
                <w:rStyle w:val="Hyperlink"/>
              </w:rPr>
              <w:t>11.2 WhatsApp Delivery (Phase E — Future)</w:t>
            </w:r>
            <w:r>
              <w:tab/>
            </w:r>
            <w:r>
              <w:fldChar w:fldCharType="begin"/>
            </w:r>
            <w:r>
              <w:instrText xml:space="preserve"> PAGEREF _Toc100059 \h </w:instrText>
            </w:r>
            <w:r>
              <w:fldChar w:fldCharType="separate"/>
            </w:r>
            <w:r>
              <w:t>19</w:t>
            </w:r>
            <w:r>
              <w:fldChar w:fldCharType="end"/>
            </w:r>
          </w:hyperlink>
        </w:p>
        <w:p>
          <w:pPr>
            <w:pStyle w:val="12"/>
            <w:ind w:left="720"/>
            <w:tabs>
              <w:tab w:val="right" w:leader="dot" w:pos="9026"/>
            </w:tabs>
            <w:spacing w:before="120" w:after="60"/>
          </w:pPr>
          <w:hyperlink w:anchor="_Toc100060" w:history="1">
            <w:r>
              <w:rPr>
                <w:rStyle w:val="Hyperlink"/>
              </w:rPr>
              <w:t>11.2.1 WhatsApp Business API Setup Steps</w:t>
            </w:r>
            <w:r>
              <w:tab/>
            </w:r>
            <w:r>
              <w:fldChar w:fldCharType="begin"/>
            </w:r>
            <w:r>
              <w:instrText xml:space="preserve"> PAGEREF _Toc100060 \h </w:instrText>
            </w:r>
            <w:r>
              <w:fldChar w:fldCharType="separate"/>
            </w:r>
            <w:r>
              <w:t>19</w:t>
            </w:r>
            <w:r>
              <w:fldChar w:fldCharType="end"/>
            </w:r>
          </w:hyperlink>
        </w:p>
        <w:p>
          <w:pPr>
            <w:pStyle w:val="12"/>
            <w:ind w:left="720"/>
            <w:tabs>
              <w:tab w:val="right" w:leader="dot" w:pos="9026"/>
            </w:tabs>
            <w:spacing w:before="120" w:after="60"/>
          </w:pPr>
          <w:hyperlink w:anchor="_Toc100061" w:history="1">
            <w:r>
              <w:rPr>
                <w:rStyle w:val="Hyperlink"/>
              </w:rPr>
              <w:t>11.2.2 WhatsApp Module (src/lib/whatsapp.ts)</w:t>
            </w:r>
            <w:r>
              <w:tab/>
            </w:r>
            <w:r>
              <w:fldChar w:fldCharType="begin"/>
            </w:r>
            <w:r>
              <w:instrText xml:space="preserve"> PAGEREF _Toc100061 \h </w:instrText>
            </w:r>
            <w:r>
              <w:fldChar w:fldCharType="separate"/>
            </w:r>
            <w:r>
              <w:t>19</w:t>
            </w:r>
            <w:r>
              <w:fldChar w:fldCharType="end"/>
            </w:r>
          </w:hyperlink>
        </w:p>
        <w:p>
          <w:pPr>
            <w:pStyle w:val="12"/>
            <w:ind w:left="720"/>
            <w:tabs>
              <w:tab w:val="right" w:leader="dot" w:pos="9026"/>
            </w:tabs>
            <w:spacing w:before="120" w:after="60"/>
          </w:pPr>
          <w:hyperlink w:anchor="_Toc100062" w:history="1">
            <w:r>
              <w:rPr>
                <w:rStyle w:val="Hyperlink"/>
              </w:rPr>
              <w:t>11.2.3 WhatsApp Pricing &amp; Rate Limits</w:t>
            </w:r>
            <w:r>
              <w:tab/>
            </w:r>
            <w:r>
              <w:fldChar w:fldCharType="begin"/>
            </w:r>
            <w:r>
              <w:instrText xml:space="preserve"> PAGEREF _Toc100062 \h </w:instrText>
            </w:r>
            <w:r>
              <w:fldChar w:fldCharType="separate"/>
            </w:r>
            <w:r>
              <w:t>20</w:t>
            </w:r>
            <w:r>
              <w:fldChar w:fldCharType="end"/>
            </w:r>
          </w:hyperlink>
        </w:p>
        <w:p>
          <w:pPr>
            <w:pStyle w:val="11"/>
            <w:ind w:left="360"/>
            <w:tabs>
              <w:tab w:val="right" w:leader="dot" w:pos="9026"/>
            </w:tabs>
            <w:spacing w:before="120" w:after="60"/>
          </w:pPr>
          <w:hyperlink w:anchor="_Toc100063" w:history="1">
            <w:r>
              <w:rPr>
                <w:rStyle w:val="Hyperlink"/>
              </w:rPr>
              <w:t>11.3 Fail-Safe Pattern</w:t>
            </w:r>
            <w:r>
              <w:tab/>
            </w:r>
            <w:r>
              <w:fldChar w:fldCharType="begin"/>
            </w:r>
            <w:r>
              <w:instrText xml:space="preserve"> PAGEREF _Toc100063 \h </w:instrText>
            </w:r>
            <w:r>
              <w:fldChar w:fldCharType="separate"/>
            </w:r>
            <w:r>
              <w:t>20</w:t>
            </w:r>
            <w:r>
              <w:fldChar w:fldCharType="end"/>
            </w:r>
          </w:hyperlink>
        </w:p>
        <w:p>
          <w:pPr>
            <w:pStyle w:val="9"/>
            <w:tabs>
              <w:tab w:val="right" w:leader="dot" w:pos="9026"/>
            </w:tabs>
            <w:spacing w:before="120" w:after="60"/>
          </w:pPr>
          <w:hyperlink w:anchor="_Toc100064" w:history="1">
            <w:r>
              <w:rPr>
                <w:rStyle w:val="Hyperlink"/>
              </w:rPr>
              <w:t>12. Cost Analysis &amp; Pricing</w:t>
            </w:r>
            <w:r>
              <w:tab/>
            </w:r>
            <w:r>
              <w:fldChar w:fldCharType="begin"/>
            </w:r>
            <w:r>
              <w:instrText xml:space="preserve"> PAGEREF _Toc100064 \h </w:instrText>
            </w:r>
            <w:r>
              <w:fldChar w:fldCharType="separate"/>
            </w:r>
            <w:r>
              <w:t>20</w:t>
            </w:r>
            <w:r>
              <w:fldChar w:fldCharType="end"/>
            </w:r>
          </w:hyperlink>
        </w:p>
        <w:p>
          <w:pPr>
            <w:pStyle w:val="11"/>
            <w:ind w:left="360"/>
            <w:tabs>
              <w:tab w:val="right" w:leader="dot" w:pos="9026"/>
            </w:tabs>
            <w:spacing w:before="120" w:after="60"/>
          </w:pPr>
          <w:hyperlink w:anchor="_Toc100065" w:history="1">
            <w:r>
              <w:rPr>
                <w:rStyle w:val="Hyperlink"/>
              </w:rPr>
              <w:t>12.1 Per-Report AI Cost</w:t>
            </w:r>
            <w:r>
              <w:tab/>
            </w:r>
            <w:r>
              <w:fldChar w:fldCharType="begin"/>
            </w:r>
            <w:r>
              <w:instrText xml:space="preserve"> PAGEREF _Toc100065 \h </w:instrText>
            </w:r>
            <w:r>
              <w:fldChar w:fldCharType="separate"/>
            </w:r>
            <w:r>
              <w:t>20</w:t>
            </w:r>
            <w:r>
              <w:fldChar w:fldCharType="end"/>
            </w:r>
          </w:hyperlink>
        </w:p>
        <w:p>
          <w:pPr>
            <w:pStyle w:val="11"/>
            <w:ind w:left="360"/>
            <w:tabs>
              <w:tab w:val="right" w:leader="dot" w:pos="9026"/>
            </w:tabs>
            <w:spacing w:before="120" w:after="60"/>
          </w:pPr>
          <w:hyperlink w:anchor="_Toc100066" w:history="1">
            <w:r>
              <w:rPr>
                <w:rStyle w:val="Hyperlink"/>
              </w:rPr>
              <w:t>12.2 Platform Cost at Scale</w:t>
            </w:r>
            <w:r>
              <w:tab/>
            </w:r>
            <w:r>
              <w:fldChar w:fldCharType="begin"/>
            </w:r>
            <w:r>
              <w:instrText xml:space="preserve"> PAGEREF _Toc100066 \h </w:instrText>
            </w:r>
            <w:r>
              <w:fldChar w:fldCharType="separate"/>
            </w:r>
            <w:r>
              <w:t>21</w:t>
            </w:r>
            <w:r>
              <w:fldChar w:fldCharType="end"/>
            </w:r>
          </w:hyperlink>
        </w:p>
        <w:p>
          <w:pPr>
            <w:pStyle w:val="11"/>
            <w:ind w:left="360"/>
            <w:tabs>
              <w:tab w:val="right" w:leader="dot" w:pos="9026"/>
            </w:tabs>
            <w:spacing w:before="120" w:after="60"/>
          </w:pPr>
          <w:hyperlink w:anchor="_Toc100067" w:history="1">
            <w:r>
              <w:rPr>
                <w:rStyle w:val="Hyperlink"/>
              </w:rPr>
              <w:t>12.3 Pricing Recommendation</w:t>
            </w:r>
            <w:r>
              <w:tab/>
            </w:r>
            <w:r>
              <w:fldChar w:fldCharType="begin"/>
            </w:r>
            <w:r>
              <w:instrText xml:space="preserve"> PAGEREF _Toc100067 \h </w:instrText>
            </w:r>
            <w:r>
              <w:fldChar w:fldCharType="separate"/>
            </w:r>
            <w:r>
              <w:t>21</w:t>
            </w:r>
            <w:r>
              <w:fldChar w:fldCharType="end"/>
            </w:r>
          </w:hyperlink>
        </w:p>
        <w:p>
          <w:pPr>
            <w:pStyle w:val="11"/>
            <w:ind w:left="360"/>
            <w:tabs>
              <w:tab w:val="right" w:leader="dot" w:pos="9026"/>
            </w:tabs>
            <w:spacing w:before="120" w:after="60"/>
          </w:pPr>
          <w:hyperlink w:anchor="_Toc100068" w:history="1">
            <w:r>
              <w:rPr>
                <w:rStyle w:val="Hyperlink"/>
              </w:rPr>
              <w:t>12.4 Integration with Phase 1-5 Defenses</w:t>
            </w:r>
            <w:r>
              <w:tab/>
            </w:r>
            <w:r>
              <w:fldChar w:fldCharType="begin"/>
            </w:r>
            <w:r>
              <w:instrText xml:space="preserve"> PAGEREF _Toc100068 \h </w:instrText>
            </w:r>
            <w:r>
              <w:fldChar w:fldCharType="separate"/>
            </w:r>
            <w:r>
              <w:t>21</w:t>
            </w:r>
            <w:r>
              <w:fldChar w:fldCharType="end"/>
            </w:r>
          </w:hyperlink>
        </w:p>
        <w:p>
          <w:pPr>
            <w:pStyle w:val="9"/>
            <w:tabs>
              <w:tab w:val="right" w:leader="dot" w:pos="9026"/>
            </w:tabs>
            <w:spacing w:before="120" w:after="60"/>
          </w:pPr>
          <w:hyperlink w:anchor="_Toc100069" w:history="1">
            <w:r>
              <w:rPr>
                <w:rStyle w:val="Hyperlink"/>
              </w:rPr>
              <w:t>13. Phased Implementation Roadmap</w:t>
            </w:r>
            <w:r>
              <w:tab/>
            </w:r>
            <w:r>
              <w:fldChar w:fldCharType="begin"/>
            </w:r>
            <w:r>
              <w:instrText xml:space="preserve"> PAGEREF _Toc100069 \h </w:instrText>
            </w:r>
            <w:r>
              <w:fldChar w:fldCharType="separate"/>
            </w:r>
            <w:r>
              <w:t>22</w:t>
            </w:r>
            <w:r>
              <w:fldChar w:fldCharType="end"/>
            </w:r>
          </w:hyperlink>
        </w:p>
        <w:p>
          <w:pPr>
            <w:pStyle w:val="11"/>
            <w:ind w:left="360"/>
            <w:tabs>
              <w:tab w:val="right" w:leader="dot" w:pos="9026"/>
            </w:tabs>
            <w:spacing w:before="120" w:after="60"/>
          </w:pPr>
          <w:hyperlink w:anchor="_Toc100070" w:history="1">
            <w:r>
              <w:rPr>
                <w:rStyle w:val="Hyperlink"/>
              </w:rPr>
              <w:t>13.1 Phase A — Data Model &amp; Occasion Calendar (Week 1-2, 8 hours)</w:t>
            </w:r>
            <w:r>
              <w:tab/>
            </w:r>
            <w:r>
              <w:fldChar w:fldCharType="begin"/>
            </w:r>
            <w:r>
              <w:instrText xml:space="preserve"> PAGEREF _Toc100070 \h </w:instrText>
            </w:r>
            <w:r>
              <w:fldChar w:fldCharType="separate"/>
            </w:r>
            <w:r>
              <w:t>22</w:t>
            </w:r>
            <w:r>
              <w:fldChar w:fldCharType="end"/>
            </w:r>
          </w:hyperlink>
        </w:p>
        <w:p>
          <w:pPr>
            <w:pStyle w:val="11"/>
            <w:ind w:left="360"/>
            <w:tabs>
              <w:tab w:val="right" w:leader="dot" w:pos="9026"/>
            </w:tabs>
            <w:spacing w:before="120" w:after="60"/>
          </w:pPr>
          <w:hyperlink w:anchor="_Toc100071" w:history="1">
            <w:r>
              <w:rPr>
                <w:rStyle w:val="Hyperlink"/>
              </w:rPr>
              <w:t>13.2 Phase B — AI Prediction &amp; Report Generation (Week 3-4, 12 hours)</w:t>
            </w:r>
            <w:r>
              <w:tab/>
            </w:r>
            <w:r>
              <w:fldChar w:fldCharType="begin"/>
            </w:r>
            <w:r>
              <w:instrText xml:space="preserve"> PAGEREF _Toc100071 \h </w:instrText>
            </w:r>
            <w:r>
              <w:fldChar w:fldCharType="separate"/>
            </w:r>
            <w:r>
              <w:t>22</w:t>
            </w:r>
            <w:r>
              <w:fldChar w:fldCharType="end"/>
            </w:r>
          </w:hyperlink>
        </w:p>
        <w:p>
          <w:pPr>
            <w:pStyle w:val="11"/>
            <w:ind w:left="360"/>
            <w:tabs>
              <w:tab w:val="right" w:leader="dot" w:pos="9026"/>
            </w:tabs>
            <w:spacing w:before="120" w:after="60"/>
          </w:pPr>
          <w:hyperlink w:anchor="_Toc100072" w:history="1">
            <w:r>
              <w:rPr>
                <w:rStyle w:val="Hyperlink"/>
              </w:rPr>
              <w:t>13.3 Phase C — Schedule Builder &amp; Checker (Week 5, 6 hours)</w:t>
            </w:r>
            <w:r>
              <w:tab/>
            </w:r>
            <w:r>
              <w:fldChar w:fldCharType="begin"/>
            </w:r>
            <w:r>
              <w:instrText xml:space="preserve"> PAGEREF _Toc100072 \h </w:instrText>
            </w:r>
            <w:r>
              <w:fldChar w:fldCharType="separate"/>
            </w:r>
            <w:r>
              <w:t>23</w:t>
            </w:r>
            <w:r>
              <w:fldChar w:fldCharType="end"/>
            </w:r>
          </w:hyperlink>
        </w:p>
        <w:p>
          <w:pPr>
            <w:pStyle w:val="11"/>
            <w:ind w:left="360"/>
            <w:tabs>
              <w:tab w:val="right" w:leader="dot" w:pos="9026"/>
            </w:tabs>
            <w:spacing w:before="120" w:after="60"/>
          </w:pPr>
          <w:hyperlink w:anchor="_Toc100073" w:history="1">
            <w:r>
              <w:rPr>
                <w:rStyle w:val="Hyperlink"/>
              </w:rPr>
              <w:t>13.4 Phase D — Email Delivery &amp; Worker (Week 6, 4 hours)</w:t>
            </w:r>
            <w:r>
              <w:tab/>
            </w:r>
            <w:r>
              <w:fldChar w:fldCharType="begin"/>
            </w:r>
            <w:r>
              <w:instrText xml:space="preserve"> PAGEREF _Toc100073 \h </w:instrText>
            </w:r>
            <w:r>
              <w:fldChar w:fldCharType="separate"/>
            </w:r>
            <w:r>
              <w:t>23</w:t>
            </w:r>
            <w:r>
              <w:fldChar w:fldCharType="end"/>
            </w:r>
          </w:hyperlink>
        </w:p>
        <w:p>
          <w:pPr>
            <w:pStyle w:val="11"/>
            <w:ind w:left="360"/>
            <w:tabs>
              <w:tab w:val="right" w:leader="dot" w:pos="9026"/>
            </w:tabs>
            <w:spacing w:before="120" w:after="60"/>
          </w:pPr>
          <w:hyperlink w:anchor="_Toc100074" w:history="1">
            <w:r>
              <w:rPr>
                <w:rStyle w:val="Hyperlink"/>
              </w:rPr>
              <w:t>13.5 Phase E — WhatsApp Business API (Week 7-8, 8 hours)</w:t>
            </w:r>
            <w:r>
              <w:tab/>
            </w:r>
            <w:r>
              <w:fldChar w:fldCharType="begin"/>
            </w:r>
            <w:r>
              <w:instrText xml:space="preserve"> PAGEREF _Toc100074 \h </w:instrText>
            </w:r>
            <w:r>
              <w:fldChar w:fldCharType="separate"/>
            </w:r>
            <w:r>
              <w:t>24</w:t>
            </w:r>
            <w:r>
              <w:fldChar w:fldCharType="end"/>
            </w:r>
          </w:hyperlink>
        </w:p>
        <w:p>
          <w:pPr>
            <w:pStyle w:val="11"/>
            <w:ind w:left="360"/>
            <w:tabs>
              <w:tab w:val="right" w:leader="dot" w:pos="9026"/>
            </w:tabs>
            <w:spacing w:before="120" w:after="60"/>
          </w:pPr>
          <w:hyperlink w:anchor="_Toc100075" w:history="1">
            <w:r>
              <w:rPr>
                <w:rStyle w:val="Hyperlink"/>
              </w:rPr>
              <w:t>13.6 Roadmap Summary</w:t>
            </w:r>
            <w:r>
              <w:tab/>
            </w:r>
            <w:r>
              <w:fldChar w:fldCharType="begin"/>
            </w:r>
            <w:r>
              <w:instrText xml:space="preserve"> PAGEREF _Toc100075 \h </w:instrText>
            </w:r>
            <w:r>
              <w:fldChar w:fldCharType="separate"/>
            </w:r>
            <w:r>
              <w:t>24</w:t>
            </w:r>
            <w:r>
              <w:fldChar w:fldCharType="end"/>
            </w:r>
          </w:hyperlink>
        </w:p>
        <w:p>
          <w:pPr>
            <w:pStyle w:val="9"/>
            <w:tabs>
              <w:tab w:val="right" w:leader="dot" w:pos="9026"/>
            </w:tabs>
            <w:spacing w:before="120" w:after="60"/>
          </w:pPr>
          <w:hyperlink w:anchor="_Toc100076" w:history="1">
            <w:r>
              <w:rPr>
                <w:rStyle w:val="Hyperlink"/>
              </w:rPr>
              <w:t>14. Risks &amp; Mitigation</w:t>
            </w:r>
            <w:r>
              <w:tab/>
            </w:r>
            <w:r>
              <w:fldChar w:fldCharType="begin"/>
            </w:r>
            <w:r>
              <w:instrText xml:space="preserve"> PAGEREF _Toc100076 \h </w:instrText>
            </w:r>
            <w:r>
              <w:fldChar w:fldCharType="separate"/>
            </w:r>
            <w:r>
              <w:t>24</w:t>
            </w:r>
            <w:r>
              <w:fldChar w:fldCharType="end"/>
            </w:r>
          </w:hyperlink>
        </w:p>
        <w:p>
          <w:pPr>
            <w:pStyle w:val="11"/>
            <w:ind w:left="360"/>
            <w:tabs>
              <w:tab w:val="right" w:leader="dot" w:pos="9026"/>
            </w:tabs>
            <w:spacing w:before="120" w:after="60"/>
          </w:pPr>
          <w:hyperlink w:anchor="_Toc100077" w:history="1">
            <w:r>
              <w:rPr>
                <w:rStyle w:val="Hyperlink"/>
              </w:rPr>
              <w:t>14.1 Risk 1: AI Hallucination on Predictions (Severity 4, Likelihood 3)</w:t>
            </w:r>
            <w:r>
              <w:tab/>
            </w:r>
            <w:r>
              <w:fldChar w:fldCharType="begin"/>
            </w:r>
            <w:r>
              <w:instrText xml:space="preserve"> PAGEREF _Toc100077 \h </w:instrText>
            </w:r>
            <w:r>
              <w:fldChar w:fldCharType="separate"/>
            </w:r>
            <w:r>
              <w:t>25</w:t>
            </w:r>
            <w:r>
              <w:fldChar w:fldCharType="end"/>
            </w:r>
          </w:hyperlink>
        </w:p>
        <w:p>
          <w:pPr>
            <w:pStyle w:val="11"/>
            <w:ind w:left="360"/>
            <w:tabs>
              <w:tab w:val="right" w:leader="dot" w:pos="9026"/>
            </w:tabs>
            <w:spacing w:before="120" w:after="60"/>
          </w:pPr>
          <w:hyperlink w:anchor="_Toc100078" w:history="1">
            <w:r>
              <w:rPr>
                <w:rStyle w:val="Hyperlink"/>
              </w:rPr>
              <w:t>14.2 Risk 2: Occasion Date Inaccuracy (Severity 3, Likelihood 4)</w:t>
            </w:r>
            <w:r>
              <w:tab/>
            </w:r>
            <w:r>
              <w:fldChar w:fldCharType="begin"/>
            </w:r>
            <w:r>
              <w:instrText xml:space="preserve"> PAGEREF _Toc100078 \h </w:instrText>
            </w:r>
            <w:r>
              <w:fldChar w:fldCharType="separate"/>
            </w:r>
            <w:r>
              <w:t>25</w:t>
            </w:r>
            <w:r>
              <w:fldChar w:fldCharType="end"/>
            </w:r>
          </w:hyperlink>
        </w:p>
        <w:p>
          <w:pPr>
            <w:pStyle w:val="11"/>
            <w:ind w:left="360"/>
            <w:tabs>
              <w:tab w:val="right" w:leader="dot" w:pos="9026"/>
            </w:tabs>
            <w:spacing w:before="120" w:after="60"/>
          </w:pPr>
          <w:hyperlink w:anchor="_Toc100079" w:history="1">
            <w:r>
              <w:rPr>
                <w:rStyle w:val="Hyperlink"/>
              </w:rPr>
              <w:t>14.3 Risk 3: Insufficient Historical Data (Severity 2, Likelihood 5)</w:t>
            </w:r>
            <w:r>
              <w:tab/>
            </w:r>
            <w:r>
              <w:fldChar w:fldCharType="begin"/>
            </w:r>
            <w:r>
              <w:instrText xml:space="preserve"> PAGEREF _Toc100079 \h </w:instrText>
            </w:r>
            <w:r>
              <w:fldChar w:fldCharType="separate"/>
            </w:r>
            <w:r>
              <w:t>25</w:t>
            </w:r>
            <w:r>
              <w:fldChar w:fldCharType="end"/>
            </w:r>
          </w:hyperlink>
        </w:p>
        <w:p>
          <w:pPr>
            <w:pStyle w:val="11"/>
            <w:ind w:left="360"/>
            <w:tabs>
              <w:tab w:val="right" w:leader="dot" w:pos="9026"/>
            </w:tabs>
            <w:spacing w:before="120" w:after="60"/>
          </w:pPr>
          <w:hyperlink w:anchor="_Toc100080" w:history="1">
            <w:r>
              <w:rPr>
                <w:rStyle w:val="Hyperlink"/>
              </w:rPr>
              <w:t>14.4 Risk 4: WhatsApp API Approval Delay (Severity 2, Likelihood 4)</w:t>
            </w:r>
            <w:r>
              <w:tab/>
            </w:r>
            <w:r>
              <w:fldChar w:fldCharType="begin"/>
            </w:r>
            <w:r>
              <w:instrText xml:space="preserve"> PAGEREF _Toc100080 \h </w:instrText>
            </w:r>
            <w:r>
              <w:fldChar w:fldCharType="separate"/>
            </w:r>
            <w:r>
              <w:t>25</w:t>
            </w:r>
            <w:r>
              <w:fldChar w:fldCharType="end"/>
            </w:r>
          </w:hyperlink>
        </w:p>
        <w:p>
          <w:pPr>
            <w:pStyle w:val="11"/>
            <w:ind w:left="360"/>
            <w:tabs>
              <w:tab w:val="right" w:leader="dot" w:pos="9026"/>
            </w:tabs>
            <w:spacing w:before="120" w:after="60"/>
          </w:pPr>
          <w:hyperlink w:anchor="_Toc100081" w:history="1">
            <w:r>
              <w:rPr>
                <w:rStyle w:val="Hyperlink"/>
              </w:rPr>
              <w:t>14.5 Risk 5: Cost Overrun at Scale (Severity 3, Likelihood 2)</w:t>
            </w:r>
            <w:r>
              <w:tab/>
            </w:r>
            <w:r>
              <w:fldChar w:fldCharType="begin"/>
            </w:r>
            <w:r>
              <w:instrText xml:space="preserve"> PAGEREF _Toc100081 \h </w:instrText>
            </w:r>
            <w:r>
              <w:fldChar w:fldCharType="separate"/>
            </w:r>
            <w:r>
              <w:t>26</w:t>
            </w:r>
            <w:r>
              <w:fldChar w:fldCharType="end"/>
            </w:r>
          </w:hyperlink>
        </w:p>
        <w:p>
          <w:pPr>
            <w:pStyle w:val="11"/>
            <w:ind w:left="360"/>
            <w:tabs>
              <w:tab w:val="right" w:leader="dot" w:pos="9026"/>
            </w:tabs>
            <w:spacing w:before="120" w:after="60"/>
          </w:pPr>
          <w:hyperlink w:anchor="_Toc100082" w:history="1">
            <w:r>
              <w:rPr>
                <w:rStyle w:val="Hyperlink"/>
              </w:rPr>
              <w:t>14.6 Risk 6: Client Ignores Reports (Severity 4, Likelihood 3)</w:t>
            </w:r>
            <w:r>
              <w:tab/>
            </w:r>
            <w:r>
              <w:fldChar w:fldCharType="begin"/>
            </w:r>
            <w:r>
              <w:instrText xml:space="preserve"> PAGEREF _Toc100082 \h </w:instrText>
            </w:r>
            <w:r>
              <w:fldChar w:fldCharType="separate"/>
            </w:r>
            <w:r>
              <w:t>26</w:t>
            </w:r>
            <w:r>
              <w:fldChar w:fldCharType="end"/>
            </w:r>
          </w:hyperlink>
        </w:p>
        <w:p>
          <w:pPr>
            <w:pStyle w:val="11"/>
            <w:ind w:left="360"/>
            <w:tabs>
              <w:tab w:val="right" w:leader="dot" w:pos="9026"/>
            </w:tabs>
            <w:spacing w:before="120" w:after="60"/>
          </w:pPr>
          <w:hyperlink w:anchor="_Toc100083" w:history="1">
            <w:r>
              <w:rPr>
                <w:rStyle w:val="Hyperlink"/>
              </w:rPr>
              <w:t>14.7 Risk Matrix</w:t>
            </w:r>
            <w:r>
              <w:tab/>
            </w:r>
            <w:r>
              <w:fldChar w:fldCharType="begin"/>
            </w:r>
            <w:r>
              <w:instrText xml:space="preserve"> PAGEREF _Toc100083 \h </w:instrText>
            </w:r>
            <w:r>
              <w:fldChar w:fldCharType="separate"/>
            </w:r>
            <w:r>
              <w:t>26</w:t>
            </w:r>
            <w:r>
              <w:fldChar w:fldCharType="end"/>
            </w:r>
          </w:hyperlink>
        </w:p>
        <w:p>
          <w:pPr>
            <w:pStyle w:val="9"/>
            <w:tabs>
              <w:tab w:val="right" w:leader="dot" w:pos="9026"/>
            </w:tabs>
            <w:spacing w:before="120" w:after="60"/>
          </w:pPr>
          <w:hyperlink w:anchor="_Toc100084" w:history="1">
            <w:r>
              <w:rPr>
                <w:rStyle w:val="Hyperlink"/>
              </w:rPr>
              <w:t>15. Appendix — Prompt Templates &amp; Example Report</w:t>
            </w:r>
            <w:r>
              <w:tab/>
            </w:r>
            <w:r>
              <w:fldChar w:fldCharType="begin"/>
            </w:r>
            <w:r>
              <w:instrText xml:space="preserve"> PAGEREF _Toc100084 \h </w:instrText>
            </w:r>
            <w:r>
              <w:fldChar w:fldCharType="separate"/>
            </w:r>
            <w:r>
              <w:t>26</w:t>
            </w:r>
            <w:r>
              <w:fldChar w:fldCharType="end"/>
            </w:r>
          </w:hyperlink>
        </w:p>
        <w:p>
          <w:pPr>
            <w:pStyle w:val="11"/>
            <w:ind w:left="360"/>
            <w:tabs>
              <w:tab w:val="right" w:leader="dot" w:pos="9026"/>
            </w:tabs>
            <w:spacing w:before="120" w:after="60"/>
          </w:pPr>
          <w:hyperlink w:anchor="_Toc100085" w:history="1">
            <w:r>
              <w:rPr>
                <w:rStyle w:val="Hyperlink"/>
              </w:rPr>
              <w:t>15.1 AI System Prompt Template</w:t>
            </w:r>
            <w:r>
              <w:tab/>
            </w:r>
            <w:r>
              <w:fldChar w:fldCharType="begin"/>
            </w:r>
            <w:r>
              <w:instrText xml:space="preserve"> PAGEREF _Toc100085 \h </w:instrText>
            </w:r>
            <w:r>
              <w:fldChar w:fldCharType="separate"/>
            </w:r>
            <w:r>
              <w:t>27</w:t>
            </w:r>
            <w:r>
              <w:fldChar w:fldCharType="end"/>
            </w:r>
          </w:hyperlink>
        </w:p>
        <w:p>
          <w:pPr>
            <w:pStyle w:val="11"/>
            <w:ind w:left="360"/>
            <w:tabs>
              <w:tab w:val="right" w:leader="dot" w:pos="9026"/>
            </w:tabs>
            <w:spacing w:before="120" w:after="60"/>
          </w:pPr>
          <w:hyperlink w:anchor="_Toc100086" w:history="1">
            <w:r>
              <w:rPr>
                <w:rStyle w:val="Hyperlink"/>
              </w:rPr>
              <w:t>15.2 Example User-Content Payload</w:t>
            </w:r>
            <w:r>
              <w:tab/>
            </w:r>
            <w:r>
              <w:fldChar w:fldCharType="begin"/>
            </w:r>
            <w:r>
              <w:instrText xml:space="preserve"> PAGEREF _Toc100086 \h </w:instrText>
            </w:r>
            <w:r>
              <w:fldChar w:fldCharType="separate"/>
            </w:r>
            <w:r>
              <w:t>27</w:t>
            </w:r>
            <w:r>
              <w:fldChar w:fldCharType="end"/>
            </w:r>
          </w:hyperlink>
        </w:p>
        <w:p>
          <w:pPr>
            <w:pStyle w:val="11"/>
            <w:ind w:left="360"/>
            <w:tabs>
              <w:tab w:val="right" w:leader="dot" w:pos="9026"/>
            </w:tabs>
            <w:spacing w:before="120" w:after="60"/>
          </w:pPr>
          <w:hyperlink w:anchor="_Toc100087" w:history="1">
            <w:r>
              <w:rPr>
                <w:rStyle w:val="Hyperlink"/>
              </w:rPr>
              <w:t>15.3 Example Report Output</w:t>
            </w:r>
            <w:r>
              <w:tab/>
            </w:r>
            <w:r>
              <w:fldChar w:fldCharType="begin"/>
            </w:r>
            <w:r>
              <w:instrText xml:space="preserve"> PAGEREF _Toc100087 \h </w:instrText>
            </w:r>
            <w:r>
              <w:fldChar w:fldCharType="separate"/>
            </w:r>
            <w:r>
              <w:t>27</w:t>
            </w:r>
            <w:r>
              <w:fldChar w:fldCharType="end"/>
            </w:r>
          </w:hyperlink>
        </w:p>
        <w:p>
          <w:pPr>
            <w:pStyle w:val="11"/>
            <w:ind w:left="360"/>
            <w:tabs>
              <w:tab w:val="right" w:leader="dot" w:pos="9026"/>
            </w:tabs>
            <w:spacing w:before="120" w:after="60"/>
          </w:pPr>
          <w:hyperlink w:anchor="_Toc100088" w:history="1">
            <w:r>
              <w:rPr>
                <w:rStyle w:val="Hyperlink"/>
              </w:rPr>
              <w:t>15.4 Bangladesh Holiday Calendar 2026-2027</w:t>
            </w:r>
            <w:r>
              <w:tab/>
            </w:r>
            <w:r>
              <w:fldChar w:fldCharType="begin"/>
            </w:r>
            <w:r>
              <w:instrText xml:space="preserve"> PAGEREF _Toc100088 \h </w:instrText>
            </w:r>
            <w:r>
              <w:fldChar w:fldCharType="separate"/>
            </w:r>
            <w:r>
              <w:t>28</w:t>
            </w:r>
            <w:r>
              <w:fldChar w:fldCharType="end"/>
            </w:r>
          </w:hyperlink>
        </w:p>
        <w:p>
          <w:pPr>
            <w:pStyle w:val="11"/>
            <w:ind w:left="360"/>
            <w:tabs>
              <w:tab w:val="right" w:leader="dot" w:pos="9026"/>
            </w:tabs>
            <w:spacing w:before="120" w:after="60"/>
          </w:pPr>
          <w:hyperlink w:anchor="_Toc100089" w:history="1">
            <w:r>
              <w:rPr>
                <w:rStyle w:val="Hyperlink"/>
              </w:rPr>
              <w:t>15.5 Implementation Checklist</w:t>
            </w:r>
            <w:r>
              <w:tab/>
            </w:r>
            <w:r>
              <w:fldChar w:fldCharType="begin"/>
            </w:r>
            <w:r>
              <w:instrText xml:space="preserve"> PAGEREF _Toc100089 \h </w:instrText>
            </w:r>
            <w:r>
              <w:fldChar w:fldCharType="separate"/>
            </w:r>
            <w:r>
              <w:t>28</w:t>
            </w:r>
            <w:r>
              <w:fldChar w:fldCharType="end"/>
            </w:r>
          </w:hyperlink>
        </w:p>
        <w:p>
          <w:r>
            <w:fldChar w:fldCharType="end"/>
          </w:r>
        </w:p>
      </w:sdtContent>
    </w:sdt>
    <w:p>
      <w:pPr>
        <w:spacing w:after="0" w:before="240" w:line="312"/>
      </w:pPr>
      <w:r>
        <w:rPr>
          <w:rFonts w:ascii="Calibri" w:eastAsia="Microsoft YaHei"/>
          <w:i/>
          <w:iCs/>
          <w:color w:val="6B7280"/>
          <w:sz w:val="18"/>
          <w:szCs w:val="18"/>
        </w:rPr>
        <w:t xml:space="preserve">Note: This Table of Contents is generated via field codes. To refresh page numbers after editing,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360" w:line="312"/>
      </w:pPr>
      <w:bookmarkStart w:id="100000" w:name="_Toc100000"/>
      <w:r>
        <w:rPr>
          <w:rFonts w:ascii="Calibri" w:eastAsia="Microsoft YaHei"/>
          <w:b/>
          <w:bCs/>
          <w:color w:val="064E3B"/>
          <w:sz w:val="32"/>
          <w:szCs w:val="32"/>
        </w:rPr>
        <w:t xml:space="preserve">1. Executive Summary</w:t>
      </w:r>
      <w:bookmarkEnd w:id="100000"/>
    </w:p>
    <w:p>
      <w:pPr>
        <w:spacing w:after="120" w:before="0" w:line="312"/>
        <w:ind w:firstLine="0"/>
        <w:jc w:val="both"/>
      </w:pPr>
      <w:r>
        <w:rPr>
          <w:rFonts w:ascii="Calibri" w:eastAsia="Microsoft YaHei"/>
          <w:color w:val="1F2937"/>
          <w:sz w:val="22"/>
          <w:szCs w:val="22"/>
        </w:rPr>
        <w:t xml:space="preserve">The AI Report Scheduling System is the single most important retention feature for InventoryOS. It automatically generates a personalized weekly sales prediction report for every pharmacy client and delivers it via Email and WhatsApp. The report tells the pharmacy owner exactly what to stock, what to order, and what to expect in the coming week — based on their own 1-year sales history combined with the Bangladesh occasion calendar (Eid, Puja, Fridays, government holidays). This document specifies the complete implementation: data model, prediction algorithm, API endpoints, UI, automation, delivery, cost, and a phased roadmap.</w:t>
      </w:r>
    </w:p>
    <w:p>
      <w:pPr>
        <w:spacing w:after="120" w:before="0" w:line="312"/>
        <w:ind w:firstLine="0"/>
        <w:jc w:val="both"/>
      </w:pPr>
      <w:r>
        <w:rPr>
          <w:rFonts w:ascii="Calibri" w:eastAsia="Microsoft YaHei"/>
          <w:color w:val="1F2937"/>
          <w:sz w:val="22"/>
          <w:szCs w:val="22"/>
        </w:rPr>
        <w:t xml:space="preserve">The core insight is that pharmacy sales in Bangladesh are heavily occasion-driven. During Eid week, sales of food-poisoning medications, gifts, and seasonal items spike 200-400 percent. During Puja, first-aid supplies and bandages surge. On Fridays (the weekend), overall footfall increases. A generic inventory tool cannot predict these spikes because it does not know about Bangladeshi occasions. InventoryOS does — and that is the differentiator that makes this report something clients will actually read every Monday morning, renew their subscription for, and forward to their suppliers.</w:t>
      </w:r>
    </w:p>
    <w:p>
      <w:pPr>
        <w:spacing w:after="120" w:before="0" w:line="312"/>
        <w:ind w:firstLine="0"/>
        <w:jc w:val="both"/>
      </w:pPr>
      <w:r>
        <w:rPr>
          <w:rFonts w:ascii="Calibri" w:eastAsia="Microsoft YaHei"/>
          <w:color w:val="1F2937"/>
          <w:sz w:val="22"/>
          <w:szCs w:val="22"/>
        </w:rPr>
        <w:t xml:space="preserve">The system reuses the existing AI cost-control infrastructure from Phases 1-5 (max_tokens cap, circuit breaker, kill-switch, configurable thresholds). This means the feature can scale to thousands of clients without financial risk. At 100 clients receiving a weekly report, the platform AI cost is approximately 78 BDT per month. At 1,000 clients it is 780 BDT per month. The feature is bundled into the Pro+AI tier at no extra cost because it is a retention play, not a revenue play — the report keeps clients subscribed, and the subscription revenue is what matters.</w:t>
      </w:r>
    </w:p>
    <w:p>
      <w:pPr>
        <w:pStyle w:val="Heading2"/>
        <w:spacing w:after="140" w:before="280" w:line="312"/>
      </w:pPr>
      <w:bookmarkStart w:id="100001" w:name="_Toc100001"/>
      <w:r>
        <w:rPr>
          <w:rFonts w:ascii="Calibri" w:eastAsia="Microsoft YaHei"/>
          <w:b/>
          <w:bCs/>
          <w:color w:val="064E3B"/>
          <w:sz w:val="28"/>
          <w:szCs w:val="28"/>
        </w:rPr>
        <w:t xml:space="preserve">1.1 What the Client Receives</w:t>
      </w:r>
      <w:bookmarkEnd w:id="100001"/>
    </w:p>
    <w:p>
      <w:pPr>
        <w:spacing w:after="120" w:before="0" w:line="312"/>
        <w:ind w:firstLine="0"/>
        <w:jc w:val="both"/>
      </w:pPr>
      <w:r>
        <w:rPr>
          <w:rFonts w:ascii="Calibri" w:eastAsia="Microsoft YaHei"/>
          <w:color w:val="1F2937"/>
          <w:sz w:val="22"/>
          <w:szCs w:val="22"/>
        </w:rPr>
        <w:t xml:space="preserve">Every week (or per the configured schedule), each target pharmacy client receives a report containing four sections. First, an executive summary: a 2-3 sentence overview of the week ahead, highlighting the top opportunity and the top risk. Second, big sales spike predictions: the top 3 products predicted to spike, with the percentage and the occasion driving it. Third, the top 20 high-potential items: a table showing each product's predicted sales quantity, predicted profit, current stock, stock status, recommended purchase quantity, and recommended supplier. Fourth, stock risks and actionable recommendations: a list of products that will stock out during the week, with days-until-stockout, recommended purchase quantity, supplier, and urgency level.</w:t>
      </w:r>
    </w:p>
    <w:p>
      <w:pPr>
        <w:pBdr>
          <w:left w:val="single" w:color="8B5CF6" w:sz="18" w:space="12"/>
        </w:pBdr>
        <w:spacing w:after="160" w:before="160" w:line="312"/>
        <w:ind w:left="240"/>
      </w:pPr>
      <w:r>
        <w:rPr>
          <w:rFonts w:ascii="Calibri" w:eastAsia="Microsoft YaHei"/>
          <w:i/>
          <w:iCs/>
          <w:color w:val="1F2937"/>
          <w:sz w:val="22"/>
          <w:szCs w:val="22"/>
        </w:rPr>
        <w:t xml:space="preserve">Example: On Monday June 29, City Pharmacy receives a WhatsApp message. The report says: 'Eid-ul-Adha is in 10 days. Based on last year, your Napa Extra sales will spike 340 percent next week. You currently have 200 boxes; you need 880. Order 680 boxes from Square Pharmaceuticals by Wednesday to arrive in time. Your Amoxicillin 500mg will stock out by Friday — order 300 capsules from Beximco today.' The pharmacy owner forwards this to their supplier. The supplier is impressed. The supplier signs up for InventoryOS.</w:t>
      </w:r>
    </w:p>
    <w:p>
      <w:pPr>
        <w:pStyle w:val="Heading2"/>
        <w:spacing w:after="140" w:before="280" w:line="312"/>
      </w:pPr>
      <w:bookmarkStart w:id="100002" w:name="_Toc100002"/>
      <w:r>
        <w:rPr>
          <w:rFonts w:ascii="Calibri" w:eastAsia="Microsoft YaHei"/>
          <w:b/>
          <w:bCs/>
          <w:color w:val="064E3B"/>
          <w:sz w:val="28"/>
          <w:szCs w:val="28"/>
        </w:rPr>
        <w:t xml:space="preserve">1.2 Business Impact</w:t>
      </w:r>
      <w:bookmarkEnd w:id="100002"/>
    </w:p>
    <w:p>
      <w:pPr>
        <w:spacing w:after="120" w:before="0" w:line="312"/>
        <w:ind w:firstLine="0"/>
        <w:jc w:val="both"/>
      </w:pPr>
      <w:r>
        <w:rPr>
          <w:rFonts w:ascii="Calibri" w:eastAsia="Microsoft YaHei"/>
          <w:color w:val="1F2937"/>
          <w:sz w:val="22"/>
          <w:szCs w:val="22"/>
        </w:rPr>
        <w:t xml:space="preserve">Three measurable outcomes are expected from this feature. First, reduced churn: clients who receive a weekly report have a weekly touchpoint with the product and are significantly less likely to cancel. Industry benchmarks for SaaS retention tools suggest a 15-25 percent reduction in monthly churn for products with weekly engagement touchpoints. Second, increased perceived value: the report is the most tangible demonstration of the AI features clients are paying for — it turns abstract AI capabilities into a concrete, weekly, money-saving recommendation. Third, organic growth via forwarding: pharmacy owners will forward the report to their suppliers (to place orders) and to other pharmacy owners (to show off the tool). Each forwarded report is a free lead.</w:t>
      </w:r>
    </w:p>
    <w:p>
      <w:pPr>
        <w:pStyle w:val="Heading1"/>
        <w:spacing w:after="200" w:before="360" w:line="312"/>
      </w:pPr>
      <w:bookmarkStart w:id="100003" w:name="_Toc100003"/>
      <w:r>
        <w:rPr>
          <w:rFonts w:ascii="Calibri" w:eastAsia="Microsoft YaHei"/>
          <w:b/>
          <w:bCs/>
          <w:color w:val="064E3B"/>
          <w:sz w:val="32"/>
          <w:szCs w:val="32"/>
        </w:rPr>
        <w:t xml:space="preserve">2. Product Vision &amp; The Client Hook</w:t>
      </w:r>
      <w:bookmarkEnd w:id="100003"/>
    </w:p>
    <w:p>
      <w:pPr>
        <w:pStyle w:val="Heading2"/>
        <w:spacing w:after="140" w:before="280" w:line="312"/>
      </w:pPr>
      <w:bookmarkStart w:id="100004" w:name="_Toc100004"/>
      <w:r>
        <w:rPr>
          <w:rFonts w:ascii="Calibri" w:eastAsia="Microsoft YaHei"/>
          <w:b/>
          <w:bCs/>
          <w:color w:val="064E3B"/>
          <w:sz w:val="28"/>
          <w:szCs w:val="28"/>
        </w:rPr>
        <w:t xml:space="preserve">2.1 The Retention Problem</w:t>
      </w:r>
      <w:bookmarkEnd w:id="100004"/>
    </w:p>
    <w:p>
      <w:pPr>
        <w:spacing w:after="120" w:before="0" w:line="312"/>
        <w:ind w:firstLine="0"/>
        <w:jc w:val="both"/>
      </w:pPr>
      <w:r>
        <w:rPr>
          <w:rFonts w:ascii="Calibri" w:eastAsia="Microsoft YaHei"/>
          <w:color w:val="1F2937"/>
          <w:sz w:val="22"/>
          <w:szCs w:val="22"/>
        </w:rPr>
        <w:t xml:space="preserve">Pharmacy owners in Bangladesh do not log into software every day. They are busy behind the counter, dispensing medicines, talking to customers, and managing staff. A typical InventoryOS user might log in once a week to check stock levels, or once a month to review reports. Between those sessions, the product is invisible to them. This is a retention problem: if the client does not think about the product, they will not renew their subscription when it comes due. The generic SaaS solution is email newsletters or push notifications, but those are easy to ignore and feel like marketing, not value.</w:t>
      </w:r>
    </w:p>
    <w:p>
      <w:pPr>
        <w:pStyle w:val="Heading2"/>
        <w:spacing w:after="140" w:before="280" w:line="312"/>
      </w:pPr>
      <w:bookmarkStart w:id="100005" w:name="_Toc100005"/>
      <w:r>
        <w:rPr>
          <w:rFonts w:ascii="Calibri" w:eastAsia="Microsoft YaHei"/>
          <w:b/>
          <w:bCs/>
          <w:color w:val="064E3B"/>
          <w:sz w:val="28"/>
          <w:szCs w:val="28"/>
        </w:rPr>
        <w:t xml:space="preserve">2.2 The Hook Solution</w:t>
      </w:r>
      <w:bookmarkEnd w:id="100005"/>
    </w:p>
    <w:p>
      <w:pPr>
        <w:spacing w:after="120" w:before="0" w:line="312"/>
        <w:ind w:firstLine="0"/>
        <w:jc w:val="both"/>
      </w:pPr>
      <w:r>
        <w:rPr>
          <w:rFonts w:ascii="Calibri" w:eastAsia="Microsoft YaHei"/>
          <w:color w:val="1F2937"/>
          <w:sz w:val="22"/>
          <w:szCs w:val="22"/>
        </w:rPr>
        <w:t xml:space="preserve">The weekly AI report solves this by creating a touchpoint the client actually wants. Instead of the client having to remember to log in and check InventoryOS, InventoryOS comes to them — in their WhatsApp inbox (where Bangladeshi business owners already spend hours per day) or their email. The report is not a marketing message; it is a personalized business intelligence brief that tells them exactly what to do this week to make more money. Once a client has received 4-5 of these reports, they start to depend on them. They plan their week around the recommendations. They show the report to their staff. The report becomes part of their workflow — and canceling InventoryOS means losing that workflow.</w:t>
      </w:r>
    </w:p>
    <w:p>
      <w:pPr>
        <w:pStyle w:val="Heading2"/>
        <w:spacing w:after="140" w:before="280" w:line="312"/>
      </w:pPr>
      <w:bookmarkStart w:id="100006" w:name="_Toc100006"/>
      <w:r>
        <w:rPr>
          <w:rFonts w:ascii="Calibri" w:eastAsia="Microsoft YaHei"/>
          <w:b/>
          <w:bCs/>
          <w:color w:val="064E3B"/>
          <w:sz w:val="28"/>
          <w:szCs w:val="28"/>
        </w:rPr>
        <w:t xml:space="preserve">2.3 The Occasion-Awareness Differentiator</w:t>
      </w:r>
      <w:bookmarkEnd w:id="100006"/>
    </w:p>
    <w:p>
      <w:pPr>
        <w:spacing w:after="120" w:before="0" w:line="312"/>
        <w:ind w:firstLine="0"/>
        <w:jc w:val="both"/>
      </w:pPr>
      <w:r>
        <w:rPr>
          <w:rFonts w:ascii="Calibri" w:eastAsia="Microsoft YaHei"/>
          <w:color w:val="1F2937"/>
          <w:sz w:val="22"/>
          <w:szCs w:val="22"/>
        </w:rPr>
        <w:t xml:space="preserve">The single feature that makes this report better than any competitor is occasion awareness. A generic inventory tool (like Zoho Inventory or QuickBooks) can predict next week's sales by averaging the last 4 weeks. That works for a hardware store in Ohio. It does not work for a pharmacy in Dhaka, where Eid ul-Fitr causes a 300 percent spike in antacid sales (because people overeat during Ramadan breaking-fast meals), where Puja causes a surge in first-aid supplies (because of crowd injuries at pandals), and where every Friday sees a 40 percent increase in overall footfall (because it is the weekly holiday). InventoryOS knows about these occasions because it has a Bangladesh-specific occasion calendar with impact weights, and it knows how each occasion historically affected each product's sales for this specific pharmacy. No competitor has this. This is the moat.</w:t>
      </w:r>
    </w:p>
    <w:p>
      <w:pPr>
        <w:pStyle w:val="Heading2"/>
        <w:spacing w:after="140" w:before="280" w:line="312"/>
      </w:pPr>
      <w:bookmarkStart w:id="100007" w:name="_Toc100007"/>
      <w:r>
        <w:rPr>
          <w:rFonts w:ascii="Calibri" w:eastAsia="Microsoft YaHei"/>
          <w:b/>
          <w:bCs/>
          <w:color w:val="064E3B"/>
          <w:sz w:val="28"/>
          <w:szCs w:val="28"/>
        </w:rPr>
        <w:t xml:space="preserve">2.4 Day in the Life — A Client Scenario</w:t>
      </w:r>
      <w:bookmarkEnd w:id="100007"/>
    </w:p>
    <w:p>
      <w:pPr>
        <w:spacing w:after="120" w:before="0" w:line="312"/>
        <w:ind w:firstLine="0"/>
        <w:jc w:val="both"/>
      </w:pPr>
      <w:r>
        <w:rPr>
          <w:rFonts w:ascii="Calibri" w:eastAsia="Microsoft YaHei"/>
          <w:color w:val="1F2937"/>
          <w:sz w:val="22"/>
          <w:szCs w:val="22"/>
        </w:rPr>
        <w:t xml:space="preserve">It is Monday morning, 8:00 AM. Rahim, the owner of City Pharmacy in Dhanmondi, opens WhatsApp while drinking his morning tea. He sees a message from InventoryOS. The subject line reads: 'City Pharmacy Weekly Prediction — Week of June 29 — Eid Preparation Starts Wednesday.'</w:t>
      </w:r>
    </w:p>
    <w:p>
      <w:pPr>
        <w:spacing w:after="120" w:before="0" w:line="312"/>
        <w:ind w:firstLine="0"/>
        <w:jc w:val="both"/>
      </w:pPr>
      <w:r>
        <w:rPr>
          <w:rFonts w:ascii="Calibri" w:eastAsia="Microsoft YaHei"/>
          <w:color w:val="1F2937"/>
          <w:sz w:val="22"/>
          <w:szCs w:val="22"/>
        </w:rPr>
        <w:t xml:space="preserve">He taps it open. The first thing he sees is the executive summary: 'Next week looks strong — Eid-ul-Adha preparation starts Wednesday. Your top opportunity is Napa Extra (predicted 340 percent sales spike). Your top risk is Amoxicillin 500mg (will stock out by Friday).' Rahim reads this in 10 seconds and already knows what to focus on.</w:t>
      </w:r>
    </w:p>
    <w:p>
      <w:pPr>
        <w:spacing w:after="120" w:before="0" w:line="312"/>
        <w:ind w:firstLine="0"/>
        <w:jc w:val="both"/>
      </w:pPr>
      <w:r>
        <w:rPr>
          <w:rFonts w:ascii="Calibri" w:eastAsia="Microsoft YaHei"/>
          <w:color w:val="1F2937"/>
          <w:sz w:val="22"/>
          <w:szCs w:val="22"/>
        </w:rPr>
        <w:t xml:space="preserve">He scrolls down to the Big Sales Spike Predictions. Three products are listed: Napa Extra (340 percent spike, driven by Eid food poisoning trends), Seclo (220 percent spike, driven by Eid overeating heartburn), and Oral Saline (180 percent spike, driven by Eid dehydration). Each prediction shows the historical basis: 'Last year, Eid week: Napa Extra sold 880 boxes vs. normal 200 boxes.'</w:t>
      </w:r>
    </w:p>
    <w:p>
      <w:pPr>
        <w:spacing w:after="120" w:before="0" w:line="312"/>
        <w:ind w:firstLine="0"/>
        <w:jc w:val="both"/>
      </w:pPr>
      <w:r>
        <w:rPr>
          <w:rFonts w:ascii="Calibri" w:eastAsia="Microsoft YaHei"/>
          <w:color w:val="1F2937"/>
          <w:sz w:val="22"/>
          <w:szCs w:val="22"/>
        </w:rPr>
        <w:t xml:space="preserve">He scrolls to the Top 20 High-Potential Items table. He scans the 'Recommended Purchase Qty' column and sees 6 products flagged in red with 'ORDER NOW' status. He opens his supplier contacts and starts drafting order messages. The report has already told him which supplier to order from and the exact quantity. What used to be a 2-hour Monday morning task (reviewing stock, guessing what to order, calling suppliers) is now a 15-minute task.</w:t>
      </w:r>
    </w:p>
    <w:p>
      <w:pPr>
        <w:spacing w:after="120" w:before="0" w:line="312"/>
        <w:ind w:firstLine="0"/>
        <w:jc w:val="both"/>
      </w:pPr>
      <w:r>
        <w:rPr>
          <w:rFonts w:ascii="Calibri" w:eastAsia="Microsoft YaHei"/>
          <w:color w:val="1F2937"/>
          <w:sz w:val="22"/>
          <w:szCs w:val="22"/>
        </w:rPr>
        <w:t xml:space="preserve">Rahim forwards the report to his junior pharmacist with a note: 'Order everything in red by 10 AM.' He forwards it to his Square Pharmaceuticals rep with a note: 'Need 680 boxes of Napa Extra by Wednesday.' The rep replies in 5 minutes: 'Confirmed, dispatching today.' Rahim has now used InventoryOS for 20 minutes on a Monday morning, and it has saved him 100 minutes. He will not cancel this subscription.</w:t>
      </w:r>
    </w:p>
    <w:p>
      <w:pPr>
        <w:pStyle w:val="Heading1"/>
        <w:spacing w:after="200" w:before="360" w:line="312"/>
      </w:pPr>
      <w:bookmarkStart w:id="100008" w:name="_Toc100008"/>
      <w:r>
        <w:rPr>
          <w:rFonts w:ascii="Calibri" w:eastAsia="Microsoft YaHei"/>
          <w:b/>
          <w:bCs/>
          <w:color w:val="064E3B"/>
          <w:sz w:val="32"/>
          <w:szCs w:val="32"/>
        </w:rPr>
        <w:t xml:space="preserve">3. How It Works — High-Level Flow</w:t>
      </w:r>
      <w:bookmarkEnd w:id="100008"/>
    </w:p>
    <w:p>
      <w:pPr>
        <w:spacing w:after="120" w:before="0" w:line="312"/>
        <w:ind w:firstLine="0"/>
        <w:jc w:val="both"/>
      </w:pPr>
      <w:r>
        <w:rPr>
          <w:rFonts w:ascii="Calibri" w:eastAsia="Microsoft YaHei"/>
          <w:color w:val="1F2937"/>
          <w:sz w:val="22"/>
          <w:szCs w:val="22"/>
        </w:rPr>
        <w:t xml:space="preserve">This section traces the complete journey of a single report, from schedule trigger to client inbox. Understanding this flow is essential before reading the detailed technical sections that follow.</w:t>
      </w:r>
    </w:p>
    <w:p>
      <w:pPr>
        <w:pStyle w:val="Heading2"/>
        <w:spacing w:after="140" w:before="280" w:line="312"/>
      </w:pPr>
      <w:bookmarkStart w:id="100009" w:name="_Toc100009"/>
      <w:r>
        <w:rPr>
          <w:rFonts w:ascii="Calibri" w:eastAsia="Microsoft YaHei"/>
          <w:b/>
          <w:bCs/>
          <w:color w:val="064E3B"/>
          <w:sz w:val="28"/>
          <w:szCs w:val="28"/>
        </w:rPr>
        <w:t xml:space="preserve">3.1 The 8-Step Flow</w:t>
      </w:r>
      <w:bookmarkEnd w:id="100009"/>
    </w:p>
    <w:p>
      <w:pPr>
        <w:spacing w:after="120" w:before="0" w:line="312"/>
        <w:ind w:firstLine="0"/>
        <w:jc w:val="both"/>
      </w:pPr>
      <w:r>
        <w:rPr>
          <w:rFonts w:ascii="Calibri" w:eastAsia="Microsoft YaHei"/>
          <w:color w:val="1F2937"/>
          <w:sz w:val="22"/>
          <w:szCs w:val="22"/>
        </w:rPr>
        <w:t xml:space="preserve">Step 1 — Cron job fires. A background cron job named report-schedule-checker runs every 15 minutes. It queries the ReportSchedule table for all active schedules where the current time has passed the next scheduled run date. For example, if a schedule is set to run every Monday at 6:00 AM, the checker at 6:00 AM on Monday will pick it up.</w:t>
      </w:r>
    </w:p>
    <w:p>
      <w:pPr>
        <w:spacing w:after="120" w:before="0" w:line="312"/>
        <w:ind w:firstLine="0"/>
        <w:jc w:val="both"/>
      </w:pPr>
      <w:r>
        <w:rPr>
          <w:rFonts w:ascii="Calibri" w:eastAsia="Microsoft YaHei"/>
          <w:color w:val="1F2937"/>
          <w:sz w:val="22"/>
          <w:szCs w:val="22"/>
        </w:rPr>
        <w:t xml:space="preserve">Step 2 — Load target client list. For each due schedule, the system determines which businesses should receive a report. If targetClientMode is 'all', all active businesses on the platform are included. If 'selected', only the businesses in targetClientIds are included. A typical schedule might target 5, 50, or 500 businesses.</w:t>
      </w:r>
    </w:p>
    <w:p>
      <w:pPr>
        <w:spacing w:after="120" w:before="0" w:line="312"/>
        <w:ind w:firstLine="0"/>
        <w:jc w:val="both"/>
      </w:pPr>
      <w:r>
        <w:rPr>
          <w:rFonts w:ascii="Calibri" w:eastAsia="Microsoft YaHei"/>
          <w:color w:val="1F2937"/>
          <w:sz w:val="22"/>
          <w:szCs w:val="22"/>
        </w:rPr>
        <w:t xml:space="preserve">Step 3 — Create pending report rows. For each target business, a GeneratedReport row is created with status 'pending'. This separates schedule detection from report generation — a slow AI call for one business will not block report creation for the others. The pending rows are picked up by a separate worker.</w:t>
      </w:r>
    </w:p>
    <w:p>
      <w:pPr>
        <w:spacing w:after="120" w:before="0" w:line="312"/>
        <w:ind w:firstLine="0"/>
        <w:jc w:val="both"/>
      </w:pPr>
      <w:r>
        <w:rPr>
          <w:rFonts w:ascii="Calibri" w:eastAsia="Microsoft YaHei"/>
          <w:color w:val="1F2937"/>
          <w:sz w:val="22"/>
          <w:szCs w:val="22"/>
        </w:rPr>
        <w:t xml:space="preserve">Step 4 — Report generator worker picks up pending rows. A second cron job named report-generator-worker runs every 5 minutes. It queries for GeneratedReport rows with status 'pending', takes the first N (configurable batch size, default 10), and processes them. For each report, it calls the AI prediction algorithm (Section 6) which gathers the business's 1-year sales data, current stock levels, and upcoming occasions, runs the 5-step prediction, and calls GLM-4 to synthesize the report content.</w:t>
      </w:r>
    </w:p>
    <w:p>
      <w:pPr>
        <w:spacing w:after="120" w:before="0" w:line="312"/>
        <w:ind w:firstLine="0"/>
        <w:jc w:val="both"/>
      </w:pPr>
      <w:r>
        <w:rPr>
          <w:rFonts w:ascii="Calibri" w:eastAsia="Microsoft YaHei"/>
          <w:color w:val="1F2937"/>
          <w:sz w:val="22"/>
          <w:szCs w:val="22"/>
        </w:rPr>
        <w:t xml:space="preserve">Step 5 — AI generates the report. The AI receives structured data (not raw queries) and returns a JSON object with four sections: executiveSummary, spikePredictions, topItems (array of 20), stockRisks. The system saves this JSON to the GeneratedReport row, marks status 'completed', and records aiTokensUsed and aiCostEstimate for cost tracking.</w:t>
      </w:r>
    </w:p>
    <w:p>
      <w:pPr>
        <w:spacing w:after="120" w:before="0" w:line="312"/>
        <w:ind w:firstLine="0"/>
        <w:jc w:val="both"/>
      </w:pPr>
      <w:r>
        <w:rPr>
          <w:rFonts w:ascii="Calibri" w:eastAsia="Microsoft YaHei"/>
          <w:color w:val="1F2937"/>
          <w:sz w:val="22"/>
          <w:szCs w:val="22"/>
        </w:rPr>
        <w:t xml:space="preserve">Step 6 — Delivery queued. Once a report is completed, the system creates ReportDelivery rows for each configured channel (email, WhatsApp). If the schedule has deliveryChannels = ['email', 'whatsapp'], two delivery rows are created per business. Each row has status 'queued'.</w:t>
      </w:r>
    </w:p>
    <w:p>
      <w:pPr>
        <w:spacing w:after="120" w:before="0" w:line="312"/>
        <w:ind w:firstLine="0"/>
        <w:jc w:val="both"/>
      </w:pPr>
      <w:r>
        <w:rPr>
          <w:rFonts w:ascii="Calibri" w:eastAsia="Microsoft YaHei"/>
          <w:color w:val="1F2937"/>
          <w:sz w:val="22"/>
          <w:szCs w:val="22"/>
        </w:rPr>
        <w:t xml:space="preserve">Step 7 — Delivery worker sends. A third cron job named report-delivery-worker runs every 1 minute. It picks up 'queued' delivery rows, sends them via the appropriate channel (SMTP for email, WhatsApp Business API for WhatsApp), and updates status to 'sent'. For email, a PDF version of the report is attached. For WhatsApp, a template message is sent with a link to the full report (or a PDF document attachment, depending on WhatsApp template approval).</w:t>
      </w:r>
    </w:p>
    <w:p>
      <w:pPr>
        <w:spacing w:after="120" w:before="0" w:line="312"/>
        <w:ind w:firstLine="0"/>
        <w:jc w:val="both"/>
      </w:pPr>
      <w:r>
        <w:rPr>
          <w:rFonts w:ascii="Calibri" w:eastAsia="Microsoft YaHei"/>
          <w:color w:val="1F2937"/>
          <w:sz w:val="22"/>
          <w:szCs w:val="22"/>
        </w:rPr>
        <w:t xml:space="preserve">Step 8 — Status tracking and retry. The delivery worker tracks status transitions: queued → sent → delivered → read (for WhatsApp) or queued → sent → opened (for email, via a tracking pixel). If a delivery fails, the worker retries up to 3 times with exponential backoff (1 minute, 5 minutes, 15 minutes). After 3 failures, the delivery is marked 'failed' and an alert is sent to the founder via the existing kill-switch notification recipients.</w:t>
      </w:r>
    </w:p>
    <w:p>
      <w:pPr>
        <w:pStyle w:val="Heading2"/>
        <w:spacing w:after="140" w:before="280" w:line="312"/>
      </w:pPr>
      <w:bookmarkStart w:id="100010" w:name="_Toc100010"/>
      <w:r>
        <w:rPr>
          <w:rFonts w:ascii="Calibri" w:eastAsia="Microsoft YaHei"/>
          <w:b/>
          <w:bCs/>
          <w:color w:val="064E3B"/>
          <w:sz w:val="28"/>
          <w:szCs w:val="28"/>
        </w:rPr>
        <w:t xml:space="preserve">3.2 Edge Cases &amp; Fallbacks</w:t>
      </w:r>
      <w:bookmarkEnd w:id="100010"/>
    </w:p>
    <w:p>
      <w:pPr>
        <w:spacing w:after="120" w:before="0" w:line="312"/>
        <w:ind w:firstLine="0"/>
        <w:jc w:val="both"/>
      </w:pPr>
      <w:r>
        <w:rPr>
          <w:rFonts w:ascii="Calibri" w:eastAsia="Microsoft YaHei"/>
          <w:color w:val="1F2937"/>
          <w:sz w:val="22"/>
          <w:szCs w:val="22"/>
        </w:rPr>
        <w:t xml:space="preserve">Three edge cases deserve special handling. First, what if a client has less than 1 year of historical data? The prediction algorithm uses whatever data is available (even 1 month) and applies industry benchmark multipliers for occasions. The report clearly states 'Prediction confidence: Low (less than 3 months of data)' so the client knows to take the numbers with a grain of salt. Second, what if the AI call fails (Z.ai outage, timeout, JSON parse error)? The system generates a deterministic fallback report using just the pre-computed numbers (no AI synthesis) — it shows the raw spike predictions and stock risks without the executive summary prose. The report is still useful, just less polished. Third, what if delivery fails permanently (wrong email, WhatsApp number not registered)? The delivery is marked 'failed' after 3 retries, the GeneratedReport is still saved (so the founder can view it in /admin), and the next week's report will be attempted again automatically.</w:t>
      </w:r>
    </w:p>
    <w:p>
      <w:pPr>
        <w:pStyle w:val="Heading1"/>
        <w:spacing w:after="200" w:before="360" w:line="312"/>
      </w:pPr>
      <w:bookmarkStart w:id="100011" w:name="_Toc100011"/>
      <w:r>
        <w:rPr>
          <w:rFonts w:ascii="Calibri" w:eastAsia="Microsoft YaHei"/>
          <w:b/>
          <w:bCs/>
          <w:color w:val="064E3B"/>
          <w:sz w:val="32"/>
          <w:szCs w:val="32"/>
        </w:rPr>
        <w:t xml:space="preserve">4. Data Model (Prisma Schema)</w:t>
      </w:r>
      <w:bookmarkEnd w:id="100011"/>
    </w:p>
    <w:p>
      <w:pPr>
        <w:spacing w:after="120" w:before="0" w:line="312"/>
        <w:ind w:firstLine="0"/>
        <w:jc w:val="both"/>
      </w:pPr>
      <w:r>
        <w:rPr>
          <w:rFonts w:ascii="Calibri" w:eastAsia="Microsoft YaHei"/>
          <w:color w:val="1F2937"/>
          <w:sz w:val="22"/>
          <w:szCs w:val="22"/>
        </w:rPr>
        <w:t xml:space="preserve">Five new Prisma models are required. They store schedule configuration, occasion definitions, the Bangladesh holiday calendar, generated reports, and delivery tracking. All models use cuid() primary keys, createdAt/updatedAt timestamps, and appropriate indexes for query performance. The models are designed to be fully multi-tenant — every report and delivery is scoped to a businessId, and schedules are platform-wide (managed by super-admin).</w:t>
      </w:r>
    </w:p>
    <w:p>
      <w:pPr>
        <w:pStyle w:val="Heading2"/>
        <w:spacing w:after="140" w:before="280" w:line="312"/>
      </w:pPr>
      <w:bookmarkStart w:id="100012" w:name="_Toc100012"/>
      <w:r>
        <w:rPr>
          <w:rFonts w:ascii="Calibri" w:eastAsia="Microsoft YaHei"/>
          <w:b/>
          <w:bCs/>
          <w:color w:val="064E3B"/>
          <w:sz w:val="28"/>
          <w:szCs w:val="28"/>
        </w:rPr>
        <w:t xml:space="preserve">4.1 ReportSchedule</w:t>
      </w:r>
      <w:bookmarkEnd w:id="100012"/>
    </w:p>
    <w:p>
      <w:pPr>
        <w:spacing w:after="120" w:before="0" w:line="312"/>
        <w:ind w:firstLine="0"/>
        <w:jc w:val="both"/>
      </w:pPr>
      <w:r>
        <w:rPr>
          <w:rFonts w:ascii="Calibri" w:eastAsia="Microsoft YaHei"/>
          <w:color w:val="1F2937"/>
          <w:sz w:val="22"/>
          <w:szCs w:val="22"/>
        </w:rPr>
        <w:t xml:space="preserve">Stores the founder's schedule configuration. Each row defines one recurring schedule (e.g., 'Weekly Monday report for all Pro+AI clients considering Eid and Fridays'). The schedule is platform-wide — it generates reports for multiple businesses.</w:t>
      </w:r>
    </w:p>
    <w:p>
      <w:pPr>
        <w:keepNext/>
        <w:spacing w:after="100" w:before="200"/>
        <w:jc w:val="left"/>
      </w:pPr>
      <w:r>
        <w:rPr>
          <w:rFonts w:ascii="Calibri" w:eastAsia="Microsoft YaHei"/>
          <w:b/>
          <w:bCs/>
          <w:color w:val="064E3B"/>
          <w:sz w:val="21"/>
          <w:szCs w:val="21"/>
        </w:rPr>
        <w:t xml:space="preserve">Table 4.1 — ReportSchedule Model</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Field</w:t>
            </w:r>
          </w:p>
        </w:tc>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Type</w:t>
            </w:r>
          </w:p>
        </w:tc>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Default</w:t>
            </w:r>
          </w:p>
        </w:tc>
        <w:tc>
          <w:tcPr>
            <w:tcW w:type="pct" w:w="4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Description</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id</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 @id</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cuid()</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Primary key</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Human-readable schedule name, e.g., 'Weekly Eid-Aware Report'</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description</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Optional description shown in admin UI</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frequency</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Enum: 'weekly' | 'monthly' | 'date_range'</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dayOfWeek</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For weekly: 0=Sunday, 1=Monday, ..., 6=Saturday</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dayOfMonth</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For monthly: 1-28 (avoids 29/30/31 to prevent skipped months)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startDate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For date_range: first report date</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endDate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For date_range: last report date</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occasions</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JSON array of occasion IDs to consider (e.g., ['eid-ul-fitr','friday']). Empty = consider all active occasions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targetClientMode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'all'</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Enum: 'all' | 'selected'</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targetClientIds</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JSON array of businessIds. Null if targetClientMode='all'</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deliveryChannels</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["email"]</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JSON array: ['email'] | ['whatsapp'] | ['email','whatsapp']</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reportPeriodDays</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How many days ahead the report predicts. Default 7 (weekly). Can be 14 for biweekly.</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isActive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Boolean</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true</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Founder can pause a schedule without deleting it</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lastRunAt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Last time this schedule triggered (auto-updated)</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nextRunAt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Next scheduled run (auto-computed on schedule create/update and after each run)</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createdBy</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Super-admin username who created the schedule</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createdAt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Creation timestamp</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updatedAt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updatedAt</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Last update timestamp</w:t>
            </w:r>
          </w:p>
        </w:tc>
      </w:tr>
    </w:tbl>
    <w:p>
      <w:pPr>
        <w:spacing w:after="120" w:before="0" w:line="312"/>
        <w:ind w:firstLine="0"/>
        <w:jc w:val="both"/>
      </w:pPr>
      <w:r>
        <w:rPr>
          <w:rFonts w:ascii="Calibri" w:eastAsia="Microsoft YaHei"/>
          <w:color w:val="1F2937"/>
          <w:sz w:val="22"/>
          <w:szCs w:val="22"/>
        </w:rPr>
        <w:t xml:space="preserve">Indexes: @@index([isActive, nextRunAt]) for the schedule checker query, @@index([frequency]) for admin filtering. The nextRunAt field is critical — the checker cron queries WHERE isActive=true AND nextRunAt &lt;= now() to find due schedules.</w:t>
      </w:r>
    </w:p>
    <w:p>
      <w:pPr>
        <w:pStyle w:val="Heading2"/>
        <w:spacing w:after="140" w:before="280" w:line="312"/>
      </w:pPr>
      <w:bookmarkStart w:id="100013" w:name="_Toc100013"/>
      <w:r>
        <w:rPr>
          <w:rFonts w:ascii="Calibri" w:eastAsia="Microsoft YaHei"/>
          <w:b/>
          <w:bCs/>
          <w:color w:val="064E3B"/>
          <w:sz w:val="28"/>
          <w:szCs w:val="28"/>
        </w:rPr>
        <w:t xml:space="preserve">4.2 ReportOccasion</w:t>
      </w:r>
      <w:bookmarkEnd w:id="100013"/>
    </w:p>
    <w:p>
      <w:pPr>
        <w:spacing w:after="120" w:before="0" w:line="312"/>
        <w:ind w:firstLine="0"/>
        <w:jc w:val="both"/>
      </w:pPr>
      <w:r>
        <w:rPr>
          <w:rFonts w:ascii="Calibri" w:eastAsia="Microsoft YaHei"/>
          <w:color w:val="1F2937"/>
          <w:sz w:val="22"/>
          <w:szCs w:val="22"/>
        </w:rPr>
        <w:t xml:space="preserve">Defines the occasions the system knows about. Pre-seeded with 12+ Bangladesh occasions, but the founder can add custom ones (e.g., 'Local Annual Health Camp'). Each occasion has an impact weight (how much it typically boosts sales) and a duration (how long the spike lasts).</w:t>
      </w:r>
    </w:p>
    <w:p>
      <w:pPr>
        <w:keepNext/>
        <w:spacing w:after="100" w:before="200"/>
        <w:jc w:val="left"/>
      </w:pPr>
      <w:r>
        <w:rPr>
          <w:rFonts w:ascii="Calibri" w:eastAsia="Microsoft YaHei"/>
          <w:b/>
          <w:bCs/>
          <w:color w:val="064E3B"/>
          <w:sz w:val="21"/>
          <w:szCs w:val="21"/>
        </w:rPr>
        <w:t xml:space="preserve">Table 4.2 — ReportOccasion Model</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Field</w:t>
            </w:r>
          </w:p>
        </w:tc>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Type</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Default</w:t>
            </w:r>
          </w:p>
        </w:tc>
        <w:tc>
          <w:tcPr>
            <w:tcW w:type="pct" w:w="4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Description</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id</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 @id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cuid()</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Primary key</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name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Display name: 'Eid-ul-Fitr', 'Durga Puja', 'Friday', etc.</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slug</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 @unique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(auto)</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URL-safe identifier: 'eid-ul-fitr', 'friday'</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type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Enum: 'religious' | 'national' | 'weekly' | 'seasonal' | 'custom'</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datePattern</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Enum: 'fixed_date' (e.g., Dec 25), 'lunar_approximate' (Eid, shifts each year), 'recurring_weekly' (every Friday), 'recurring_monthly'</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fixedMonth</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For fixed_date: month 1-12</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fixedDay</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For fixed_date: day 1-31</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weeklyDayOfWeek</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For recurring_weekly: 0=Sunday, 5=Friday, 6=Saturday</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impactWeight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Float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Sales multiplier: 1.0 = normal, 2.5 = 150% boost, 0.3 = 70% reduction (gov holiday with closed shops)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durationDays</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How long the spike lasts. Eid = 7 days, Friday = 1 day, Ramadan = 30 days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leadDays</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How many days BEFORE the occasion the spike starts (Eid shopping starts 5 days before)</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description</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Explanation shown in admin UI</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isActive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Boolean</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true</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Founder can disable an occasion without deleting it</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createdAt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[Please fill in]</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updatedAt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updatedAt</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[Please fill in]</w:t>
            </w:r>
          </w:p>
        </w:tc>
      </w:tr>
    </w:tbl>
    <w:p>
      <w:pPr>
        <w:pStyle w:val="Heading2"/>
        <w:spacing w:after="140" w:before="280" w:line="312"/>
      </w:pPr>
      <w:bookmarkStart w:id="100014" w:name="_Toc100014"/>
      <w:r>
        <w:rPr>
          <w:rFonts w:ascii="Calibri" w:eastAsia="Microsoft YaHei"/>
          <w:b/>
          <w:bCs/>
          <w:color w:val="064E3B"/>
          <w:sz w:val="28"/>
          <w:szCs w:val="28"/>
        </w:rPr>
        <w:t xml:space="preserve">4.3 HolidayCalendar</w:t>
      </w:r>
      <w:bookmarkEnd w:id="100014"/>
    </w:p>
    <w:p>
      <w:pPr>
        <w:spacing w:after="120" w:before="0" w:line="312"/>
        <w:ind w:firstLine="0"/>
        <w:jc w:val="both"/>
      </w:pPr>
      <w:r>
        <w:rPr>
          <w:rFonts w:ascii="Calibri" w:eastAsia="Microsoft YaHei"/>
          <w:color w:val="1F2937"/>
          <w:sz w:val="22"/>
          <w:szCs w:val="22"/>
        </w:rPr>
        <w:t xml:space="preserve">Stores the specific dates of occasions for each year. This is necessary because occasions like Eid shift each year (lunar calendar) and must be manually confirmed. The system uses this table to know exactly which dates in the next 7-14 days have occasions, then looks up the same occasions in historical sales data.</w:t>
      </w:r>
    </w:p>
    <w:p>
      <w:pPr>
        <w:keepNext/>
        <w:spacing w:after="100" w:before="200"/>
        <w:jc w:val="left"/>
      </w:pPr>
      <w:r>
        <w:rPr>
          <w:rFonts w:ascii="Calibri" w:eastAsia="Microsoft YaHei"/>
          <w:b/>
          <w:bCs/>
          <w:color w:val="064E3B"/>
          <w:sz w:val="21"/>
          <w:szCs w:val="21"/>
        </w:rPr>
        <w:t xml:space="preserve">Table 4.3 — HolidayCalendar Model</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Field</w:t>
            </w:r>
          </w:p>
        </w:tc>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Type</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Default</w:t>
            </w:r>
          </w:p>
        </w:tc>
        <w:tc>
          <w:tcPr>
            <w:tcW w:type="pct" w:w="5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Description</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id</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 @id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cuid()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Primary key</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occasionId</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Foreign key to ReportOccasion</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Specific date of this occasion occurrence (e.g., 2026-06-17 for Eid-ul-Adha 2026)</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isConfirmed</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Boolean</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false</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Lunar dates are estimates until founder confirms. System warns if upcoming occasion is unconfirmed</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year</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(auto)</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Year of the occurrence, derived from date. Used for filtering</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notes</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Optional notes, e.g., 'Eid date confirmed by Islamic Foundation Bangladesh'</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createdAt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[Please fill in]</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updatedAt</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updatedAt</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[Please fill in]</w:t>
            </w:r>
          </w:p>
        </w:tc>
      </w:tr>
    </w:tbl>
    <w:p>
      <w:pPr>
        <w:spacing w:after="120" w:before="0" w:line="312"/>
        <w:ind w:firstLine="0"/>
        <w:jc w:val="both"/>
      </w:pPr>
      <w:r>
        <w:rPr>
          <w:rFonts w:ascii="Calibri" w:eastAsia="Microsoft YaHei"/>
          <w:color w:val="1F2937"/>
          <w:sz w:val="22"/>
          <w:szCs w:val="22"/>
        </w:rPr>
        <w:t xml:space="preserve">Indexes: @@unique([occasionId, date]) to prevent duplicate entries, @@index([date]) for querying upcoming occasions, @@index([year]) for yearly views. The table is pre-seeded with 2026-2027 Bangladesh holidays during Phase A implementation.</w:t>
      </w:r>
    </w:p>
    <w:p>
      <w:pPr>
        <w:pStyle w:val="Heading2"/>
        <w:spacing w:after="140" w:before="280" w:line="312"/>
      </w:pPr>
      <w:bookmarkStart w:id="100015" w:name="_Toc100015"/>
      <w:r>
        <w:rPr>
          <w:rFonts w:ascii="Calibri" w:eastAsia="Microsoft YaHei"/>
          <w:b/>
          <w:bCs/>
          <w:color w:val="064E3B"/>
          <w:sz w:val="28"/>
          <w:szCs w:val="28"/>
        </w:rPr>
        <w:t xml:space="preserve">4.4 GeneratedReport</w:t>
      </w:r>
      <w:bookmarkEnd w:id="100015"/>
    </w:p>
    <w:p>
      <w:pPr>
        <w:spacing w:after="120" w:before="0" w:line="312"/>
        <w:ind w:firstLine="0"/>
        <w:jc w:val="both"/>
      </w:pPr>
      <w:r>
        <w:rPr>
          <w:rFonts w:ascii="Calibri" w:eastAsia="Microsoft YaHei"/>
          <w:color w:val="1F2937"/>
          <w:sz w:val="22"/>
          <w:szCs w:val="22"/>
        </w:rPr>
        <w:t xml:space="preserve">Stores each generated report. One row per business per schedule run. Contains the full report content as JSON fields, plus cost tracking and status. This is the table the report viewer UI queries.</w:t>
      </w:r>
    </w:p>
    <w:p>
      <w:pPr>
        <w:keepNext/>
        <w:spacing w:after="100" w:before="200"/>
        <w:jc w:val="left"/>
      </w:pPr>
      <w:r>
        <w:rPr>
          <w:rFonts w:ascii="Calibri" w:eastAsia="Microsoft YaHei"/>
          <w:b/>
          <w:bCs/>
          <w:color w:val="064E3B"/>
          <w:sz w:val="21"/>
          <w:szCs w:val="21"/>
        </w:rPr>
        <w:t xml:space="preserve">Table 4.4 — GeneratedReport Model</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Field</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Type</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Default</w:t>
            </w:r>
          </w:p>
        </w:tc>
        <w:tc>
          <w:tcPr>
            <w:tcW w:type="pct" w:w="5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Description</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 @id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cuid()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Primary key</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scheduleId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Foreign key to ReportSchedule</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businessId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Foreign key to Business (the client)</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reportDate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When the report was generated</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reportPeriodStart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First day of the prediction period (e.g., next Monday)</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reportPeriodEnd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Last day of the prediction period (e.g., next Sunday)</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executiveSummary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2-3 sentence AI-generated summary</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spikePredictions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JSON array of top 3 spike predictions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topItems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JSON array of 20 items with predictedQty, profit, supplier, stock status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stockRisks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JSON array of stock risk items with purchase recommendations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aiTokensUsed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Tokens consumed by the AI call (for cost tracking)</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aiCostEstimate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Float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0.0</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Cost in BDT (tokens / 1000 * 0.03)</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generationStatus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Enum: 'pending' | 'generating' | 'completed' | 'failed'</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errorMessage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Error details if generation failed</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pdfUrl</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URL to generated PDF (for email attachment). Null if not yet generated</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predictionConfidence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'medium'</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Enum: 'low' | 'medium' | 'high'. Low if &lt;3 months of data</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createdAt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[Please fill in]</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updatedAt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updatedAt</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[Please fill in]</w:t>
            </w:r>
          </w:p>
        </w:tc>
      </w:tr>
    </w:tbl>
    <w:p>
      <w:pPr>
        <w:spacing w:after="120" w:before="0" w:line="312"/>
        <w:ind w:firstLine="0"/>
        <w:jc w:val="both"/>
      </w:pPr>
      <w:r>
        <w:rPr>
          <w:rFonts w:ascii="Calibri" w:eastAsia="Microsoft YaHei"/>
          <w:color w:val="1F2937"/>
          <w:sz w:val="22"/>
          <w:szCs w:val="22"/>
        </w:rPr>
        <w:t xml:space="preserve">Indexes: @@index([scheduleId, reportDate]) for schedule history, @@index([businessId, reportDate]) for client history, @@index([generationStatus]) for the worker query, @@index([reportDate]) for date filtering.</w:t>
      </w:r>
    </w:p>
    <w:p>
      <w:pPr>
        <w:pStyle w:val="Heading2"/>
        <w:spacing w:after="140" w:before="280" w:line="312"/>
      </w:pPr>
      <w:bookmarkStart w:id="100016" w:name="_Toc100016"/>
      <w:r>
        <w:rPr>
          <w:rFonts w:ascii="Calibri" w:eastAsia="Microsoft YaHei"/>
          <w:b/>
          <w:bCs/>
          <w:color w:val="064E3B"/>
          <w:sz w:val="28"/>
          <w:szCs w:val="28"/>
        </w:rPr>
        <w:t xml:space="preserve">4.5 ReportDelivery</w:t>
      </w:r>
      <w:bookmarkEnd w:id="100016"/>
    </w:p>
    <w:p>
      <w:pPr>
        <w:spacing w:after="120" w:before="0" w:line="312"/>
        <w:ind w:firstLine="0"/>
        <w:jc w:val="both"/>
      </w:pPr>
      <w:r>
        <w:rPr>
          <w:rFonts w:ascii="Calibri" w:eastAsia="Microsoft YaHei"/>
          <w:color w:val="1F2937"/>
          <w:sz w:val="22"/>
          <w:szCs w:val="22"/>
        </w:rPr>
        <w:t xml:space="preserve">Tracks the delivery of each report via each channel. One GeneratedReport can have multiple ReportDelivery rows (one per channel). This is the table the delivery status UI queries.</w:t>
      </w:r>
    </w:p>
    <w:p>
      <w:pPr>
        <w:keepNext/>
        <w:spacing w:after="100" w:before="200"/>
        <w:jc w:val="left"/>
      </w:pPr>
      <w:r>
        <w:rPr>
          <w:rFonts w:ascii="Calibri" w:eastAsia="Microsoft YaHei"/>
          <w:b/>
          <w:bCs/>
          <w:color w:val="064E3B"/>
          <w:sz w:val="21"/>
          <w:szCs w:val="21"/>
        </w:rPr>
        <w:t xml:space="preserve">Table 4.5 — ReportDelivery Model</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Field</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Type</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Default</w:t>
            </w:r>
          </w:p>
        </w:tc>
        <w:tc>
          <w:tcPr>
            <w:tcW w:type="pct" w:w="5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Description</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 @id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cuid()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Primary key</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reportId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Foreign key to GeneratedReport</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channel</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Enum: 'email' | 'whatsapp'</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recipient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Email address or WhatsApp phone number (with country code)</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status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'queued'</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Enum: 'queued' | 'sent' | 'delivered' | 'read' | 'failed'</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sentAt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When the message was sent</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deliveredAt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When the message was delivered (WhatsApp only)</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readAt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When the message was read/opened</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errorMessage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Error details if delivery failed</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retryCount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Number of delivery attempts (max 3)</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providerMessageId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String?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null</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Message ID from SMTP/WhatsApp for tracking</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createdAt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[Please fill in]</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updatedAt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DateTime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updatedAt</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[Please fill in]</w:t>
            </w:r>
          </w:p>
        </w:tc>
      </w:tr>
    </w:tbl>
    <w:p>
      <w:pPr>
        <w:spacing w:after="120" w:before="0" w:line="312"/>
        <w:ind w:firstLine="0"/>
        <w:jc w:val="both"/>
      </w:pPr>
      <w:r>
        <w:rPr>
          <w:rFonts w:ascii="Calibri" w:eastAsia="Microsoft YaHei"/>
          <w:color w:val="1F2937"/>
          <w:sz w:val="22"/>
          <w:szCs w:val="22"/>
        </w:rPr>
        <w:t xml:space="preserve">Indexes: @@index([reportId]) for report delivery history, @@index([status]) for the worker query (WHERE status='queued'), @@index([channel, status]) for channel-specific monitoring.</w:t>
      </w:r>
    </w:p>
    <w:p>
      <w:pPr>
        <w:pStyle w:val="Heading1"/>
        <w:spacing w:after="200" w:before="360" w:line="312"/>
      </w:pPr>
      <w:bookmarkStart w:id="100017" w:name="_Toc100017"/>
      <w:r>
        <w:rPr>
          <w:rFonts w:ascii="Calibri" w:eastAsia="Microsoft YaHei"/>
          <w:b/>
          <w:bCs/>
          <w:color w:val="064E3B"/>
          <w:sz w:val="32"/>
          <w:szCs w:val="32"/>
        </w:rPr>
        <w:t xml:space="preserve">5. Occasion Calendar System</w:t>
      </w:r>
      <w:bookmarkEnd w:id="100017"/>
    </w:p>
    <w:p>
      <w:pPr>
        <w:spacing w:after="120" w:before="0" w:line="312"/>
        <w:ind w:firstLine="0"/>
        <w:jc w:val="both"/>
      </w:pPr>
      <w:r>
        <w:rPr>
          <w:rFonts w:ascii="Calibri" w:eastAsia="Microsoft YaHei"/>
          <w:color w:val="1F2937"/>
          <w:sz w:val="22"/>
          <w:szCs w:val="22"/>
        </w:rPr>
        <w:t xml:space="preserve">The occasion calendar is the heart of the prediction system. Without it, the AI would just be averaging historical sales — which any tool can do. With it, the AI knows that Eid is coming, that Eid historically triples Napa Extra sales for this specific pharmacy, and that the pharmacy needs to order 680 more boxes by Wednesday. This section explains how occasions are defined, how they affect predictions, and how the system matches upcoming occasions to historical sales.</w:t>
      </w:r>
    </w:p>
    <w:p>
      <w:pPr>
        <w:pStyle w:val="Heading2"/>
        <w:spacing w:after="140" w:before="280" w:line="312"/>
      </w:pPr>
      <w:bookmarkStart w:id="100018" w:name="_Toc100018"/>
      <w:r>
        <w:rPr>
          <w:rFonts w:ascii="Calibri" w:eastAsia="Microsoft YaHei"/>
          <w:b/>
          <w:bCs/>
          <w:color w:val="064E3B"/>
          <w:sz w:val="28"/>
          <w:szCs w:val="28"/>
        </w:rPr>
        <w:t xml:space="preserve">5.1 Why Occasions Matter for Pharmacy Sales</w:t>
      </w:r>
      <w:bookmarkEnd w:id="100018"/>
    </w:p>
    <w:p>
      <w:pPr>
        <w:spacing w:after="120" w:before="0" w:line="312"/>
        <w:ind w:firstLine="0"/>
        <w:jc w:val="both"/>
      </w:pPr>
      <w:r>
        <w:rPr>
          <w:rFonts w:ascii="Calibri" w:eastAsia="Microsoft YaHei"/>
          <w:color w:val="1F2937"/>
          <w:sz w:val="22"/>
          <w:szCs w:val="22"/>
        </w:rPr>
        <w:t xml:space="preserve">Pharmacy sales in Bangladesh are not uniform throughout the year. They spike and dip based on occasions, and each occasion affects different product categories differently. During Eid ul-Fitr (the end of Ramadan), sales of antacids, antiemetics, and oral saline spike 200-300 percent because people overeat during iftar and eid meals. During Eid ul-Adha, sales of antiseptics, bandages, and antibiotics spike because of cattle-slaughtering injuries. During Durga Puja, sales of first-aid supplies and antiseptics spike because of crowd injuries at pandals. On Fridays (the weekly holiday), overall footfall increases 30-50 percent. On government holidays where shops are closed, sales drop to near zero. A prediction system that does not account for these patterns will be wrong during the most important weeks of the year — the weeks where pharmacies make or lose the most money.</w:t>
      </w:r>
    </w:p>
    <w:p>
      <w:pPr>
        <w:pStyle w:val="Heading2"/>
        <w:spacing w:after="140" w:before="280" w:line="312"/>
      </w:pPr>
      <w:bookmarkStart w:id="100019" w:name="_Toc100019"/>
      <w:r>
        <w:rPr>
          <w:rFonts w:ascii="Calibri" w:eastAsia="Microsoft YaHei"/>
          <w:b/>
          <w:bCs/>
          <w:color w:val="064E3B"/>
          <w:sz w:val="28"/>
          <w:szCs w:val="28"/>
        </w:rPr>
        <w:t xml:space="preserve">5.2 The Three Date Pattern Types</w:t>
      </w:r>
      <w:bookmarkEnd w:id="100019"/>
    </w:p>
    <w:p>
      <w:pPr>
        <w:spacing w:after="120" w:before="0" w:line="312"/>
        <w:ind w:firstLine="0"/>
        <w:jc w:val="both"/>
      </w:pPr>
      <w:r>
        <w:rPr>
          <w:rFonts w:ascii="Calibri" w:eastAsia="Microsoft YaHei"/>
          <w:color w:val="1F2937"/>
          <w:sz w:val="22"/>
          <w:szCs w:val="22"/>
        </w:rPr>
        <w:t xml:space="preserve">Occasions fall into three categories based on how their dates are determined, and each requires different handling. Fixed-date occasions (like Christmas on December 25 or Language Day on February 21) occur on the same Gregorian date every year. The system stores the month and day in the ReportOccasion.fixedMonth and fixedDay fields and automatically generates HolidayCalendar rows for each year. Lunar-approximate occasions (like Eid ul-Fitr and Eid ul-Adha) shift each year based on the Islamic lunar calendar. These dates cannot be computed automatically — they must be confirmed by religious authorities each year. The system pre-populates estimated dates (which are accurate to within 1-2 days based on astronomical calculations) and marks them isConfirmed=false. The founder must confirm them each year via the admin UI. Recurring-weekly occasions (like Friday and Saturday) occur every week. The system stores the day of week in weeklyDayOfWeek and generates HolidayCalendar rows dynamically — no manual entry needed.</w:t>
      </w:r>
    </w:p>
    <w:p>
      <w:pPr>
        <w:pStyle w:val="Heading2"/>
        <w:spacing w:after="140" w:before="280" w:line="312"/>
      </w:pPr>
      <w:bookmarkStart w:id="100020" w:name="_Toc100020"/>
      <w:r>
        <w:rPr>
          <w:rFonts w:ascii="Calibri" w:eastAsia="Microsoft YaHei"/>
          <w:b/>
          <w:bCs/>
          <w:color w:val="064E3B"/>
          <w:sz w:val="28"/>
          <w:szCs w:val="28"/>
        </w:rPr>
        <w:t xml:space="preserve">5.3 Impact Weighting System</w:t>
      </w:r>
      <w:bookmarkEnd w:id="100020"/>
    </w:p>
    <w:p>
      <w:pPr>
        <w:spacing w:after="120" w:before="0" w:line="312"/>
        <w:ind w:firstLine="0"/>
        <w:jc w:val="both"/>
      </w:pPr>
      <w:r>
        <w:rPr>
          <w:rFonts w:ascii="Calibri" w:eastAsia="Microsoft YaHei"/>
          <w:color w:val="1F2937"/>
          <w:sz w:val="22"/>
          <w:szCs w:val="22"/>
        </w:rPr>
        <w:t xml:space="preserve">Each occasion has an impactWeight field (Float, default 1.0) that represents how much the occasion affects sales. A weight of 1.0 means no effect (normal day). A weight of 2.5 means sales are 150 percent higher than normal (2.5x baseline). A weight of 0.3 means sales are 70 percent lower than normal (e.g., a government holiday where shops are closed). The weight is not a fixed multiplier applied to all products — it is a starting point that the prediction algorithm refines using the pharmacy's own historical data. For example, the default Eid weight is 2.5, but if a specific pharmacy historically sold 4x normal Napa Extra during Eid, the algorithm uses 4.0 for that product, not 2.5. The impact weight is the fallback when no historical data is available (e.g., a new product or a new pharmacy).</w:t>
      </w:r>
    </w:p>
    <w:p>
      <w:pPr>
        <w:pStyle w:val="Heading2"/>
        <w:spacing w:after="140" w:before="280" w:line="312"/>
      </w:pPr>
      <w:bookmarkStart w:id="100021" w:name="_Toc100021"/>
      <w:r>
        <w:rPr>
          <w:rFonts w:ascii="Calibri" w:eastAsia="Microsoft YaHei"/>
          <w:b/>
          <w:bCs/>
          <w:color w:val="064E3B"/>
          <w:sz w:val="28"/>
          <w:szCs w:val="28"/>
        </w:rPr>
        <w:t xml:space="preserve">5.4 Combination Multiplier</w:t>
      </w:r>
      <w:bookmarkEnd w:id="100021"/>
    </w:p>
    <w:p>
      <w:pPr>
        <w:spacing w:after="120" w:before="0" w:line="312"/>
        <w:ind w:firstLine="0"/>
        <w:jc w:val="both"/>
      </w:pPr>
      <w:r>
        <w:rPr>
          <w:rFonts w:ascii="Calibri" w:eastAsia="Microsoft YaHei"/>
          <w:color w:val="1F2937"/>
          <w:sz w:val="22"/>
          <w:szCs w:val="22"/>
        </w:rPr>
        <w:t xml:space="preserve">When multiple occasions overlap, their effects are not simply additive. Eid + Friday is not 2.5 + 1.2 = 3.7x. The combination creates a longer shopping window (Eid lasts 7 days, Friday extends the peak), and people shop more aggressively when they have a long weekend plus a festival. The system uses a combination multiplier of 1.15x for two overlapping occasions. So Eid + Friday = (2.5 + 1.2) * 1.15 = 4.25x. This is applied per-day in the prediction algorithm. Three overlapping occasions (rare, but possible — e.g., Eid + Friday + government holiday) use a 1.3x multiplier. The combination multiplier is configurable in case the founder wants to tune it based on observed data.</w:t>
      </w:r>
    </w:p>
    <w:p>
      <w:pPr>
        <w:pStyle w:val="Heading2"/>
        <w:spacing w:after="140" w:before="280" w:line="312"/>
      </w:pPr>
      <w:bookmarkStart w:id="100022" w:name="_Toc100022"/>
      <w:r>
        <w:rPr>
          <w:rFonts w:ascii="Calibri" w:eastAsia="Microsoft YaHei"/>
          <w:b/>
          <w:bCs/>
          <w:color w:val="064E3B"/>
          <w:sz w:val="28"/>
          <w:szCs w:val="28"/>
        </w:rPr>
        <w:t xml:space="preserve">5.5 How Occasions Are Matched to Historical Sales</w:t>
      </w:r>
      <w:bookmarkEnd w:id="100022"/>
    </w:p>
    <w:p>
      <w:pPr>
        <w:spacing w:after="120" w:before="0" w:line="312"/>
        <w:ind w:firstLine="0"/>
        <w:jc w:val="both"/>
      </w:pPr>
      <w:r>
        <w:rPr>
          <w:rFonts w:ascii="Calibri" w:eastAsia="Microsoft YaHei"/>
          <w:color w:val="1F2937"/>
          <w:sz w:val="22"/>
          <w:szCs w:val="22"/>
        </w:rPr>
        <w:t xml:space="preserve">The prediction algorithm does not just apply the impactWeight blindly. It looks up the actual historical sales for the same occasion in the previous year. The matching process works as follows. For each day in the prediction period (e.g., next Monday through Sunday), the system checks if that day has an occasion in HolidayCalendar. If yes, it finds the same occasion in the previous year's HolidayCalendar, identifies the 7-day window around that occasion, and queries the business's SaleItem data for that window. It calculates the actual spike ratio: (sales during occasion week) / (sales during a normal week 4 weeks before). This actual spike ratio is then applied to the current baseline demand (computed from the last 30 days of sales). If the occasion did not occur in the previous year (e.g., a new occasion the founder just added), the system falls back to the default impactWeight.</w:t>
      </w:r>
    </w:p>
    <w:p>
      <w:pPr>
        <w:pStyle w:val="Heading2"/>
        <w:spacing w:after="140" w:before="280" w:line="312"/>
      </w:pPr>
      <w:bookmarkStart w:id="100023" w:name="_Toc100023"/>
      <w:r>
        <w:rPr>
          <w:rFonts w:ascii="Calibri" w:eastAsia="Microsoft YaHei"/>
          <w:b/>
          <w:bCs/>
          <w:color w:val="064E3B"/>
          <w:sz w:val="28"/>
          <w:szCs w:val="28"/>
        </w:rPr>
        <w:t xml:space="preserve">5.6 Pre-Seeded Bangladesh Holiday Calendar</w:t>
      </w:r>
      <w:bookmarkEnd w:id="100023"/>
    </w:p>
    <w:p>
      <w:pPr>
        <w:spacing w:after="120" w:before="0" w:line="312"/>
        <w:ind w:firstLine="0"/>
        <w:jc w:val="both"/>
      </w:pPr>
      <w:r>
        <w:rPr>
          <w:rFonts w:ascii="Calibri" w:eastAsia="Microsoft YaHei"/>
          <w:color w:val="1F2937"/>
          <w:sz w:val="22"/>
          <w:szCs w:val="22"/>
        </w:rPr>
        <w:t xml:space="preserve">During Phase A implementation, the HolidayCalendar table is pre-seeded with the following Bangladesh occasions for 2026-2027. The founder can edit these, add custom occasions, and confirm lunar dates each year.</w:t>
      </w:r>
    </w:p>
    <w:p>
      <w:pPr>
        <w:keepNext/>
        <w:spacing w:after="100" w:before="200"/>
        <w:jc w:val="left"/>
      </w:pPr>
      <w:r>
        <w:rPr>
          <w:rFonts w:ascii="Calibri" w:eastAsia="Microsoft YaHei"/>
          <w:b/>
          <w:bCs/>
          <w:color w:val="064E3B"/>
          <w:sz w:val="21"/>
          <w:szCs w:val="21"/>
        </w:rPr>
        <w:t xml:space="preserve">Table 5.1 — Pre-Seeded Bangladesh Occasions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gridCol w:w="100"/>
      </w:tblGrid>
      <w:tr>
        <w:trPr>
          <w:cantSplit/>
          <w:tblHeader/>
        </w:trPr>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Occasion</w:t>
            </w:r>
          </w:p>
        </w:tc>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Type</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Date Pattern</w:t>
            </w:r>
          </w:p>
        </w:tc>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Impact Weight</w:t>
            </w:r>
          </w:p>
        </w:tc>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Duration</w:t>
            </w:r>
          </w:p>
        </w:tc>
        <w:tc>
          <w:tcPr>
            <w:tcW w:type="pct" w:w="2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Notes</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Eid-ul-Fitr</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Religious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Lunar approximate</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2.8</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 days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End of Ramadan. Antacids, oral saline, antiemetics spike. Pre-populated with 2026 estimate; founder must confirm</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Eid-ul-Adha</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Religious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Lunar approximate</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2.5</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 days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Cattle slaughtering. Antiseptics, bandages, antibiotics spike. Pre-populated with 2026 estimate</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Durga Puja</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Religious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Lunar approximate</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 days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Crowd injuries. First-aid, antiseptics spike</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Ramadan</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Religious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Lunar approximate</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1.8</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30 days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Month of fasting. Gradual increase in digestive meds. Overlaps with Eid-ul-Fitr at the end</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Christmas</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Religious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Fixed (Dec 25)</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1.3</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day</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Gift items, seasonal meds</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New Year (Jan 1)</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National</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Fixed (Jan 1)</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day</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Mild increase</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Language Day (Feb 21)</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National</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Fixed (Feb 21)</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0.8</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day</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Slight decrease (morning ceremony, shops open late)</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Independence Day (Mar 26)</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National</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Fixed (Mar 26)</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0.9</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day</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Slight decrease</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Pohela Boishakh (Apr 14)</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National</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Fixed (Apr 14)</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day</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Bengali New Year. Mild increase</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May Day (May 1)</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National</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Fixed (May 1)</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0.7</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day</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Government holiday, many shops closed</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Victory Day (Dec 16)</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National</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Fixed (Dec 16)</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0.9</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day</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Slight decrease</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Friday</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Weekly</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Recurring weekly (day 5)</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1.4</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day</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Weekly holiday. Footfall increases 30-50%</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Saturday</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Weekly</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Recurring weekly (day 6)</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1.1</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day</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Half-holiday for some. Mild increase</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Government Holiday (custom)</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National</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Variable</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0.3</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day</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Catch-all for unexpected gov holidays (founder adds specific dates)</w:t>
            </w:r>
          </w:p>
        </w:tc>
      </w:tr>
    </w:tbl>
    <w:p>
      <w:pPr>
        <w:pStyle w:val="Heading1"/>
        <w:spacing w:after="200" w:before="360" w:line="312"/>
      </w:pPr>
      <w:bookmarkStart w:id="100024" w:name="_Toc100024"/>
      <w:r>
        <w:rPr>
          <w:rFonts w:ascii="Calibri" w:eastAsia="Microsoft YaHei"/>
          <w:b/>
          <w:bCs/>
          <w:color w:val="064E3B"/>
          <w:sz w:val="32"/>
          <w:szCs w:val="32"/>
        </w:rPr>
        <w:t xml:space="preserve">6. AI Prediction Algorithm</w:t>
      </w:r>
      <w:bookmarkEnd w:id="100024"/>
    </w:p>
    <w:p>
      <w:pPr>
        <w:spacing w:after="120" w:before="0" w:line="312"/>
        <w:ind w:firstLine="0"/>
        <w:jc w:val="both"/>
      </w:pPr>
      <w:r>
        <w:rPr>
          <w:rFonts w:ascii="Calibri" w:eastAsia="Microsoft YaHei"/>
          <w:color w:val="1F2937"/>
          <w:sz w:val="22"/>
          <w:szCs w:val="22"/>
        </w:rPr>
        <w:t xml:space="preserve">The prediction algorithm is the intelligence that turns raw sales data into actionable forecasts. It is a 5-step process that runs entirely in code (Prisma queries + JavaScript math) before any AI is involved. The AI's job is only to synthesize the pre-computed numbers into natural language — it does not do the math itself. This separation is critical for cost control (Phase 1-5 defenses apply to the AI call) and for accuracy (LLMs are bad at arithmetic and would hallucinate numbers if asked to compute them).</w:t>
      </w:r>
    </w:p>
    <w:p>
      <w:pPr>
        <w:pStyle w:val="Heading2"/>
        <w:spacing w:after="140" w:before="280" w:line="312"/>
      </w:pPr>
      <w:bookmarkStart w:id="100025" w:name="_Toc100025"/>
      <w:r>
        <w:rPr>
          <w:rFonts w:ascii="Calibri" w:eastAsia="Microsoft YaHei"/>
          <w:b/>
          <w:bCs/>
          <w:color w:val="064E3B"/>
          <w:sz w:val="28"/>
          <w:szCs w:val="28"/>
        </w:rPr>
        <w:t xml:space="preserve">6.1 Inputs</w:t>
      </w:r>
      <w:bookmarkEnd w:id="100025"/>
    </w:p>
    <w:p>
      <w:pPr>
        <w:spacing w:after="120" w:before="0" w:line="312"/>
        <w:ind w:firstLine="0"/>
        <w:jc w:val="both"/>
      </w:pPr>
      <w:r>
        <w:rPr>
          <w:rFonts w:ascii="Calibri" w:eastAsia="Microsoft YaHei"/>
          <w:color w:val="1F2937"/>
          <w:sz w:val="22"/>
          <w:szCs w:val="22"/>
        </w:rPr>
        <w:t xml:space="preserve">The algorithm takes four inputs per business. First, 365 days of daily sales data per product, aggregated from the SaleItem table. This is the baseline for understanding normal demand patterns. Second, current stock levels per product, from the Inventory table. This is used for the stock gap analysis. Third, upcoming occasions in the next 7-14 days, from the HolidayCalendar table. This is what makes the prediction occasion-aware. Fourth, occasion impact weights from the ReportOccasion table, used as fallbacks when historical occasion data is unavailable.</w:t>
      </w:r>
    </w:p>
    <w:p>
      <w:pPr>
        <w:pStyle w:val="Heading2"/>
        <w:spacing w:after="140" w:before="280" w:line="312"/>
      </w:pPr>
      <w:bookmarkStart w:id="100026" w:name="_Toc100026"/>
      <w:r>
        <w:rPr>
          <w:rFonts w:ascii="Calibri" w:eastAsia="Microsoft YaHei"/>
          <w:b/>
          <w:bCs/>
          <w:color w:val="064E3B"/>
          <w:sz w:val="28"/>
          <w:szCs w:val="28"/>
        </w:rPr>
        <w:t xml:space="preserve">6.2 The 5-Step Process</w:t>
      </w:r>
      <w:bookmarkEnd w:id="100026"/>
    </w:p>
    <w:p>
      <w:pPr>
        <w:pStyle w:val="Heading3"/>
        <w:spacing w:after="100" w:before="220" w:line="312"/>
      </w:pPr>
      <w:bookmarkStart w:id="100027" w:name="_Toc100027"/>
      <w:r>
        <w:rPr>
          <w:rFonts w:ascii="Calibri" w:eastAsia="Microsoft YaHei"/>
          <w:b/>
          <w:bCs/>
          <w:color w:val="064E3B"/>
          <w:sz w:val="24"/>
          <w:szCs w:val="24"/>
        </w:rPr>
        <w:t xml:space="preserve">Step 1 — Base Demand Calculation</w:t>
      </w:r>
      <w:bookmarkEnd w:id="100027"/>
    </w:p>
    <w:p>
      <w:pPr>
        <w:spacing w:after="120" w:before="0" w:line="312"/>
        <w:ind w:firstLine="0"/>
        <w:jc w:val="both"/>
      </w:pPr>
      <w:r>
        <w:rPr>
          <w:rFonts w:ascii="Calibri" w:eastAsia="Microsoft YaHei"/>
          <w:color w:val="1F2937"/>
          <w:sz w:val="22"/>
          <w:szCs w:val="22"/>
        </w:rPr>
        <w:t xml:space="preserve">For each active product in the business, compute the 30-day moving average daily sales. This is the baseline demand: how many units per day the product sells on a normal day with no occasions. Exclude the last 7 days from the average (to avoid skewing with an ongoing occasion). If a product has less than 30 days of history, use whatever is available. If a product has zero sales in the last 30 days, mark it as 'dormant' and exclude it from the report (no point predicting zero).</w:t>
      </w:r>
    </w:p>
    <w:p>
      <w:pPr>
        <w:pStyle w:val="Heading3"/>
        <w:spacing w:after="100" w:before="220" w:line="312"/>
      </w:pPr>
      <w:bookmarkStart w:id="100028" w:name="_Toc100028"/>
      <w:r>
        <w:rPr>
          <w:rFonts w:ascii="Calibri" w:eastAsia="Microsoft YaHei"/>
          <w:b/>
          <w:bCs/>
          <w:color w:val="064E3B"/>
          <w:sz w:val="24"/>
          <w:szCs w:val="24"/>
        </w:rPr>
        <w:t xml:space="preserve">Step 2 — Occasion Overlay</w:t>
      </w:r>
      <w:bookmarkEnd w:id="100028"/>
    </w:p>
    <w:p>
      <w:pPr>
        <w:spacing w:after="120" w:before="0" w:line="312"/>
        <w:ind w:firstLine="0"/>
        <w:jc w:val="both"/>
      </w:pPr>
      <w:r>
        <w:rPr>
          <w:rFonts w:ascii="Calibri" w:eastAsia="Microsoft YaHei"/>
          <w:color w:val="1F2937"/>
          <w:sz w:val="22"/>
          <w:szCs w:val="22"/>
        </w:rPr>
        <w:t xml:space="preserve">For each day in the prediction period (e.g., next Monday through Sunday), check if that day has an occasion in HolidayCalendar. If yes, look up the same occasion in the previous year's data. Find the 7-day window around that occasion (3 days before, the occasion day, 3 days after). Query the business's SaleItem data for that window. Calculate the actual historical spike ratio: (sales during occasion window) / (sales during a normal 7-day window 4 weeks before the occasion). Apply this ratio to the baseline demand for the occasion days in the prediction period. If the occasion did not occur in the previous year (new occasion, or the business is less than 1 year old), fall back to the default impactWeight from ReportOccasion.</w:t>
      </w:r>
    </w:p>
    <w:p>
      <w:pPr>
        <w:pStyle w:val="Heading3"/>
        <w:spacing w:after="100" w:before="220" w:line="312"/>
      </w:pPr>
      <w:bookmarkStart w:id="100029" w:name="_Toc100029"/>
      <w:r>
        <w:rPr>
          <w:rFonts w:ascii="Calibri" w:eastAsia="Microsoft YaHei"/>
          <w:b/>
          <w:bCs/>
          <w:color w:val="064E3B"/>
          <w:sz w:val="24"/>
          <w:szCs w:val="24"/>
        </w:rPr>
        <w:t xml:space="preserve">Step 3 — Combination Handling</w:t>
      </w:r>
      <w:bookmarkEnd w:id="100029"/>
    </w:p>
    <w:p>
      <w:pPr>
        <w:spacing w:after="120" w:before="0" w:line="312"/>
        <w:ind w:firstLine="0"/>
        <w:jc w:val="both"/>
      </w:pPr>
      <w:r>
        <w:rPr>
          <w:rFonts w:ascii="Calibri" w:eastAsia="Microsoft YaHei"/>
          <w:color w:val="1F2937"/>
          <w:sz w:val="22"/>
          <w:szCs w:val="22"/>
        </w:rPr>
        <w:t xml:space="preserve">If multiple occasions overlap on the same day (e.g., Eid + Friday), apply the combination multiplier. The base multiplier is the sum of the individual occasion impact weights. The combination multiplier is 1.15x for two overlapping occasions, 1.3x for three. So for Eid (2.8) + Friday (1.4) on the same day: (2.8 + 1.4) * 1.15 = 4.83x baseline demand. This is applied per-day. Days with no occasion use 1.0x (baseline only).</w:t>
      </w:r>
    </w:p>
    <w:p>
      <w:pPr>
        <w:pStyle w:val="Heading3"/>
        <w:spacing w:after="100" w:before="220" w:line="312"/>
      </w:pPr>
      <w:bookmarkStart w:id="100030" w:name="_Toc100030"/>
      <w:r>
        <w:rPr>
          <w:rFonts w:ascii="Calibri" w:eastAsia="Microsoft YaHei"/>
          <w:b/>
          <w:bCs/>
          <w:color w:val="064E3B"/>
          <w:sz w:val="24"/>
          <w:szCs w:val="24"/>
        </w:rPr>
        <w:t xml:space="preserve">Step 4 — Stock Gap Analysis</w:t>
      </w:r>
      <w:bookmarkEnd w:id="100030"/>
    </w:p>
    <w:p>
      <w:pPr>
        <w:spacing w:after="120" w:before="0" w:line="312"/>
        <w:ind w:firstLine="0"/>
        <w:jc w:val="both"/>
      </w:pPr>
      <w:r>
        <w:rPr>
          <w:rFonts w:ascii="Calibri" w:eastAsia="Microsoft YaHei"/>
          <w:color w:val="1F2937"/>
          <w:sz w:val="22"/>
          <w:szCs w:val="22"/>
        </w:rPr>
        <w:t xml:space="preserve">For each product, sum the predicted daily demand across the 7-day prediction period (after occasion adjustments). This is the predicted 7-day demand. Compare it to current stock level. If current stock &gt;= predicted demand * 1.2 (20 percent safety margin), the product is 'good' — no action needed. If current stock &lt; predicted demand but &gt; 0, the product is 'low' — will stock out during the week. Calculate the day of stockout (current stock / daily demand). If current stock = 0, the product is 'out' — already stocked out. For 'low' and 'out' products, calculate recommended purchase quantity = predicted demand * 1.2 - current stock, rounded up to the nearest standard pack size (from the product's stripSize/boxSize fields).</w:t>
      </w:r>
    </w:p>
    <w:p>
      <w:pPr>
        <w:pStyle w:val="Heading3"/>
        <w:spacing w:after="100" w:before="220" w:line="312"/>
      </w:pPr>
      <w:bookmarkStart w:id="100031" w:name="_Toc100031"/>
      <w:r>
        <w:rPr>
          <w:rFonts w:ascii="Calibri" w:eastAsia="Microsoft YaHei"/>
          <w:b/>
          <w:bCs/>
          <w:color w:val="064E3B"/>
          <w:sz w:val="24"/>
          <w:szCs w:val="24"/>
        </w:rPr>
        <w:t xml:space="preserve">Step 5 — AI Synthesis</w:t>
      </w:r>
      <w:bookmarkEnd w:id="100031"/>
    </w:p>
    <w:p>
      <w:pPr>
        <w:spacing w:after="120" w:before="0" w:line="312"/>
        <w:ind w:firstLine="0"/>
        <w:jc w:val="both"/>
      </w:pPr>
      <w:r>
        <w:rPr>
          <w:rFonts w:ascii="Calibri" w:eastAsia="Microsoft YaHei"/>
          <w:color w:val="1F2937"/>
          <w:sz w:val="22"/>
          <w:szCs w:val="22"/>
        </w:rPr>
        <w:t xml:space="preserve">Pass the structured data to GLM-4 via the z-ai-web-dev-sdk. The AI receives: business name, prediction period dates, the top 20 products by predicted profit (with predicted qty, current stock, stock status, recommended purchase qty), the top 3 spike predictions (with occasion and spike percentage), and the stock risk list. The system prompt instructs the AI to return a JSON object with four sections: executiveSummary (2-3 sentences), spikePredictions (the top 3, rephrased in natural language with the occasion context), topItems (the 20 items, with a one-line AI-generated 'why this matters' note for each), and stockRisks (the risk items, with urgency and action recommendation). The AI does NOT compute any numbers — it only rephrases the pre-computed numbers. This prevents hallucination and keeps the AI call bounded (Phase 1 max_tokens cap applies).</w:t>
      </w:r>
    </w:p>
    <w:p>
      <w:pPr>
        <w:pStyle w:val="Heading2"/>
        <w:spacing w:after="140" w:before="280" w:line="312"/>
      </w:pPr>
      <w:bookmarkStart w:id="100032" w:name="_Toc100032"/>
      <w:r>
        <w:rPr>
          <w:rFonts w:ascii="Calibri" w:eastAsia="Microsoft YaHei"/>
          <w:b/>
          <w:bCs/>
          <w:color w:val="064E3B"/>
          <w:sz w:val="28"/>
          <w:szCs w:val="28"/>
        </w:rPr>
        <w:t xml:space="preserve">6.3 The System Prompt Template</w:t>
      </w:r>
      <w:bookmarkEnd w:id="100032"/>
    </w:p>
    <w:p>
      <w:pPr>
        <w:pBdr>
          <w:left w:val="single" w:color="8B5CF6" w:sz="18" w:space="12"/>
        </w:pBdr>
        <w:spacing w:after="160" w:before="160" w:line="312"/>
        <w:ind w:left="240"/>
      </w:pPr>
      <w:r>
        <w:rPr>
          <w:rFonts w:ascii="Calibri" w:eastAsia="Microsoft YaHei"/>
          <w:i/>
          <w:iCs/>
          <w:color w:val="1F2937"/>
          <w:sz w:val="22"/>
          <w:szCs w:val="22"/>
        </w:rPr>
        <w:t xml:space="preserve">You are a pharmacy business analyst AI. You will receive pre-computed sales prediction data for a pharmacy for the upcoming week. Your job is to synthesize this data into a clear, actionable report. DO NOT calculate any numbers — all numbers are already computed. Your job is to explain what the numbers mean and what the pharmacist should do. Return ONLY a JSON object with this structure: { executiveSummary: '2-3 sentence overview', spikePredictions: [{product, spikePercent, occasion, recommendation}], topItems: [{product, predictedQty, predictedProfit, currentStock, stockStatus, recommendation}], stockRisks: [{product, daysUntilStockout, recommendedPurchaseQty, supplier, urgency}] }. Be specific, actionable, and pharmacy-focused. Use the business name in the executive summary. Mention specific occasions by name. Keep recommendations practical — a pharmacy owner should be able to act on them immediately.</w:t>
      </w:r>
    </w:p>
    <w:p>
      <w:pPr>
        <w:pStyle w:val="Heading2"/>
        <w:spacing w:after="140" w:before="280" w:line="312"/>
      </w:pPr>
      <w:bookmarkStart w:id="100033" w:name="_Toc100033"/>
      <w:r>
        <w:rPr>
          <w:rFonts w:ascii="Calibri" w:eastAsia="Microsoft YaHei"/>
          <w:b/>
          <w:bCs/>
          <w:color w:val="064E3B"/>
          <w:sz w:val="28"/>
          <w:szCs w:val="28"/>
        </w:rPr>
        <w:t xml:space="preserve">6.4 Cost Control Integration</w:t>
      </w:r>
      <w:bookmarkEnd w:id="100033"/>
    </w:p>
    <w:p>
      <w:pPr>
        <w:spacing w:after="120" w:before="0" w:line="312"/>
        <w:ind w:firstLine="0"/>
        <w:jc w:val="both"/>
      </w:pPr>
      <w:r>
        <w:rPr>
          <w:rFonts w:ascii="Calibri" w:eastAsia="Microsoft YaHei"/>
          <w:color w:val="1F2937"/>
          <w:sz w:val="22"/>
          <w:szCs w:val="22"/>
        </w:rPr>
        <w:t xml:space="preserve">The AI call in Step 5 is subject to all Phase 1-5 defenses. The max_tokens cap (Phase 1, configurable from /admin) limits the response size. The circuit breaker (Phase 2) prevents a single business from burning too many tokens in 24 hours. The kill-switch (Phase 4) blocks all AI calls if platform-wide cost exceeds the threshold. The 500K monthly token budget per business covers approximately 80 reports per month (at 6,000 tokens per report) — more than enough for weekly reports (4-5 per month). If a business somehow exceeds the token budget, the report generation falls back to a deterministic mode (raw numbers without AI synthesis) so the client still receives a report.</w:t>
      </w:r>
    </w:p>
    <w:p>
      <w:pPr>
        <w:pStyle w:val="Heading1"/>
        <w:spacing w:after="200" w:before="360" w:line="312"/>
      </w:pPr>
      <w:bookmarkStart w:id="100034" w:name="_Toc100034"/>
      <w:r>
        <w:rPr>
          <w:rFonts w:ascii="Calibri" w:eastAsia="Microsoft YaHei"/>
          <w:b/>
          <w:bCs/>
          <w:color w:val="064E3B"/>
          <w:sz w:val="32"/>
          <w:szCs w:val="32"/>
        </w:rPr>
        <w:t xml:space="preserve">7. Report Content Structure</w:t>
      </w:r>
      <w:bookmarkEnd w:id="100034"/>
    </w:p>
    <w:p>
      <w:pPr>
        <w:spacing w:after="120" w:before="0" w:line="312"/>
        <w:ind w:firstLine="0"/>
        <w:jc w:val="both"/>
      </w:pPr>
      <w:r>
        <w:rPr>
          <w:rFonts w:ascii="Calibri" w:eastAsia="Microsoft YaHei"/>
          <w:color w:val="1F2937"/>
          <w:sz w:val="22"/>
          <w:szCs w:val="22"/>
        </w:rPr>
        <w:t xml:space="preserve">Every generated report contains four sections, in a fixed order. The structure is designed for quick scanning — a busy pharmacy owner should be able to extract the key action items in under 60 seconds. The full report is delivered as HTML in email and as a formatted message in WhatsApp, with a PDF attachment containing the complete details.</w:t>
      </w:r>
    </w:p>
    <w:p>
      <w:pPr>
        <w:pStyle w:val="Heading2"/>
        <w:spacing w:after="140" w:before="280" w:line="312"/>
      </w:pPr>
      <w:bookmarkStart w:id="100035" w:name="_Toc100035"/>
      <w:r>
        <w:rPr>
          <w:rFonts w:ascii="Calibri" w:eastAsia="Microsoft YaHei"/>
          <w:b/>
          <w:bCs/>
          <w:color w:val="064E3B"/>
          <w:sz w:val="28"/>
          <w:szCs w:val="28"/>
        </w:rPr>
        <w:t xml:space="preserve">7.1 Section 1: Executive Summary</w:t>
      </w:r>
      <w:bookmarkEnd w:id="100035"/>
    </w:p>
    <w:p>
      <w:pPr>
        <w:spacing w:after="120" w:before="0" w:line="312"/>
        <w:ind w:firstLine="0"/>
        <w:jc w:val="both"/>
      </w:pPr>
      <w:r>
        <w:rPr>
          <w:rFonts w:ascii="Calibri" w:eastAsia="Microsoft YaHei"/>
          <w:color w:val="1F2937"/>
          <w:sz w:val="22"/>
          <w:szCs w:val="22"/>
        </w:rPr>
        <w:t xml:space="preserve">Two to three sentences summarizing the week ahead. Always includes: the overall outlook (strong/normal/quiet), the top opportunity (product + reason), and the top risk (product + consequence). Example: 'Next week looks strong — Eid-ul-Adha preparation starts Wednesday. Your top opportunity is Napa Extra (predicted 340 percent sales spike driven by Eid overeating). Your top risk is Amoxicillin 500mg (will stock out by Friday if you do not order today).' This section is AI-generated from the structured data — the AI is instructed to be specific and actionable, never vague.</w:t>
      </w:r>
    </w:p>
    <w:p>
      <w:pPr>
        <w:pStyle w:val="Heading2"/>
        <w:spacing w:after="140" w:before="280" w:line="312"/>
      </w:pPr>
      <w:bookmarkStart w:id="100036" w:name="_Toc100036"/>
      <w:r>
        <w:rPr>
          <w:rFonts w:ascii="Calibri" w:eastAsia="Microsoft YaHei"/>
          <w:b/>
          <w:bCs/>
          <w:color w:val="064E3B"/>
          <w:sz w:val="28"/>
          <w:szCs w:val="28"/>
        </w:rPr>
        <w:t xml:space="preserve">7.2 Section 2: Big Sales Spike Predictions</w:t>
      </w:r>
      <w:bookmarkEnd w:id="100036"/>
    </w:p>
    <w:p>
      <w:pPr>
        <w:spacing w:after="120" w:before="0" w:line="312"/>
        <w:ind w:firstLine="0"/>
        <w:jc w:val="both"/>
      </w:pPr>
      <w:r>
        <w:rPr>
          <w:rFonts w:ascii="Calibri" w:eastAsia="Microsoft YaHei"/>
          <w:color w:val="1F2937"/>
          <w:sz w:val="22"/>
          <w:szCs w:val="22"/>
        </w:rPr>
        <w:t xml:space="preserve">The top 3 products predicted to spike during the prediction period, ranked by spike magnitude. Each entry shows: product name, predicted spike percentage, the occasion driving the spike, and a one-line recommended action. Example: '1. Napa Extra — 340 percent spike (Eid-ul-Adha overeating). Order 680 boxes by Wednesday. 2. Seclo — 220 percent spike (Eid heartburn). Stock is adequate. 3. Oral Saline — 180 percent spike (Eid dehydration). Order 200 sachets by Thursday.' The historical basis is shown in a sub-line: 'Last year Eid week: 880 boxes sold vs. normal 200 boxes.'</w:t>
      </w:r>
    </w:p>
    <w:p>
      <w:pPr>
        <w:pStyle w:val="Heading2"/>
        <w:spacing w:after="140" w:before="280" w:line="312"/>
      </w:pPr>
      <w:bookmarkStart w:id="100037" w:name="_Toc100037"/>
      <w:r>
        <w:rPr>
          <w:rFonts w:ascii="Calibri" w:eastAsia="Microsoft YaHei"/>
          <w:b/>
          <w:bCs/>
          <w:color w:val="064E3B"/>
          <w:sz w:val="28"/>
          <w:szCs w:val="28"/>
        </w:rPr>
        <w:t xml:space="preserve">7.3 Section 3: Top 20 High-Potential Items</w:t>
      </w:r>
      <w:bookmarkEnd w:id="100037"/>
    </w:p>
    <w:p>
      <w:pPr>
        <w:spacing w:after="120" w:before="0" w:line="312"/>
        <w:ind w:firstLine="0"/>
        <w:jc w:val="both"/>
      </w:pPr>
      <w:r>
        <w:rPr>
          <w:rFonts w:ascii="Calibri" w:eastAsia="Microsoft YaHei"/>
          <w:color w:val="1F2937"/>
          <w:sz w:val="22"/>
          <w:szCs w:val="22"/>
        </w:rPr>
        <w:t xml:space="preserve">A table of the 20 products with the highest predicted profit during the prediction period, sorted by predicted profit descending. This is the main actionable section — the pharmacy owner scans the 'Recommended Purchase Qty' column and places orders for everything flagged red.</w:t>
      </w:r>
    </w:p>
    <w:p>
      <w:pPr>
        <w:keepNext/>
        <w:spacing w:after="100" w:before="200"/>
        <w:jc w:val="left"/>
      </w:pPr>
      <w:r>
        <w:rPr>
          <w:rFonts w:ascii="Calibri" w:eastAsia="Microsoft YaHei"/>
          <w:b/>
          <w:bCs/>
          <w:color w:val="064E3B"/>
          <w:sz w:val="21"/>
          <w:szCs w:val="21"/>
        </w:rPr>
        <w:t xml:space="preserve">Table 7.1 — Top 20 Items Table Columns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Column</w:t>
            </w:r>
          </w:p>
        </w:tc>
        <w:tc>
          <w:tcPr>
            <w:tcW w:type="pct" w:w="4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Description</w:t>
            </w:r>
          </w:p>
        </w:tc>
        <w:tc>
          <w:tcPr>
            <w:tcW w:type="pct" w:w="3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Example</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Name + strength + form</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Napa Extra 500mg Tablet</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Predicted Qty</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Units predicted to sell in the period</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880 boxes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Predicted Profit</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Predicted revenue minus COGS in BDT</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৳17,600</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Current Stock</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Units in inventory now</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200 boxes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Stock Status</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Color-coded: green (good) / amber (low) / red (order now)</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RED — Order Now</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Recommended Purchase Qty</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Units to order (with 20% safety margin, rounded to pack size)</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680 boxes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Recommended Supplier</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Supplier name from last purchase</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Square Pharmaceuticals</w:t>
            </w:r>
          </w:p>
        </w:tc>
      </w:tr>
    </w:tbl>
    <w:p>
      <w:pPr>
        <w:pStyle w:val="Heading2"/>
        <w:spacing w:after="140" w:before="280" w:line="312"/>
      </w:pPr>
      <w:bookmarkStart w:id="100038" w:name="_Toc100038"/>
      <w:r>
        <w:rPr>
          <w:rFonts w:ascii="Calibri" w:eastAsia="Microsoft YaHei"/>
          <w:b/>
          <w:bCs/>
          <w:color w:val="064E3B"/>
          <w:sz w:val="28"/>
          <w:szCs w:val="28"/>
        </w:rPr>
        <w:t xml:space="preserve">7.4 Section 4: Stock Risks &amp; Recommendations</w:t>
      </w:r>
      <w:bookmarkEnd w:id="100038"/>
    </w:p>
    <w:p>
      <w:pPr>
        <w:spacing w:after="120" w:before="0" w:line="312"/>
        <w:ind w:firstLine="0"/>
        <w:jc w:val="both"/>
      </w:pPr>
      <w:r>
        <w:rPr>
          <w:rFonts w:ascii="Calibri" w:eastAsia="Microsoft YaHei"/>
          <w:color w:val="1F2937"/>
          <w:sz w:val="22"/>
          <w:szCs w:val="22"/>
        </w:rPr>
        <w:t xml:space="preserve">A list of products that will stock out during the prediction period, with urgency levels. Each entry shows: product name, days until stockout (e.g., 'Friday' or '3 days'), recommended purchase quantity, recommended supplier, and urgency (critical/high/medium). Critical means stockout in 1-2 days. High means stockout in 3-4 days. Medium means stockout in 5-7 days. Example: 'Amoxicillin 500mg — stocks out Friday (3 days). Order 300 capsules from Beximco today. Urgency: CRITICAL.' This section is sorted by urgency (critical first), then by days until stockout.</w:t>
      </w:r>
    </w:p>
    <w:p>
      <w:pPr>
        <w:pStyle w:val="Heading2"/>
        <w:spacing w:after="140" w:before="280" w:line="312"/>
      </w:pPr>
      <w:bookmarkStart w:id="100039" w:name="_Toc100039"/>
      <w:r>
        <w:rPr>
          <w:rFonts w:ascii="Calibri" w:eastAsia="Microsoft YaHei"/>
          <w:b/>
          <w:bCs/>
          <w:color w:val="064E3B"/>
          <w:sz w:val="28"/>
          <w:szCs w:val="28"/>
        </w:rPr>
        <w:t xml:space="preserve">7.5 Report Branding &amp; Format</w:t>
      </w:r>
      <w:bookmarkEnd w:id="100039"/>
    </w:p>
    <w:p>
      <w:pPr>
        <w:spacing w:after="120" w:before="0" w:line="312"/>
        <w:ind w:firstLine="0"/>
        <w:jc w:val="both"/>
      </w:pPr>
      <w:r>
        <w:rPr>
          <w:rFonts w:ascii="Calibri" w:eastAsia="Microsoft YaHei"/>
          <w:color w:val="1F2937"/>
          <w:sz w:val="22"/>
          <w:szCs w:val="22"/>
        </w:rPr>
        <w:t xml:space="preserve">Every report includes the InventoryOS logo at the top, the pharmacy name, the prediction period dates, and a 'Prediction confidence' indicator (Low/Medium/High based on how much historical data is available). The report is generated in English by default, with a Bangla toggle planned for a future phase. For email delivery, the report is sent as an HTML email with a PDF attachment (generated via the existing PDF skill). For WhatsApp delivery, the report summary is sent as a template message, with a link to the full report in the InventoryOS web app (and optionally a PDF document attachment, subject to WhatsApp template approval).</w:t>
      </w:r>
    </w:p>
    <w:p>
      <w:pPr>
        <w:pStyle w:val="Heading1"/>
        <w:spacing w:after="200" w:before="360" w:line="312"/>
      </w:pPr>
      <w:bookmarkStart w:id="100040" w:name="_Toc100040"/>
      <w:r>
        <w:rPr>
          <w:rFonts w:ascii="Calibri" w:eastAsia="Microsoft YaHei"/>
          <w:b/>
          <w:bCs/>
          <w:color w:val="064E3B"/>
          <w:sz w:val="32"/>
          <w:szCs w:val="32"/>
        </w:rPr>
        <w:t xml:space="preserve">8. API Endpoints Specification</w:t>
      </w:r>
      <w:bookmarkEnd w:id="100040"/>
    </w:p>
    <w:p>
      <w:pPr>
        <w:spacing w:after="120" w:before="0" w:line="312"/>
        <w:ind w:firstLine="0"/>
        <w:jc w:val="both"/>
      </w:pPr>
      <w:r>
        <w:rPr>
          <w:rFonts w:ascii="Calibri" w:eastAsia="Microsoft YaHei"/>
          <w:color w:val="1F2937"/>
          <w:sz w:val="22"/>
          <w:szCs w:val="22"/>
        </w:rPr>
        <w:t xml:space="preserve">Ten new API endpoints are required, all under the /api/super-admin/ path and requiring super-admin Bearer authentication. The endpoints follow the same patterns as the existing Phase 1-5 endpoints (ai-config, kill-switch, ops-health) for consistency. All endpoints return JSON with a success boolean and appropriate error codes (400 for validation, 401 for unauthorized, 404 for not found, 500 for server errors).</w:t>
      </w:r>
    </w:p>
    <w:p>
      <w:pPr>
        <w:pStyle w:val="Heading2"/>
        <w:spacing w:after="140" w:before="280" w:line="312"/>
      </w:pPr>
      <w:bookmarkStart w:id="100041" w:name="_Toc100041"/>
      <w:r>
        <w:rPr>
          <w:rFonts w:ascii="Calibri" w:eastAsia="Microsoft YaHei"/>
          <w:b/>
          <w:bCs/>
          <w:color w:val="064E3B"/>
          <w:sz w:val="28"/>
          <w:szCs w:val="28"/>
        </w:rPr>
        <w:t xml:space="preserve">8.1 Schedule CRUD Endpoints</w:t>
      </w:r>
      <w:bookmarkEnd w:id="100041"/>
    </w:p>
    <w:p>
      <w:pPr>
        <w:keepNext/>
        <w:spacing w:after="100" w:before="200"/>
        <w:jc w:val="left"/>
      </w:pPr>
      <w:r>
        <w:rPr>
          <w:rFonts w:ascii="Calibri" w:eastAsia="Microsoft YaHei"/>
          <w:b/>
          <w:bCs/>
          <w:color w:val="064E3B"/>
          <w:sz w:val="21"/>
          <w:szCs w:val="21"/>
        </w:rPr>
        <w:t xml:space="preserve">Table 8.1 — Schedule Endpoints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Method</w:t>
            </w:r>
          </w:p>
        </w:tc>
        <w:tc>
          <w:tcPr>
            <w:tcW w:type="pct" w:w="3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Path</w:t>
            </w:r>
          </w:p>
        </w:tc>
        <w:tc>
          <w:tcPr>
            <w:tcW w:type="pct" w:w="5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/api/super-admin/report-schedules</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List all schedules (with pagination, filter by isActive)</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/api/super-admin/report-schedules</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 a new schedule. Body: {name, frequency, dayOfWeek?, dayOfMonth?, startDate?, endDate?, occasions[], targetClientMode, targetClientIds?, deliveryChannels[], reportPeriodDays, isActive}</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/api/super-admin/report-schedules/[id]</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 one schedule with full details</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PUT</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/api/super-admin/report-schedules/[id]</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 a schedule. Same body as POST. Recalculates nextRunAt.</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DELETE</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/api/super-admin/report-schedules/[id]</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Delete a schedule (soft delete via isActive=false recommended, hard delete allowed)</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/api/super-admin/report-schedules/[id]/trigger</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Manually trigger a schedule (for testing). Creates GeneratedReport rows immediately for all target businesses, bypassing the nextRunAt check.</w:t>
            </w:r>
          </w:p>
        </w:tc>
      </w:tr>
    </w:tbl>
    <w:p>
      <w:pPr>
        <w:pStyle w:val="Heading2"/>
        <w:spacing w:after="140" w:before="280" w:line="312"/>
      </w:pPr>
      <w:bookmarkStart w:id="100042" w:name="_Toc100042"/>
      <w:r>
        <w:rPr>
          <w:rFonts w:ascii="Calibri" w:eastAsia="Microsoft YaHei"/>
          <w:b/>
          <w:bCs/>
          <w:color w:val="064E3B"/>
          <w:sz w:val="28"/>
          <w:szCs w:val="28"/>
        </w:rPr>
        <w:t xml:space="preserve">8.2 Occasion &amp; Holiday Endpoints</w:t>
      </w:r>
      <w:bookmarkEnd w:id="100042"/>
    </w:p>
    <w:p>
      <w:pPr>
        <w:keepNext/>
        <w:spacing w:after="100" w:before="200"/>
        <w:jc w:val="left"/>
      </w:pPr>
      <w:r>
        <w:rPr>
          <w:rFonts w:ascii="Calibri" w:eastAsia="Microsoft YaHei"/>
          <w:b/>
          <w:bCs/>
          <w:color w:val="064E3B"/>
          <w:sz w:val="21"/>
          <w:szCs w:val="21"/>
        </w:rPr>
        <w:t xml:space="preserve">Table 8.2 — Occasion Endpoints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Method</w:t>
            </w:r>
          </w:p>
        </w:tc>
        <w:tc>
          <w:tcPr>
            <w:tcW w:type="pct" w:w="3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Path</w:t>
            </w:r>
          </w:p>
        </w:tc>
        <w:tc>
          <w:tcPr>
            <w:tcW w:type="pct" w:w="5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/api/super-admin/occasions</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List all occasions (filter by isActive, type)</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/api/super-admin/occasions</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 a custom occasion. Body: {name, type, datePattern, fixedMonth?, fixedDay?, weeklyDayOfWeek?, impactWeight, durationDays, leadDays, description}</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PUT</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/api/super-admin/occasions/[id]</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 an occasion (e.g., change impactWeight, confirm lunar date)</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DELETE</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/api/super-admin/occasions/[id]</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Delete an occasion (refuse if it has HolidayCalendar entries)</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/api/super-admin/holiday-calendar</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List holidays for a year. Query: ?year=2026. Returns all HolidayCalendar entries for that year with occasion details.</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/api/super-admin/holiday-calendar</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a holiday occurrence. Body: {occasionId, date, isConfirmed, notes}</w:t>
            </w:r>
          </w:p>
        </w:tc>
      </w:tr>
    </w:tbl>
    <w:p>
      <w:pPr>
        <w:pStyle w:val="Heading2"/>
        <w:spacing w:after="140" w:before="280" w:line="312"/>
      </w:pPr>
      <w:bookmarkStart w:id="100043" w:name="_Toc100043"/>
      <w:r>
        <w:rPr>
          <w:rFonts w:ascii="Calibri" w:eastAsia="Microsoft YaHei"/>
          <w:b/>
          <w:bCs/>
          <w:color w:val="064E3B"/>
          <w:sz w:val="28"/>
          <w:szCs w:val="28"/>
        </w:rPr>
        <w:t xml:space="preserve">8.3 Report &amp; Delivery Endpoints</w:t>
      </w:r>
      <w:bookmarkEnd w:id="100043"/>
    </w:p>
    <w:p>
      <w:pPr>
        <w:keepNext/>
        <w:spacing w:after="100" w:before="200"/>
        <w:jc w:val="left"/>
      </w:pPr>
      <w:r>
        <w:rPr>
          <w:rFonts w:ascii="Calibri" w:eastAsia="Microsoft YaHei"/>
          <w:b/>
          <w:bCs/>
          <w:color w:val="064E3B"/>
          <w:sz w:val="21"/>
          <w:szCs w:val="21"/>
        </w:rPr>
        <w:t xml:space="preserve">Table 8.3 — Report &amp; Delivery Endpoints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Method</w:t>
            </w:r>
          </w:p>
        </w:tc>
        <w:tc>
          <w:tcPr>
            <w:tcW w:type="pct" w:w="3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Path</w:t>
            </w:r>
          </w:p>
        </w:tc>
        <w:tc>
          <w:tcPr>
            <w:tcW w:type="pct" w:w="5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/api/super-admin/generated-reports</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List generated reports. Query: ?scheduleId&amp;businessId&amp;status&amp;dateFrom&amp;dateTo&amp;limit&amp;offset</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/api/super-admin/generated-reports/[id]</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 full report content (executiveSummary, spikePredictions, topItems, stockRisks)</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/api/super-admin/generated-reports/[id]/regenerate</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Regenerate a report (useful if AI failed or data changed). Creates a new GeneratedReport row.</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/api/super-admin/report-deliveries</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List delivery records. Query: ?reportId&amp;channel&amp;status&amp;limit&amp;offset</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/api/super-admin/report-deliveries/[id]/resend</w:t>
            </w:r>
          </w:p>
        </w:tc>
        <w:tc>
          <w:tcPr>
            <w:tcW w:type="pct" w:w="5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Manually resend a delivery (e.g., if it failed and founder fixed the email address)</w:t>
            </w:r>
          </w:p>
        </w:tc>
      </w:tr>
    </w:tbl>
    <w:p>
      <w:pPr>
        <w:pStyle w:val="Heading2"/>
        <w:spacing w:after="140" w:before="280" w:line="312"/>
      </w:pPr>
      <w:bookmarkStart w:id="100044" w:name="_Toc100044"/>
      <w:r>
        <w:rPr>
          <w:rFonts w:ascii="Calibri" w:eastAsia="Microsoft YaHei"/>
          <w:b/>
          <w:bCs/>
          <w:color w:val="064E3B"/>
          <w:sz w:val="28"/>
          <w:szCs w:val="28"/>
        </w:rPr>
        <w:t xml:space="preserve">8.4 Example: Create Schedule Request/Response</w:t>
      </w:r>
      <w:bookmarkEnd w:id="100044"/>
    </w:p>
    <w:p>
      <w:pPr>
        <w:pBdr>
          <w:left w:val="single" w:color="8B5CF6" w:sz="18" w:space="12"/>
        </w:pBdr>
        <w:spacing w:after="160" w:before="160" w:line="312"/>
        <w:ind w:left="240"/>
      </w:pPr>
      <w:r>
        <w:rPr>
          <w:rFonts w:ascii="Calibri" w:eastAsia="Microsoft YaHei"/>
          <w:i/>
          <w:iCs/>
          <w:color w:val="1F2937"/>
          <w:sz w:val="22"/>
          <w:szCs w:val="22"/>
        </w:rPr>
        <w:t xml:space="preserve">POST /api/super-admin/report-schedules
Authorization: Bearer &lt;superAdminToken&gt;
Content-Type: application/json
{
  "name": "Weekly Eid-Aware Report",
  "frequency": "weekly",
  "dayOfWeek": 1,
  "occasions": ["eid-ul-fitr", "eid-ul-adha", "friday"],
  "targetClientMode": "all",
  "deliveryChannels": ["email", "whatsapp"],
  "reportPeriodDays": 7,
  "isActive": true
}
Response (201):
{
  "success": true,
  "schedule": {
    "id": "cmq...",
    "name": "Weekly Eid-Aware Report",
    "frequency": "weekly",
    "dayOfWeek": 1,
    "nextRunAt": "2026-07-06T06:00:00.000Z",
    "targetClientCount": 42,
    "estimatedWeeklyCost": 7.56
  }
}</w:t>
      </w:r>
    </w:p>
    <w:p>
      <w:pPr>
        <w:pStyle w:val="Heading1"/>
        <w:spacing w:after="200" w:before="360" w:line="312"/>
      </w:pPr>
      <w:bookmarkStart w:id="100045" w:name="_Toc100045"/>
      <w:r>
        <w:rPr>
          <w:rFonts w:ascii="Calibri" w:eastAsia="Microsoft YaHei"/>
          <w:b/>
          <w:bCs/>
          <w:color w:val="064E3B"/>
          <w:sz w:val="32"/>
          <w:szCs w:val="32"/>
        </w:rPr>
        <w:t xml:space="preserve">9. Super Admin UI — Schedule Builder</w:t>
      </w:r>
      <w:bookmarkEnd w:id="100045"/>
    </w:p>
    <w:p>
      <w:pPr>
        <w:spacing w:after="120" w:before="0" w:line="312"/>
        <w:ind w:firstLine="0"/>
        <w:jc w:val="both"/>
      </w:pPr>
      <w:r>
        <w:rPr>
          <w:rFonts w:ascii="Calibri" w:eastAsia="Microsoft YaHei"/>
          <w:color w:val="1F2937"/>
          <w:sz w:val="22"/>
          <w:szCs w:val="22"/>
        </w:rPr>
        <w:t xml:space="preserve">Four new screens in the /admin dashboard. All follow the existing design system (Emerald Pharmacy palette, shadcn/ui components, consistent with the Phase 1-5 cards). Every field has a tooltip/help icon explaining what it does — consistent with the Phase 4 help off-canvas pattern. The screens are accessible from a new 'Report Schedules' tab in the admin navigation.</w:t>
      </w:r>
    </w:p>
    <w:p>
      <w:pPr>
        <w:pStyle w:val="Heading2"/>
        <w:spacing w:after="140" w:before="280" w:line="312"/>
      </w:pPr>
      <w:bookmarkStart w:id="100046" w:name="_Toc100046"/>
      <w:r>
        <w:rPr>
          <w:rFonts w:ascii="Calibri" w:eastAsia="Microsoft YaHei"/>
          <w:b/>
          <w:bCs/>
          <w:color w:val="064E3B"/>
          <w:sz w:val="28"/>
          <w:szCs w:val="28"/>
        </w:rPr>
        <w:t xml:space="preserve">9.1 Screen 1: Schedule List</w:t>
      </w:r>
      <w:bookmarkEnd w:id="100046"/>
    </w:p>
    <w:p>
      <w:pPr>
        <w:spacing w:after="120" w:before="0" w:line="312"/>
        <w:ind w:firstLine="0"/>
        <w:jc w:val="both"/>
      </w:pPr>
      <w:r>
        <w:rPr>
          <w:rFonts w:ascii="Calibri" w:eastAsia="Microsoft YaHei"/>
          <w:color w:val="1F2937"/>
          <w:sz w:val="22"/>
          <w:szCs w:val="22"/>
        </w:rPr>
        <w:t xml:space="preserve">The landing page for the report scheduling feature. Shows a table of all schedules with columns: Name | Frequency | Occasions | Clients | Channels | Status | Last Run | Next Run | Actions. The 'Actions' column has Edit, Delete, and Trigger (manual run) buttons. A 'Create Schedule' button at the top opens the Schedule Builder form. The table supports search by name and filtering by status (active/inactive). Each row shows a chip per occasion (e.g., 'Eid', 'Friday') and a chip per channel (e.g., 'Email', 'WhatsApp'). 'Next Run' is computed from the schedule's frequency and lastRunAt. If nextRunAt is in the past and the schedule is active, the row is highlighted amber (indicating the checker cron may not be running).</w:t>
      </w:r>
    </w:p>
    <w:p>
      <w:pPr>
        <w:pStyle w:val="Heading2"/>
        <w:spacing w:after="140" w:before="280" w:line="312"/>
      </w:pPr>
      <w:bookmarkStart w:id="100047" w:name="_Toc100047"/>
      <w:r>
        <w:rPr>
          <w:rFonts w:ascii="Calibri" w:eastAsia="Microsoft YaHei"/>
          <w:b/>
          <w:bCs/>
          <w:color w:val="064E3B"/>
          <w:sz w:val="28"/>
          <w:szCs w:val="28"/>
        </w:rPr>
        <w:t xml:space="preserve">9.2 Screen 2: Schedule Builder Form</w:t>
      </w:r>
      <w:bookmarkEnd w:id="100047"/>
    </w:p>
    <w:p>
      <w:pPr>
        <w:spacing w:after="120" w:before="0" w:line="312"/>
        <w:ind w:firstLine="0"/>
        <w:jc w:val="both"/>
      </w:pPr>
      <w:r>
        <w:rPr>
          <w:rFonts w:ascii="Calibri" w:eastAsia="Microsoft YaHei"/>
          <w:color w:val="1F2937"/>
          <w:sz w:val="22"/>
          <w:szCs w:val="22"/>
        </w:rPr>
        <w:t xml:space="preserve">A single-page form (not multi-step — the founder wants to see everything at once) with 5 sections. Section 1: Basic Info — name (required), description (optional). Section 2: Frequency — radio buttons for weekly/monthly/date_range. For weekly, a day-of-week picker (Mon/Tue/Wed/...). For monthly, a day-of-month picker (1-28). For date_range, two date pickers (start, end). Section 3: Occasions — multi-select chips. Each chip shows the occasion name and its impact weight (e.g., 'Eid-ul-Fitr (2.8x)'). A 'Select All' and 'Clear All' button. An 'Add Custom Occasion' link that opens the Occasion Manager. Section 4: Target Clients — radio buttons for 'All active businesses' or 'Selected businesses'. If selected, a multi-select dropdown with search showing all business names. Shows count: '42 businesses selected'. Section 5: Delivery Channels — checkboxes for Email and WhatsApp. If Email is checked, shows a note: 'Reports will be sent to each business owner's email. Businesses without an email will be skipped.' If WhatsApp is checked, shows a note: 'Requires WhatsApp Business API configuration. See Help.' At the bottom: a 'Preview' panel showing the next 3 scheduled run dates, the estimated number of reports per run, and the estimated weekly AI cost. A 'Save Schedule' button.</w:t>
      </w:r>
    </w:p>
    <w:p>
      <w:pPr>
        <w:pStyle w:val="Heading2"/>
        <w:spacing w:after="140" w:before="280" w:line="312"/>
      </w:pPr>
      <w:bookmarkStart w:id="100048" w:name="_Toc100048"/>
      <w:r>
        <w:rPr>
          <w:rFonts w:ascii="Calibri" w:eastAsia="Microsoft YaHei"/>
          <w:b/>
          <w:bCs/>
          <w:color w:val="064E3B"/>
          <w:sz w:val="28"/>
          <w:szCs w:val="28"/>
        </w:rPr>
        <w:t xml:space="preserve">9.3 Screen 3: Occasion Manager</w:t>
      </w:r>
      <w:bookmarkEnd w:id="100048"/>
    </w:p>
    <w:p>
      <w:pPr>
        <w:spacing w:after="120" w:before="0" w:line="312"/>
        <w:ind w:firstLine="0"/>
        <w:jc w:val="both"/>
      </w:pPr>
      <w:r>
        <w:rPr>
          <w:rFonts w:ascii="Calibri" w:eastAsia="Microsoft YaHei"/>
          <w:color w:val="1F2937"/>
          <w:sz w:val="22"/>
          <w:szCs w:val="22"/>
        </w:rPr>
        <w:t xml:space="preserve">A list of all occasions with inline editing. Each row shows: Name | Type | Date Pattern | Impact Weight (editable number input) | Duration (editable) | Lead Days (editable) | Active toggle | Actions (Edit, Delete). The 'Impact Weight' is the most-edited field — the founder will tune these over time as they observe actual sales patterns. An 'Add Custom Occasion' button opens a dialog with all fields. The HolidayCalendar entries for each occasion are shown in an expandable sub-row (e.g., 'Eid-ul-Fitr: 2026-04-10 (unconfirmed), 2027-03-31 (unconfirmed)'). The founder can confirm lunar dates here by checking a 'Confirmed' checkbox.</w:t>
      </w:r>
    </w:p>
    <w:p>
      <w:pPr>
        <w:pStyle w:val="Heading2"/>
        <w:spacing w:after="140" w:before="280" w:line="312"/>
      </w:pPr>
      <w:bookmarkStart w:id="100049" w:name="_Toc100049"/>
      <w:r>
        <w:rPr>
          <w:rFonts w:ascii="Calibri" w:eastAsia="Microsoft YaHei"/>
          <w:b/>
          <w:bCs/>
          <w:color w:val="064E3B"/>
          <w:sz w:val="28"/>
          <w:szCs w:val="28"/>
        </w:rPr>
        <w:t xml:space="preserve">9.4 Screen 4: Generated Reports Viewer</w:t>
      </w:r>
      <w:bookmarkEnd w:id="100049"/>
    </w:p>
    <w:p>
      <w:pPr>
        <w:spacing w:after="120" w:before="0" w:line="312"/>
        <w:ind w:firstLine="0"/>
        <w:jc w:val="both"/>
      </w:pPr>
      <w:r>
        <w:rPr>
          <w:rFonts w:ascii="Calibri" w:eastAsia="Microsoft YaHei"/>
          <w:color w:val="1F2937"/>
          <w:sz w:val="22"/>
          <w:szCs w:val="22"/>
        </w:rPr>
        <w:t xml:space="preserve">A filterable list of all generated reports. Filters: schedule (dropdown), business (dropdown with search), status (pending/generating/completed/failed), date range (date pickers). Each row shows: Business Name | Schedule Name | Report Date | Status | AI Cost | Delivery Status (chips: Email sent/failed, WhatsApp sent/failed). Clicking a row opens a detail view showing the full report content rendered as it would appear to the client: executive summary, spike predictions, top 20 items table, stock risks. The detail view has buttons: 'Re-send Email', 'Re-send WhatsApp', 'Download PDF', 'Regenerate Report' (creates a new report with fresh data).</w:t>
      </w:r>
    </w:p>
    <w:p>
      <w:pPr>
        <w:pStyle w:val="Heading2"/>
        <w:spacing w:after="140" w:before="280" w:line="312"/>
      </w:pPr>
      <w:bookmarkStart w:id="100050" w:name="_Toc100050"/>
      <w:r>
        <w:rPr>
          <w:rFonts w:ascii="Calibri" w:eastAsia="Microsoft YaHei"/>
          <w:b/>
          <w:bCs/>
          <w:color w:val="064E3B"/>
          <w:sz w:val="28"/>
          <w:szCs w:val="28"/>
        </w:rPr>
        <w:t xml:space="preserve">9.5 UX Principle: Tooltips Everywhere</w:t>
      </w:r>
      <w:bookmarkEnd w:id="100050"/>
    </w:p>
    <w:p>
      <w:pPr>
        <w:spacing w:after="120" w:before="0" w:line="312"/>
        <w:ind w:firstLine="0"/>
        <w:jc w:val="both"/>
      </w:pPr>
      <w:r>
        <w:rPr>
          <w:rFonts w:ascii="Calibri" w:eastAsia="Microsoft YaHei"/>
          <w:color w:val="1F2937"/>
          <w:sz w:val="22"/>
          <w:szCs w:val="22"/>
        </w:rPr>
        <w:t xml:space="preserve">Every field in every screen has a tooltip/help icon (the same pattern as the Phase 4 help off-canvas). When the founder hovers over a field label, a tooltip explains what the field does, what the default is, and what happens if left blank. This is critical because the founder will configure these schedules infrequently — they need to be reminded what each option means without reading the full documentation. The tooltips are also added to the SuperAdminHelp off-canvas as 4 new help entries (one per screen).</w:t>
      </w:r>
    </w:p>
    <w:p>
      <w:pPr>
        <w:pStyle w:val="Heading1"/>
        <w:spacing w:after="200" w:before="360" w:line="312"/>
      </w:pPr>
      <w:bookmarkStart w:id="100051" w:name="_Toc100051"/>
      <w:r>
        <w:rPr>
          <w:rFonts w:ascii="Calibri" w:eastAsia="Microsoft YaHei"/>
          <w:b/>
          <w:bCs/>
          <w:color w:val="064E3B"/>
          <w:sz w:val="32"/>
          <w:szCs w:val="32"/>
        </w:rPr>
        <w:t xml:space="preserve">10. Background Jobs &amp; Automation</w:t>
      </w:r>
      <w:bookmarkEnd w:id="100051"/>
    </w:p>
    <w:p>
      <w:pPr>
        <w:spacing w:after="120" w:before="0" w:line="312"/>
        <w:ind w:firstLine="0"/>
        <w:jc w:val="both"/>
      </w:pPr>
      <w:r>
        <w:rPr>
          <w:rFonts w:ascii="Calibri" w:eastAsia="Microsoft YaHei"/>
          <w:color w:val="1F2937"/>
          <w:sz w:val="22"/>
          <w:szCs w:val="22"/>
        </w:rPr>
        <w:t xml:space="preserve">Three new cron jobs are required. They are added to the existing cron system (src/lib/cron-jobs.ts) alongside the existing 4 jobs (nightly-stats, hourly-subscriptions, daily-maintenance, weekly-ai-health). All three use the same auth pattern: x-cron-secret header for external schedulers OR super-admin Bearer token for manual triggering from /admin. The jobs are designed to be idempotent — running them twice does not create duplicate reports.</w:t>
      </w:r>
    </w:p>
    <w:p>
      <w:pPr>
        <w:pStyle w:val="Heading2"/>
        <w:spacing w:after="140" w:before="280" w:line="312"/>
      </w:pPr>
      <w:bookmarkStart w:id="100052" w:name="_Toc100052"/>
      <w:r>
        <w:rPr>
          <w:rFonts w:ascii="Calibri" w:eastAsia="Microsoft YaHei"/>
          <w:b/>
          <w:bCs/>
          <w:color w:val="064E3B"/>
          <w:sz w:val="28"/>
          <w:szCs w:val="28"/>
        </w:rPr>
        <w:t xml:space="preserve">10.1 Job 1: report-schedule-checker</w:t>
      </w:r>
      <w:bookmarkEnd w:id="100052"/>
    </w:p>
    <w:p>
      <w:pPr>
        <w:spacing w:after="120" w:before="0" w:line="312"/>
        <w:ind w:firstLine="0"/>
        <w:jc w:val="both"/>
      </w:pPr>
      <w:r>
        <w:rPr>
          <w:rFonts w:ascii="Calibri" w:eastAsia="Microsoft YaHei"/>
          <w:color w:val="1F2937"/>
          <w:sz w:val="22"/>
          <w:szCs w:val="22"/>
        </w:rPr>
        <w:t xml:space="preserve">Runs every 15 minutes. Queries the ReportSchedule table for active schedules where nextRunAt &lt;= now(). For each due schedule, determines the target client list (all active businesses or the selected list), and for each target business, creates a GeneratedReport row with status 'pending'. Updates the schedule's lastRunAt to now() and computes the next nextRunAt based on frequency. If a schedule's nextRunAt is more than 1 hour overdue (indicating the checker was down), it still runs once but logs a warning. Schedule: */15 * * * * (every 15 minutes).</w:t>
      </w:r>
    </w:p>
    <w:p>
      <w:pPr>
        <w:pStyle w:val="Heading2"/>
        <w:spacing w:after="140" w:before="280" w:line="312"/>
      </w:pPr>
      <w:bookmarkStart w:id="100053" w:name="_Toc100053"/>
      <w:r>
        <w:rPr>
          <w:rFonts w:ascii="Calibri" w:eastAsia="Microsoft YaHei"/>
          <w:b/>
          <w:bCs/>
          <w:color w:val="064E3B"/>
          <w:sz w:val="28"/>
          <w:szCs w:val="28"/>
        </w:rPr>
        <w:t xml:space="preserve">10.2 Job 2: report-generator-worker</w:t>
      </w:r>
      <w:bookmarkEnd w:id="100053"/>
    </w:p>
    <w:p>
      <w:pPr>
        <w:spacing w:after="120" w:before="0" w:line="312"/>
        <w:ind w:firstLine="0"/>
        <w:jc w:val="both"/>
      </w:pPr>
      <w:r>
        <w:rPr>
          <w:rFonts w:ascii="Calibri" w:eastAsia="Microsoft YaHei"/>
          <w:color w:val="1F2937"/>
          <w:sz w:val="22"/>
          <w:szCs w:val="22"/>
        </w:rPr>
        <w:t xml:space="preserve">Runs every 5 minutes. Queries for GeneratedReport rows with status 'pending', takes the first 10 (configurable batch size), and processes them. For each report, marks status 'generating', calls the AI prediction algorithm (Section 6), saves the result, marks status 'completed' (or 'failed' with errorMessage). After completion, creates ReportDelivery rows for each configured channel (email, WhatsApp) with status 'queued'. If the AI call fails (Z.ai outage, timeout, JSON parse error), the report is marked 'failed' and a deterministic fallback report is generated (raw numbers without AI synthesis) so the client still receives something. Schedule: */5 * * * * (every 5 minutes).</w:t>
      </w:r>
    </w:p>
    <w:p>
      <w:pPr>
        <w:pStyle w:val="Heading2"/>
        <w:spacing w:after="140" w:before="280" w:line="312"/>
      </w:pPr>
      <w:bookmarkStart w:id="100054" w:name="_Toc100054"/>
      <w:r>
        <w:rPr>
          <w:rFonts w:ascii="Calibri" w:eastAsia="Microsoft YaHei"/>
          <w:b/>
          <w:bCs/>
          <w:color w:val="064E3B"/>
          <w:sz w:val="28"/>
          <w:szCs w:val="28"/>
        </w:rPr>
        <w:t xml:space="preserve">10.3 Job 3: report-delivery-worker</w:t>
      </w:r>
      <w:bookmarkEnd w:id="100054"/>
    </w:p>
    <w:p>
      <w:pPr>
        <w:spacing w:after="120" w:before="0" w:line="312"/>
        <w:ind w:firstLine="0"/>
        <w:jc w:val="both"/>
      </w:pPr>
      <w:r>
        <w:rPr>
          <w:rFonts w:ascii="Calibri" w:eastAsia="Microsoft YaHei"/>
          <w:color w:val="1F2937"/>
          <w:sz w:val="22"/>
          <w:szCs w:val="22"/>
        </w:rPr>
        <w:t xml:space="preserve">Runs every 1 minute. Queries for ReportDelivery rows with status 'queued', takes the first 20, and sends them. For email, uses the existing src/lib/email.ts module (Phase 4 SMTP infrastructure) with a PDF attachment. For WhatsApp, uses the new src/lib/whatsapp.ts module (Phase E, WhatsApp Business API). Updates status to 'sent' on success, or increments retryCount and schedules a retry (1min, 5min, 15min exponential backoff) on failure. After 3 failures, marks status 'failed' and sends an alert to the founder via the existing kill-switch notification recipients. Schedule: * * * * * (every minute).</w:t>
      </w:r>
    </w:p>
    <w:p>
      <w:pPr>
        <w:pStyle w:val="Heading2"/>
        <w:spacing w:after="140" w:before="280" w:line="312"/>
      </w:pPr>
      <w:bookmarkStart w:id="100055" w:name="_Toc100055"/>
      <w:r>
        <w:rPr>
          <w:rFonts w:ascii="Calibri" w:eastAsia="Microsoft YaHei"/>
          <w:b/>
          <w:bCs/>
          <w:color w:val="064E3B"/>
          <w:sz w:val="28"/>
          <w:szCs w:val="28"/>
        </w:rPr>
        <w:t xml:space="preserve">10.4 Cron Schedule Summary</w:t>
      </w:r>
      <w:bookmarkEnd w:id="100055"/>
    </w:p>
    <w:p>
      <w:pPr>
        <w:keepNext/>
        <w:spacing w:after="100" w:before="200"/>
        <w:jc w:val="left"/>
      </w:pPr>
      <w:r>
        <w:rPr>
          <w:rFonts w:ascii="Calibri" w:eastAsia="Microsoft YaHei"/>
          <w:b/>
          <w:bCs/>
          <w:color w:val="064E3B"/>
          <w:sz w:val="21"/>
          <w:szCs w:val="21"/>
        </w:rPr>
        <w:t xml:space="preserve">Table 10.1 — New Cron Jobs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2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Job Name</w:t>
            </w:r>
          </w:p>
        </w:tc>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Schedule</w:t>
            </w:r>
          </w:p>
        </w:tc>
        <w:tc>
          <w:tcPr>
            <w:tcW w:type="pct" w:w="3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Auth</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report-schedule-checker</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 * * * * (every 15 min)</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Detect due schedules, create pending GeneratedReport rows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x-cron-secret OR super-admin Bearer</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report-generator-worker</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 * * * * (every 5 min)</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Process pending reports, call AI, create delivery rows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x-cron-secret OR super-admin Bearer</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report-delivery-worker</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 * * * (every 1 min)</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Send queued deliveries via email/WhatsApp, handle retries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x-cron-secret OR super-admin Bearer</w:t>
            </w:r>
          </w:p>
        </w:tc>
      </w:tr>
    </w:tbl>
    <w:p>
      <w:pPr>
        <w:pStyle w:val="Heading2"/>
        <w:spacing w:after="140" w:before="280" w:line="312"/>
      </w:pPr>
      <w:bookmarkStart w:id="100056" w:name="_Toc100056"/>
      <w:r>
        <w:rPr>
          <w:rFonts w:ascii="Calibri" w:eastAsia="Microsoft YaHei"/>
          <w:b/>
          <w:bCs/>
          <w:color w:val="064E3B"/>
          <w:sz w:val="28"/>
          <w:szCs w:val="28"/>
        </w:rPr>
        <w:t xml:space="preserve">10.5 External Scheduler Setup</w:t>
      </w:r>
      <w:bookmarkEnd w:id="100056"/>
    </w:p>
    <w:p>
      <w:pPr>
        <w:spacing w:after="120" w:before="0" w:line="312"/>
        <w:ind w:firstLine="0"/>
        <w:jc w:val="both"/>
      </w:pPr>
      <w:r>
        <w:rPr>
          <w:rFonts w:ascii="Calibri" w:eastAsia="Microsoft YaHei"/>
          <w:color w:val="1F2937"/>
          <w:sz w:val="22"/>
          <w:szCs w:val="22"/>
        </w:rPr>
        <w:t xml:space="preserve">Like the existing cron jobs, these endpoints require an external scheduler to trigger them. The founder should configure a service like Vercel Cron, cron-job.org, or a systemd timer to hit POST /api/cron/report-schedule-checker, /api/cron/report-generator-worker, and /api/cron/report-delivery-worker at the schedules above, with the x-cron-secret header. The cron secret is the same CRON_SECRET env var used by the existing jobs. All three endpoints also accept super-admin Bearer auth for manual testing from /admin (via the Background Jobs card 'Run Now' button).</w:t>
      </w:r>
    </w:p>
    <w:p>
      <w:pPr>
        <w:pStyle w:val="Heading1"/>
        <w:spacing w:after="200" w:before="360" w:line="312"/>
      </w:pPr>
      <w:bookmarkStart w:id="100057" w:name="_Toc100057"/>
      <w:r>
        <w:rPr>
          <w:rFonts w:ascii="Calibri" w:eastAsia="Microsoft YaHei"/>
          <w:b/>
          <w:bCs/>
          <w:color w:val="064E3B"/>
          <w:sz w:val="32"/>
          <w:szCs w:val="32"/>
        </w:rPr>
        <w:t xml:space="preserve">11. Delivery Integration — Email &amp; WhatsApp</w:t>
      </w:r>
      <w:bookmarkEnd w:id="100057"/>
    </w:p>
    <w:p>
      <w:pPr>
        <w:spacing w:after="120" w:before="0" w:line="312"/>
        <w:ind w:firstLine="0"/>
        <w:jc w:val="both"/>
      </w:pPr>
      <w:r>
        <w:rPr>
          <w:rFonts w:ascii="Calibri" w:eastAsia="Microsoft YaHei"/>
          <w:color w:val="1F2937"/>
          <w:sz w:val="22"/>
          <w:szCs w:val="22"/>
        </w:rPr>
        <w:t xml:space="preserve">Two delivery channels are supported. Email is Phase 1 (immediate, reuses Phase 4 SMTP infrastructure). WhatsApp is Phase 2 (future, requires WhatsApp Business API setup). Both channels can be enabled per schedule, and a single report can be delivered via both channels simultaneously.</w:t>
      </w:r>
    </w:p>
    <w:p>
      <w:pPr>
        <w:pStyle w:val="Heading2"/>
        <w:spacing w:after="140" w:before="280" w:line="312"/>
      </w:pPr>
      <w:bookmarkStart w:id="100058" w:name="_Toc100058"/>
      <w:r>
        <w:rPr>
          <w:rFonts w:ascii="Calibri" w:eastAsia="Microsoft YaHei"/>
          <w:b/>
          <w:bCs/>
          <w:color w:val="064E3B"/>
          <w:sz w:val="28"/>
          <w:szCs w:val="28"/>
        </w:rPr>
        <w:t xml:space="preserve">11.1 Email Delivery (Phase D)</w:t>
      </w:r>
      <w:bookmarkEnd w:id="100058"/>
    </w:p>
    <w:p>
      <w:pPr>
        <w:spacing w:after="120" w:before="0" w:line="312"/>
        <w:ind w:firstLine="0"/>
        <w:jc w:val="both"/>
      </w:pPr>
      <w:r>
        <w:rPr>
          <w:rFonts w:ascii="Calibri" w:eastAsia="Microsoft YaHei"/>
          <w:color w:val="1F2937"/>
          <w:sz w:val="22"/>
          <w:szCs w:val="22"/>
        </w:rPr>
        <w:t xml:space="preserve">Email delivery uses the existing src/lib/email.ts module built in Phase 4. The module uses nodemailer with SMTP credentials from environment variables (SMTP_HOST, SMTP_PORT, SMTP_USER, SMTP_PASS, SMTP_FROM). No new infrastructure is needed — the same module that sends kill-switch alerts sends report emails. The email contains: an HTML body with the report content styled with the InventoryOS brand (emerald header, clean typography, the top 20 items as an HTML table), a PDF attachment (generated via the existing PDF skill with the same brand styling), and a subject line like 'Weekly Sales Prediction — City Pharmacy — Week of June 29'. The recipient is the business owner's email — a new field ownerEmail should be added to the Business model (or the email of the user with the 'owner' role can be used). If the business has no email configured, the delivery is marked 'failed' with errorMessage 'No email address on file' and the report is still viewable in /admin.</w:t>
      </w:r>
    </w:p>
    <w:p>
      <w:pPr>
        <w:pStyle w:val="Heading2"/>
        <w:spacing w:after="140" w:before="280" w:line="312"/>
      </w:pPr>
      <w:bookmarkStart w:id="100059" w:name="_Toc100059"/>
      <w:r>
        <w:rPr>
          <w:rFonts w:ascii="Calibri" w:eastAsia="Microsoft YaHei"/>
          <w:b/>
          <w:bCs/>
          <w:color w:val="064E3B"/>
          <w:sz w:val="28"/>
          <w:szCs w:val="28"/>
        </w:rPr>
        <w:t xml:space="preserve">11.2 WhatsApp Delivery (Phase E — Future)</w:t>
      </w:r>
      <w:bookmarkEnd w:id="100059"/>
    </w:p>
    <w:p>
      <w:pPr>
        <w:spacing w:after="120" w:before="0" w:line="312"/>
        <w:ind w:firstLine="0"/>
        <w:jc w:val="both"/>
      </w:pPr>
      <w:r>
        <w:rPr>
          <w:rFonts w:ascii="Calibri" w:eastAsia="Microsoft YaHei"/>
          <w:color w:val="1F2937"/>
          <w:sz w:val="22"/>
          <w:szCs w:val="22"/>
        </w:rPr>
        <w:t xml:space="preserve">WhatsApp delivery uses the Meta WhatsApp Business Cloud API. This is a separate phase because it requires Meta account setup, template message approval (3-5 business days), and a paid WhatsApp Business account. The integration plan is as follows.</w:t>
      </w:r>
    </w:p>
    <w:p>
      <w:pPr>
        <w:pStyle w:val="Heading3"/>
        <w:spacing w:after="100" w:before="220" w:line="312"/>
      </w:pPr>
      <w:bookmarkStart w:id="100060" w:name="_Toc100060"/>
      <w:r>
        <w:rPr>
          <w:rFonts w:ascii="Calibri" w:eastAsia="Microsoft YaHei"/>
          <w:b/>
          <w:bCs/>
          <w:color w:val="064E3B"/>
          <w:sz w:val="24"/>
          <w:szCs w:val="24"/>
        </w:rPr>
        <w:t xml:space="preserve">11.2.1 WhatsApp Business API Setup Steps</w:t>
      </w:r>
      <w:bookmarkEnd w:id="100060"/>
    </w:p>
    <w:p>
      <w:pPr>
        <w:spacing w:after="120" w:before="0" w:line="312"/>
        <w:ind w:firstLine="0"/>
        <w:jc w:val="both"/>
      </w:pPr>
      <w:r>
        <w:rPr>
          <w:rFonts w:ascii="Calibri" w:eastAsia="Microsoft YaHei"/>
          <w:color w:val="1F2937"/>
          <w:sz w:val="22"/>
          <w:szCs w:val="22"/>
        </w:rPr>
        <w:t xml:space="preserve">Step 1: Create a Meta Business account at business.facebook.com if not already exists. Step 2: Add a WhatsApp Business phone number (different from any personal WhatsApp number). Step 3: Verify the business (requires business documents — trade license, etc.). Step 4: Apply for production access (default is sandbox with 5 test numbers). Step 5: Create a message template for the report summary. WhatsApp requires business-initiated messages to use pre-approved templates. The template might be: 'Hello {{1}}, your weekly sales prediction for {{2}} is ready. Top opportunity: {{3}}. Top risk: {{4}}. View full report: {{5}}.' Template variables: {{1}} = pharmacy owner name, {{2}} = business name, {{3}} = top opportunity summary, {{4}} = top risk summary, {{5}} = link to full report in InventoryOS. Step 6: Submit the template for Meta review (3-5 business days). Step 7: Once approved, configure WHATSAPP_TOKEN and WHATSAPP_PHONE_ID environment variables.</w:t>
      </w:r>
    </w:p>
    <w:p>
      <w:pPr>
        <w:pStyle w:val="Heading3"/>
        <w:spacing w:after="100" w:before="220" w:line="312"/>
      </w:pPr>
      <w:bookmarkStart w:id="100061" w:name="_Toc100061"/>
      <w:r>
        <w:rPr>
          <w:rFonts w:ascii="Calibri" w:eastAsia="Microsoft YaHei"/>
          <w:b/>
          <w:bCs/>
          <w:color w:val="064E3B"/>
          <w:sz w:val="24"/>
          <w:szCs w:val="24"/>
        </w:rPr>
        <w:t xml:space="preserve">11.2.2 WhatsApp Module (src/lib/whatsapp.ts)</w:t>
      </w:r>
      <w:bookmarkEnd w:id="100061"/>
    </w:p>
    <w:p>
      <w:pPr>
        <w:spacing w:after="120" w:before="0" w:line="312"/>
        <w:ind w:firstLine="0"/>
        <w:jc w:val="both"/>
      </w:pPr>
      <w:r>
        <w:rPr>
          <w:rFonts w:ascii="Calibri" w:eastAsia="Microsoft YaHei"/>
          <w:color w:val="1F2937"/>
          <w:sz w:val="22"/>
          <w:szCs w:val="22"/>
        </w:rPr>
        <w:t xml:space="preserve">A new module parallel to email.ts. Exports: sendWhatsAppMessage(phoneNumber, templateName, templateParams), isWhatsAppConfigured(), getWhatsAppPhoneId(). Uses the fetch API to call the Meta Graph API (https://graph.facebook.com/v18.0/{phone_id}/messages). If WHATSAPP_TOKEN is not set, fails safe to console.warn (same pattern as email.ts). The module is used by the report-delivery-worker cron job when a delivery has channel='whatsapp'.</w:t>
      </w:r>
    </w:p>
    <w:p>
      <w:pPr>
        <w:pStyle w:val="Heading3"/>
        <w:spacing w:after="100" w:before="220" w:line="312"/>
      </w:pPr>
      <w:bookmarkStart w:id="100062" w:name="_Toc100062"/>
      <w:r>
        <w:rPr>
          <w:rFonts w:ascii="Calibri" w:eastAsia="Microsoft YaHei"/>
          <w:b/>
          <w:bCs/>
          <w:color w:val="064E3B"/>
          <w:sz w:val="24"/>
          <w:szCs w:val="24"/>
        </w:rPr>
        <w:t xml:space="preserve">11.2.3 WhatsApp Pricing &amp; Rate Limits</w:t>
      </w:r>
      <w:bookmarkEnd w:id="100062"/>
    </w:p>
    <w:p>
      <w:pPr>
        <w:keepNext/>
        <w:spacing w:after="100" w:before="200"/>
        <w:jc w:val="left"/>
      </w:pPr>
      <w:r>
        <w:rPr>
          <w:rFonts w:ascii="Calibri" w:eastAsia="Microsoft YaHei"/>
          <w:b/>
          <w:bCs/>
          <w:color w:val="064E3B"/>
          <w:sz w:val="21"/>
          <w:szCs w:val="21"/>
        </w:rPr>
        <w:t xml:space="preserve">Table 11.1 — WhatsApp Business API Costs (Bangladesh)</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Message Type</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Cost (USD)</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Cost (BDT)</w:t>
            </w:r>
          </w:p>
        </w:tc>
        <w:tc>
          <w:tcPr>
            <w:tcW w:type="pct" w:w="3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Notes</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Business-initiated (template)</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$0.040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~4.4 BDT</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Per conversation. A conversation = 24h window after first business message</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User-initiated (reply)</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$0.011</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 BDT</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When client replies to the report</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First 1,000 conversations/month</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FREE</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 BDT</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Meta waives first 1K per month per number</w:t>
            </w:r>
          </w:p>
        </w:tc>
      </w:tr>
    </w:tbl>
    <w:p>
      <w:pPr>
        <w:spacing w:after="120" w:before="0" w:line="312"/>
        <w:ind w:firstLine="0"/>
        <w:jc w:val="both"/>
      </w:pPr>
      <w:r>
        <w:rPr>
          <w:rFonts w:ascii="Calibri" w:eastAsia="Microsoft YaHei"/>
          <w:color w:val="1F2937"/>
          <w:sz w:val="22"/>
          <w:szCs w:val="22"/>
        </w:rPr>
        <w:t xml:space="preserve">Rate limit: 1,000 business-initiated messages per 24 hours per WhatsApp Business number. At 1,000+ clients, a second WhatsApp Business number is needed. The system should support multiple phone numbers (round-robin) in a future iteration. For Phase E, a single number supports up to ~1,000 weekly report recipients — sufficient for the first 12-18 months of growth.</w:t>
      </w:r>
    </w:p>
    <w:p>
      <w:pPr>
        <w:pStyle w:val="Heading2"/>
        <w:spacing w:after="140" w:before="280" w:line="312"/>
      </w:pPr>
      <w:bookmarkStart w:id="100063" w:name="_Toc100063"/>
      <w:r>
        <w:rPr>
          <w:rFonts w:ascii="Calibri" w:eastAsia="Microsoft YaHei"/>
          <w:b/>
          <w:bCs/>
          <w:color w:val="064E3B"/>
          <w:sz w:val="28"/>
          <w:szCs w:val="28"/>
        </w:rPr>
        <w:t xml:space="preserve">11.3 Fail-Safe Pattern</w:t>
      </w:r>
      <w:bookmarkEnd w:id="100063"/>
    </w:p>
    <w:p>
      <w:pPr>
        <w:spacing w:after="120" w:before="0" w:line="312"/>
        <w:ind w:firstLine="0"/>
        <w:jc w:val="both"/>
      </w:pPr>
      <w:r>
        <w:rPr>
          <w:rFonts w:ascii="Calibri" w:eastAsia="Microsoft YaHei"/>
          <w:color w:val="1F2937"/>
          <w:sz w:val="22"/>
          <w:szCs w:val="22"/>
        </w:rPr>
        <w:t xml:space="preserve">Both email and WhatsApp modules follow the same fail-safe pattern established in Phase 4: if the channel is not configured (SMTP env vars missing for email, WHATSAPP_TOKEN missing for WhatsApp), the delivery is logged to the console and the ReportDelivery row is marked 'failed' with a clear errorMessage. The report itself is still saved to the GeneratedReport table and is viewable in /admin — the client just does not receive the push notification. This ensures no report is ever lost, even if delivery infrastructure is down. The founder can manually re-send from /admin once the issue is fixed.</w:t>
      </w:r>
    </w:p>
    <w:p>
      <w:pPr>
        <w:pStyle w:val="Heading1"/>
        <w:spacing w:after="200" w:before="360" w:line="312"/>
      </w:pPr>
      <w:bookmarkStart w:id="100064" w:name="_Toc100064"/>
      <w:r>
        <w:rPr>
          <w:rFonts w:ascii="Calibri" w:eastAsia="Microsoft YaHei"/>
          <w:b/>
          <w:bCs/>
          <w:color w:val="064E3B"/>
          <w:sz w:val="32"/>
          <w:szCs w:val="32"/>
        </w:rPr>
        <w:t xml:space="preserve">12. Cost Analysis &amp; Pricing</w:t>
      </w:r>
      <w:bookmarkEnd w:id="100064"/>
    </w:p>
    <w:p>
      <w:pPr>
        <w:spacing w:after="120" w:before="0" w:line="312"/>
        <w:ind w:firstLine="0"/>
        <w:jc w:val="both"/>
      </w:pPr>
      <w:r>
        <w:rPr>
          <w:rFonts w:ascii="Calibri" w:eastAsia="Microsoft YaHei"/>
          <w:color w:val="1F2937"/>
          <w:sz w:val="22"/>
          <w:szCs w:val="22"/>
        </w:rPr>
        <w:t xml:space="preserve">This section quantifies the AI cost of the report scheduling feature and recommends a pricing strategy. The good news: the feature is remarkably cheap to run because the AI call is small (the heavy lifting is done in code, not by the LLM). The feature is bundled into the Pro+AI tier at no extra cost because it is a retention play, not a revenue play.</w:t>
      </w:r>
    </w:p>
    <w:p>
      <w:pPr>
        <w:pStyle w:val="Heading2"/>
        <w:spacing w:after="140" w:before="280" w:line="312"/>
      </w:pPr>
      <w:bookmarkStart w:id="100065" w:name="_Toc100065"/>
      <w:r>
        <w:rPr>
          <w:rFonts w:ascii="Calibri" w:eastAsia="Microsoft YaHei"/>
          <w:b/>
          <w:bCs/>
          <w:color w:val="064E3B"/>
          <w:sz w:val="28"/>
          <w:szCs w:val="28"/>
        </w:rPr>
        <w:t xml:space="preserve">12.1 Per-Report AI Cost</w:t>
      </w:r>
      <w:bookmarkEnd w:id="100065"/>
    </w:p>
    <w:p>
      <w:pPr>
        <w:spacing w:after="120" w:before="0" w:line="312"/>
        <w:ind w:firstLine="0"/>
        <w:jc w:val="both"/>
      </w:pPr>
      <w:r>
        <w:rPr>
          <w:rFonts w:ascii="Calibri" w:eastAsia="Microsoft YaHei"/>
          <w:color w:val="1F2937"/>
          <w:sz w:val="22"/>
          <w:szCs w:val="22"/>
        </w:rPr>
        <w:t xml:space="preserve">Each report requires one AI call. The input is approximately 3,500 tokens: the system prompt (~400 tokens), the business context (~200 tokens), the 1-year sales summary for top 50 products (~1,800 tokens), the upcoming occasions list (~200 tokens), and the current stock levels for top 50 products (~900 tokens). The output is approximately 2,500 tokens: the executive summary (~150 tokens), 3 spike predictions (~300 tokens), 20 top items with recommendations (~1,500 tokens), and stock risks (~550 tokens). Total: approximately 6,000 tokens per report.</w:t>
      </w:r>
    </w:p>
    <w:p>
      <w:pPr>
        <w:spacing w:after="120" w:before="0" w:line="312"/>
        <w:ind w:firstLine="0"/>
        <w:jc w:val="both"/>
      </w:pPr>
      <w:r>
        <w:rPr>
          <w:rFonts w:ascii="Calibri" w:eastAsia="Microsoft YaHei"/>
          <w:color w:val="1F2937"/>
          <w:sz w:val="22"/>
          <w:szCs w:val="22"/>
        </w:rPr>
        <w:t xml:space="preserve">At the Z.ai GLM-4 rate of 0.03 BDT per 1,000 tokens (configured in src/lib/ai-rate-limit.ts), the cost per report is 6,000 / 1,000 * 0.03 = 0.18 BDT. This is the AI cost only — it does not include the database query cost (negligible) or the email/WhatsApp delivery cost (separate, see Section 11).</w:t>
      </w:r>
    </w:p>
    <w:p>
      <w:pPr>
        <w:pStyle w:val="Heading2"/>
        <w:spacing w:after="140" w:before="280" w:line="312"/>
      </w:pPr>
      <w:bookmarkStart w:id="100066" w:name="_Toc100066"/>
      <w:r>
        <w:rPr>
          <w:rFonts w:ascii="Calibri" w:eastAsia="Microsoft YaHei"/>
          <w:b/>
          <w:bCs/>
          <w:color w:val="064E3B"/>
          <w:sz w:val="28"/>
          <w:szCs w:val="28"/>
        </w:rPr>
        <w:t xml:space="preserve">12.2 Platform Cost at Scale</w:t>
      </w:r>
      <w:bookmarkEnd w:id="100066"/>
    </w:p>
    <w:p>
      <w:pPr>
        <w:keepNext/>
        <w:spacing w:after="100" w:before="200"/>
        <w:jc w:val="left"/>
      </w:pPr>
      <w:r>
        <w:rPr>
          <w:rFonts w:ascii="Calibri" w:eastAsia="Microsoft YaHei"/>
          <w:b/>
          <w:bCs/>
          <w:color w:val="064E3B"/>
          <w:sz w:val="21"/>
          <w:szCs w:val="21"/>
        </w:rPr>
        <w:t xml:space="preserve">Table 12.1 — Monthly AI Cost by Client Count (Weekly Reports)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gridCol w:w="100"/>
      </w:tblGrid>
      <w:tr>
        <w:trPr>
          <w:cantSplit/>
          <w:tblHeader/>
        </w:trPr>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Clients</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Reports/Week</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Reports/Month</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Tokens/Month</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AI Cost (BDT)</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AI Cost (USD)</w:t>
            </w:r>
          </w:p>
        </w:tc>
      </w:tr>
      <w:tr>
        <w:trPr>
          <w:cantSplit/>
        </w:trPr>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43</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258,000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7.74</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$0.07</w:t>
            </w:r>
          </w:p>
        </w:tc>
      </w:tr>
      <w:tr>
        <w:trPr>
          <w:cantSplit/>
        </w:trPr>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215</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1,290,000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38.70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$0.35</w:t>
            </w:r>
          </w:p>
        </w:tc>
      </w:tr>
      <w:tr>
        <w:trPr>
          <w:cantSplit/>
        </w:trPr>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430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2,580,000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77.40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$0.70</w:t>
            </w:r>
          </w:p>
        </w:tc>
      </w:tr>
      <w:tr>
        <w:trPr>
          <w:cantSplit/>
        </w:trPr>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2,150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12,900,000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387.00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$3.52</w:t>
            </w:r>
          </w:p>
        </w:tc>
      </w:tr>
      <w:tr>
        <w:trPr>
          <w:cantSplit/>
        </w:trPr>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4,300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25,800,000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774.00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$7.04</w:t>
            </w:r>
          </w:p>
        </w:tc>
      </w:tr>
      <w:tr>
        <w:trPr>
          <w:cantSplit/>
        </w:trPr>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21,500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129,000,000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3,870.00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$35.18</w:t>
            </w:r>
          </w:p>
        </w:tc>
      </w:tr>
      <w:tr>
        <w:trPr>
          <w:cantSplit/>
        </w:trPr>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10,000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10,000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43,000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258,000,000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7,740.00</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$70.36</w:t>
            </w:r>
          </w:p>
        </w:tc>
      </w:tr>
    </w:tbl>
    <w:p>
      <w:pPr>
        <w:spacing w:after="120" w:before="0" w:line="312"/>
        <w:ind w:firstLine="0"/>
        <w:jc w:val="both"/>
      </w:pPr>
      <w:r>
        <w:rPr>
          <w:rFonts w:ascii="Calibri" w:eastAsia="Microsoft YaHei"/>
          <w:color w:val="1F2937"/>
          <w:sz w:val="22"/>
          <w:szCs w:val="22"/>
        </w:rPr>
        <w:t xml:space="preserve">Reading the table: at 100 clients receiving weekly reports, the platform AI cost is 77 BDT per month (about $0.70 USD). At 1,000 clients it is 774 BDT ($7 USD). At 10,000 clients it is 7,740 BDT ($70 USD). These numbers are well within the existing kill-switch threshold of 100,000 BDT/month platform-wide. The feature does not require any adjustment to the kill-switch thresholds — even at 10,000 clients, the cost is 7.7 percent of the threshold.</w:t>
      </w:r>
    </w:p>
    <w:p>
      <w:pPr>
        <w:pStyle w:val="Heading2"/>
        <w:spacing w:after="140" w:before="280" w:line="312"/>
      </w:pPr>
      <w:bookmarkStart w:id="100067" w:name="_Toc100067"/>
      <w:r>
        <w:rPr>
          <w:rFonts w:ascii="Calibri" w:eastAsia="Microsoft YaHei"/>
          <w:b/>
          <w:bCs/>
          <w:color w:val="064E3B"/>
          <w:sz w:val="28"/>
          <w:szCs w:val="28"/>
        </w:rPr>
        <w:t xml:space="preserve">12.3 Pricing Recommendation</w:t>
      </w:r>
      <w:bookmarkEnd w:id="100067"/>
    </w:p>
    <w:p>
      <w:pPr>
        <w:spacing w:after="120" w:before="0" w:line="312"/>
        <w:ind w:firstLine="0"/>
        <w:jc w:val="both"/>
      </w:pPr>
      <w:r>
        <w:rPr>
          <w:rFonts w:ascii="Calibri" w:eastAsia="Microsoft YaHei"/>
          <w:color w:val="1F2937"/>
          <w:sz w:val="22"/>
          <w:szCs w:val="22"/>
        </w:rPr>
        <w:t xml:space="preserve">Bundle the weekly report into the Pro+AI tier (199 BDT/month) at no extra cost. The report is a retention feature — its job is to keep clients subscribed, not to generate direct revenue. At 100 Pro+AI clients, the report costs 77 BDT/month (0.77 BDT per client), and the subscription revenue is 19,900 BDT/month. The report cost is 0.4 percent of subscription revenue — negligible. For the Enterprise tier (future, custom pricing), charge 500 BDT/month extra for daily reports (instead of weekly) plus WhatsApp delivery. Daily reports cost 7x more (4.3 reports/week vs 0.6 reports/week), so the per-client cost rises to ~5.4 BDT/month — still a 92x margin at 500 BDT pricing.</w:t>
      </w:r>
    </w:p>
    <w:p>
      <w:pPr>
        <w:pStyle w:val="Heading2"/>
        <w:spacing w:after="140" w:before="280" w:line="312"/>
      </w:pPr>
      <w:bookmarkStart w:id="100068" w:name="_Toc100068"/>
      <w:r>
        <w:rPr>
          <w:rFonts w:ascii="Calibri" w:eastAsia="Microsoft YaHei"/>
          <w:b/>
          <w:bCs/>
          <w:color w:val="064E3B"/>
          <w:sz w:val="28"/>
          <w:szCs w:val="28"/>
        </w:rPr>
        <w:t xml:space="preserve">12.4 Integration with Phase 1-5 Defenses</w:t>
      </w:r>
      <w:bookmarkEnd w:id="100068"/>
    </w:p>
    <w:p>
      <w:pPr>
        <w:spacing w:after="120" w:before="0" w:line="312"/>
        <w:ind w:firstLine="0"/>
        <w:jc w:val="both"/>
      </w:pPr>
      <w:r>
        <w:rPr>
          <w:rFonts w:ascii="Calibri" w:eastAsia="Microsoft YaHei"/>
          <w:color w:val="1F2937"/>
          <w:sz w:val="22"/>
          <w:szCs w:val="22"/>
        </w:rPr>
        <w:t xml:space="preserve">The report generation AI calls are subject to all existing defenses. The max_tokens cap (Phase 1) limits the AI response — the report-generator-worker uses a configurable max_tokens (default 2048, editable from /admin). The circuit breaker (Phase 2) prevents a single business from burning too many tokens in 24 hours — a single weekly report is 6,000 tokens, well under the 400,000-token circuit breaker threshold. The kill-switch (Phase 4) blocks all AI calls if platform-wide cost exceeds the threshold. The 500K monthly token budget per business covers approximately 80 reports per month — more than enough for weekly (4-5/month). If a business somehow exceeds the token budget (e.g., the founder sets up daily reports), the report generation falls back to deterministic mode (raw numbers without AI synthesis) so the client still receives a report.</w:t>
      </w:r>
    </w:p>
    <w:p>
      <w:pPr>
        <w:pStyle w:val="Heading1"/>
        <w:spacing w:after="200" w:before="360" w:line="312"/>
      </w:pPr>
      <w:bookmarkStart w:id="100069" w:name="_Toc100069"/>
      <w:r>
        <w:rPr>
          <w:rFonts w:ascii="Calibri" w:eastAsia="Microsoft YaHei"/>
          <w:b/>
          <w:bCs/>
          <w:color w:val="064E3B"/>
          <w:sz w:val="32"/>
          <w:szCs w:val="32"/>
        </w:rPr>
        <w:t xml:space="preserve">13. Phased Implementation Roadmap</w:t>
      </w:r>
      <w:bookmarkEnd w:id="100069"/>
    </w:p>
    <w:p>
      <w:pPr>
        <w:spacing w:after="120" w:before="0" w:line="312"/>
        <w:ind w:firstLine="0"/>
        <w:jc w:val="both"/>
      </w:pPr>
      <w:r>
        <w:rPr>
          <w:rFonts w:ascii="Calibri" w:eastAsia="Microsoft YaHei"/>
          <w:color w:val="1F2937"/>
          <w:sz w:val="22"/>
          <w:szCs w:val="22"/>
        </w:rPr>
        <w:t xml:space="preserve">Five implementation phases over 8 weeks, totaling 38 hours of developer effort. The phases are sequenced so that each one delivers a usable increment — after Phase B, the founder can manually trigger reports. After Phase D, email delivery is fully automated. After Phase E, WhatsApp delivery is fully automated. Each phase has a clear gate: do not start the next phase until the current one's exit criteria are met.</w:t>
      </w:r>
    </w:p>
    <w:p>
      <w:pPr>
        <w:pStyle w:val="Heading2"/>
        <w:spacing w:after="140" w:before="280" w:line="312"/>
      </w:pPr>
      <w:bookmarkStart w:id="100070" w:name="_Toc100070"/>
      <w:r>
        <w:rPr>
          <w:rFonts w:ascii="Calibri" w:eastAsia="Microsoft YaHei"/>
          <w:b/>
          <w:bCs/>
          <w:color w:val="064E3B"/>
          <w:sz w:val="28"/>
          <w:szCs w:val="28"/>
        </w:rPr>
        <w:t xml:space="preserve">13.1 Phase A — Data Model &amp; Occasion Calendar (Week 1-2, 8 hours)</w:t>
      </w:r>
      <w:bookmarkEnd w:id="100070"/>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Add the 5 Prisma models, migrate, seed the Bangladesh holiday calendar, and build the basic occasion CRUD API.</w:t>
      </w:r>
    </w:p>
    <w:p>
      <w:pPr>
        <w:spacing w:after="120" w:before="0" w:line="312"/>
        <w:ind/>
        <w:jc w:val="both"/>
      </w:pPr>
      <w:r>
        <w:rPr>
          <w:rFonts w:ascii="Calibri" w:eastAsia="Microsoft YaHei"/>
          <w:b/>
          <w:bCs/>
          <w:i w:val="false"/>
          <w:iCs w:val="false"/>
          <w:color w:val="1F2937"/>
          <w:sz w:val="22"/>
          <w:szCs w:val="22"/>
        </w:rPr>
        <w:t xml:space="preserve">Tasks: </w:t>
      </w:r>
      <w:r>
        <w:rPr>
          <w:rFonts w:ascii="Calibri" w:eastAsia="Microsoft YaHei"/>
          <w:b w:val="false"/>
          <w:bCs w:val="false"/>
          <w:i w:val="false"/>
          <w:iCs w:val="false"/>
          <w:color w:val="1F2937"/>
          <w:sz w:val="22"/>
          <w:szCs w:val="22"/>
        </w:rPr>
        <w:t xml:space="preserve">(1) Add ReportSchedule, ReportOccasion, HolidayCalendar, GeneratedReport, ReportDelivery to schema.prisma. (2) Run prisma db push + generate. (3) Create scripts/seed-holiday-calendar.js to pre-populate 2026-2027 Bangladesh holidays. (4) Build GET/POST/PUT/DELETE /api/super-admin/occasions. (5) Build GET/POST /api/super-admin/holiday-calendar. (6) Add 'ownerEmail' field to Business model (for email delivery).</w:t>
      </w:r>
    </w:p>
    <w:p>
      <w:pPr>
        <w:spacing w:after="120" w:before="0" w:line="312"/>
        <w:ind/>
        <w:jc w:val="both"/>
      </w:pPr>
      <w:r>
        <w:rPr>
          <w:rFonts w:ascii="Calibri" w:eastAsia="Microsoft YaHei"/>
          <w:b/>
          <w:bCs/>
          <w:i w:val="false"/>
          <w:iCs w:val="false"/>
          <w:color w:val="F59E0B"/>
          <w:sz w:val="22"/>
          <w:szCs w:val="22"/>
        </w:rPr>
        <w:t xml:space="preserve">Exit criteria: </w:t>
      </w:r>
      <w:r>
        <w:rPr>
          <w:rFonts w:ascii="Calibri" w:eastAsia="Microsoft YaHei"/>
          <w:b w:val="false"/>
          <w:bCs w:val="false"/>
          <w:i w:val="false"/>
          <w:iCs w:val="false"/>
          <w:color w:val="1F2937"/>
          <w:sz w:val="22"/>
          <w:szCs w:val="22"/>
        </w:rPr>
        <w:t xml:space="preserve">All 5 models created and migrated. HolidayCalendar seeded with 14+ occasions for 2026-2027. Occasion CRUD API returns correct responses. Postman/curl tests pass for all endpoints.</w:t>
      </w:r>
    </w:p>
    <w:p>
      <w:pPr>
        <w:pStyle w:val="Heading2"/>
        <w:spacing w:after="140" w:before="280" w:line="312"/>
      </w:pPr>
      <w:bookmarkStart w:id="100071" w:name="_Toc100071"/>
      <w:r>
        <w:rPr>
          <w:rFonts w:ascii="Calibri" w:eastAsia="Microsoft YaHei"/>
          <w:b/>
          <w:bCs/>
          <w:color w:val="064E3B"/>
          <w:sz w:val="28"/>
          <w:szCs w:val="28"/>
        </w:rPr>
        <w:t xml:space="preserve">13.2 Phase B — AI Prediction &amp; Report Generation (Week 3-4, 12 hours)</w:t>
      </w:r>
      <w:bookmarkEnd w:id="100071"/>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Build the prediction algorithm (Section 6) and the report generator. After this phase, the founder can manually trigger a report for any business and view it in /admin.</w:t>
      </w:r>
    </w:p>
    <w:p>
      <w:pPr>
        <w:spacing w:after="120" w:before="0" w:line="312"/>
        <w:ind/>
        <w:jc w:val="both"/>
      </w:pPr>
      <w:r>
        <w:rPr>
          <w:rFonts w:ascii="Calibri" w:eastAsia="Microsoft YaHei"/>
          <w:b/>
          <w:bCs/>
          <w:i w:val="false"/>
          <w:iCs w:val="false"/>
          <w:color w:val="1F2937"/>
          <w:sz w:val="22"/>
          <w:szCs w:val="22"/>
        </w:rPr>
        <w:t xml:space="preserve">Tasks: </w:t>
      </w:r>
      <w:r>
        <w:rPr>
          <w:rFonts w:ascii="Calibri" w:eastAsia="Microsoft YaHei"/>
          <w:b w:val="false"/>
          <w:bCs w:val="false"/>
          <w:i w:val="false"/>
          <w:iCs w:val="false"/>
          <w:color w:val="1F2937"/>
          <w:sz w:val="22"/>
          <w:szCs w:val="22"/>
        </w:rPr>
        <w:t xml:space="preserve">(1) Create src/lib/report-predictor.ts with the 5-step algorithm (base demand, occasion overlay, combination handling, stock gap analysis, structured output). (2) Create src/lib/report-generator.ts that calls the predictor, then calls GLM-4 with the system prompt, parses the JSON response, and saves to GeneratedReport. (3) Build POST /api/super-admin/report-schedules/[id]/trigger (manual trigger). (4) Build GET /api/super-admin/generated-reports and GET /api/super-admin/generated-reports/[id]. (5) Build the Generated Reports Viewer UI (Section 9.4). (6) Test with the demo pharmacy — trigger a report, verify the 4 sections are populated correctly.</w:t>
      </w:r>
    </w:p>
    <w:p>
      <w:pPr>
        <w:spacing w:after="120" w:before="0" w:line="312"/>
        <w:ind/>
        <w:jc w:val="both"/>
      </w:pPr>
      <w:r>
        <w:rPr>
          <w:rFonts w:ascii="Calibri" w:eastAsia="Microsoft YaHei"/>
          <w:b/>
          <w:bCs/>
          <w:i w:val="false"/>
          <w:iCs w:val="false"/>
          <w:color w:val="F59E0B"/>
          <w:sz w:val="22"/>
          <w:szCs w:val="22"/>
        </w:rPr>
        <w:t xml:space="preserve">Exit criteria: </w:t>
      </w:r>
      <w:r>
        <w:rPr>
          <w:rFonts w:ascii="Calibri" w:eastAsia="Microsoft YaHei"/>
          <w:b w:val="false"/>
          <w:bCs w:val="false"/>
          <w:i w:val="false"/>
          <w:iCs w:val="false"/>
          <w:color w:val="1F2937"/>
          <w:sz w:val="22"/>
          <w:szCs w:val="22"/>
        </w:rPr>
        <w:t xml:space="preserve">Manual trigger creates a GeneratedReport with all 4 sections populated. Report viewer UI displays the report correctly. AI cost is logged. Prediction confidence is 'medium' or 'high' for the demo pharmacy (which has &gt;1 year of data).</w:t>
      </w:r>
    </w:p>
    <w:p>
      <w:pPr>
        <w:pStyle w:val="Heading2"/>
        <w:spacing w:after="140" w:before="280" w:line="312"/>
      </w:pPr>
      <w:bookmarkStart w:id="100072" w:name="_Toc100072"/>
      <w:r>
        <w:rPr>
          <w:rFonts w:ascii="Calibri" w:eastAsia="Microsoft YaHei"/>
          <w:b/>
          <w:bCs/>
          <w:color w:val="064E3B"/>
          <w:sz w:val="28"/>
          <w:szCs w:val="28"/>
        </w:rPr>
        <w:t xml:space="preserve">13.3 Phase C — Schedule Builder &amp; Checker (Week 5, 6 hours)</w:t>
      </w:r>
      <w:bookmarkEnd w:id="100072"/>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Build the schedule builder UI and the schedule checker cron job. After this phase, the founder can create schedules and the system automatically creates pending reports on schedule.</w:t>
      </w:r>
    </w:p>
    <w:p>
      <w:pPr>
        <w:spacing w:after="120" w:before="0" w:line="312"/>
        <w:ind/>
        <w:jc w:val="both"/>
      </w:pPr>
      <w:r>
        <w:rPr>
          <w:rFonts w:ascii="Calibri" w:eastAsia="Microsoft YaHei"/>
          <w:b/>
          <w:bCs/>
          <w:i w:val="false"/>
          <w:iCs w:val="false"/>
          <w:color w:val="1F2937"/>
          <w:sz w:val="22"/>
          <w:szCs w:val="22"/>
        </w:rPr>
        <w:t xml:space="preserve">Tasks: </w:t>
      </w:r>
      <w:r>
        <w:rPr>
          <w:rFonts w:ascii="Calibri" w:eastAsia="Microsoft YaHei"/>
          <w:b w:val="false"/>
          <w:bCs w:val="false"/>
          <w:i w:val="false"/>
          <w:iCs w:val="false"/>
          <w:color w:val="1F2937"/>
          <w:sz w:val="22"/>
          <w:szCs w:val="22"/>
        </w:rPr>
        <w:t xml:space="preserve">(1) Build the Schedule List UI (Section 9.1). (2) Build the Schedule Builder Form UI (Section 9.2). (3) Build schedule CRUD API (Section 8.1). (4) Create src/lib/schedule-compute.ts with nextRunAt computation logic. (5) Add report-schedule-checker cron job to cron-jobs.ts. (6) Create POST /api/cron/report-schedule-checker endpoint. (7) Add the job to the Background Jobs card in /admin.</w:t>
      </w:r>
    </w:p>
    <w:p>
      <w:pPr>
        <w:pStyle w:val="Heading2"/>
        <w:spacing w:after="140" w:before="280" w:line="312"/>
      </w:pPr>
      <w:bookmarkStart w:id="100073" w:name="_Toc100073"/>
      <w:r>
        <w:rPr>
          <w:rFonts w:ascii="Calibri" w:eastAsia="Microsoft YaHei"/>
          <w:b/>
          <w:bCs/>
          <w:color w:val="064E3B"/>
          <w:sz w:val="28"/>
          <w:szCs w:val="28"/>
        </w:rPr>
        <w:t xml:space="preserve">13.4 Phase D — Email Delivery &amp; Worker (Week 6, 4 hours)</w:t>
      </w:r>
      <w:bookmarkEnd w:id="100073"/>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Build the report-generator-worker and report-delivery-worker cron jobs, plus email delivery with PDF attachment. After this phase, the full email pipeline is automated.</w:t>
      </w:r>
    </w:p>
    <w:p>
      <w:pPr>
        <w:spacing w:after="120" w:before="0" w:line="312"/>
        <w:ind/>
        <w:jc w:val="both"/>
      </w:pPr>
      <w:r>
        <w:rPr>
          <w:rFonts w:ascii="Calibri" w:eastAsia="Microsoft YaHei"/>
          <w:b/>
          <w:bCs/>
          <w:i w:val="false"/>
          <w:iCs w:val="false"/>
          <w:color w:val="1F2937"/>
          <w:sz w:val="22"/>
          <w:szCs w:val="22"/>
        </w:rPr>
        <w:t xml:space="preserve">Tasks: </w:t>
      </w:r>
      <w:r>
        <w:rPr>
          <w:rFonts w:ascii="Calibri" w:eastAsia="Microsoft YaHei"/>
          <w:b w:val="false"/>
          <w:bCs w:val="false"/>
          <w:i w:val="false"/>
          <w:iCs w:val="false"/>
          <w:color w:val="1F2937"/>
          <w:sz w:val="22"/>
          <w:szCs w:val="22"/>
        </w:rPr>
        <w:t xml:space="preserve">(1) Add report-generator-worker cron job (picks up pending reports, calls report-generator.ts). (2) Add report-delivery-worker cron job (picks up queued deliveries, sends via email). (3) Create src/lib/report-pdf.ts that generates a PDF version of the report using the existing PDF skill. (4) Wire email delivery to use the PDF as an attachment. (5) Build retry logic (3 attempts, exponential backoff). (6) Build POST /api/super-admin/report-deliveries/[id]/resend endpoint. (7) Test end-to-end: create schedule, wait for checker, wait for generator, wait for delivery, verify email arrives with PDF.</w:t>
      </w:r>
    </w:p>
    <w:p>
      <w:pPr>
        <w:pStyle w:val="Heading2"/>
        <w:spacing w:after="140" w:before="280" w:line="312"/>
      </w:pPr>
      <w:bookmarkStart w:id="100074" w:name="_Toc100074"/>
      <w:r>
        <w:rPr>
          <w:rFonts w:ascii="Calibri" w:eastAsia="Microsoft YaHei"/>
          <w:b/>
          <w:bCs/>
          <w:color w:val="064E3B"/>
          <w:sz w:val="28"/>
          <w:szCs w:val="28"/>
        </w:rPr>
        <w:t xml:space="preserve">13.5 Phase E — WhatsApp Business API (Week 7-8, 8 hours)</w:t>
      </w:r>
      <w:bookmarkEnd w:id="100074"/>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Integrate the WhatsApp Business Cloud API for WhatsApp delivery. This is the final phase because it requires Meta account setup and template approval (3-5 business days).</w:t>
      </w:r>
    </w:p>
    <w:p>
      <w:pPr>
        <w:spacing w:after="120" w:before="0" w:line="312"/>
        <w:ind/>
        <w:jc w:val="both"/>
      </w:pPr>
      <w:r>
        <w:rPr>
          <w:rFonts w:ascii="Calibri" w:eastAsia="Microsoft YaHei"/>
          <w:b/>
          <w:bCs/>
          <w:i w:val="false"/>
          <w:iCs w:val="false"/>
          <w:color w:val="1F2937"/>
          <w:sz w:val="22"/>
          <w:szCs w:val="22"/>
        </w:rPr>
        <w:t xml:space="preserve">Tasks: </w:t>
      </w:r>
      <w:r>
        <w:rPr>
          <w:rFonts w:ascii="Calibri" w:eastAsia="Microsoft YaHei"/>
          <w:b w:val="false"/>
          <w:bCs w:val="false"/>
          <w:i w:val="false"/>
          <w:iCs w:val="false"/>
          <w:color w:val="1F2937"/>
          <w:sz w:val="22"/>
          <w:szCs w:val="22"/>
        </w:rPr>
        <w:t xml:space="preserve">(1) Founder creates Meta Business account + WhatsApp Business number (offline, 1-2 days). (2) Founder submits message template for Meta review (offline, 3-5 days). (3) While waiting: build src/lib/whatsapp.ts module. (4) Add WHATSAPP_TOKEN + WHATSAPP_PHONE_ID env var support. (5) Wire WhatsApp delivery into report-delivery-worker. (6) Add WhatsApp phone number field to Business model (or use existing phone field). (7) Test with sandbox number, then production. (8) Update SuperAdminHelp with WhatsApp setup instructions.</w:t>
      </w:r>
    </w:p>
    <w:p>
      <w:pPr>
        <w:pStyle w:val="Heading2"/>
        <w:spacing w:after="140" w:before="280" w:line="312"/>
      </w:pPr>
      <w:bookmarkStart w:id="100075" w:name="_Toc100075"/>
      <w:r>
        <w:rPr>
          <w:rFonts w:ascii="Calibri" w:eastAsia="Microsoft YaHei"/>
          <w:b/>
          <w:bCs/>
          <w:color w:val="064E3B"/>
          <w:sz w:val="28"/>
          <w:szCs w:val="28"/>
        </w:rPr>
        <w:t xml:space="preserve">13.6 Roadmap Summary</w:t>
      </w:r>
      <w:bookmarkEnd w:id="100075"/>
    </w:p>
    <w:p>
      <w:pPr>
        <w:keepNext/>
        <w:spacing w:after="100" w:before="200"/>
        <w:jc w:val="left"/>
      </w:pPr>
      <w:r>
        <w:rPr>
          <w:rFonts w:ascii="Calibri" w:eastAsia="Microsoft YaHei"/>
          <w:b/>
          <w:bCs/>
          <w:color w:val="064E3B"/>
          <w:sz w:val="21"/>
          <w:szCs w:val="21"/>
        </w:rPr>
        <w:t xml:space="preserve">Table 13.1 — Implementation Roadmap Summary</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Phase</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Goal</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Weeks</w:t>
            </w:r>
          </w:p>
        </w:tc>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Effort</w:t>
            </w:r>
          </w:p>
        </w:tc>
        <w:tc>
          <w:tcPr>
            <w:tcW w:type="pct" w:w="3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Gate</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A</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Data model + occasion calendar seed</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 hours</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Models migrated, holidays seeded, occasion CRUD works</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B</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prediction + report generation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3-4</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 hours</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Manual trigger creates complete report with 4 sections</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C</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Schedule builder + checker cron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 hours</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Founder can create schedules, checker auto-creates pending reports</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D</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Email delivery + workers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 hours</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Full email pipeline automated end-to-end</w:t>
            </w:r>
          </w:p>
        </w:tc>
      </w:tr>
      <w:tr>
        <w:trPr>
          <w:cantSplit/>
        </w:trPr>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E</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WhatsApp Business API</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7-8</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 hours</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WhatsApp delivery working in production</w:t>
            </w:r>
          </w:p>
        </w:tc>
      </w:tr>
    </w:tbl>
    <w:p>
      <w:pPr>
        <w:spacing w:after="120" w:before="0" w:line="312"/>
        <w:ind w:firstLine="0"/>
        <w:jc w:val="both"/>
      </w:pPr>
      <w:r>
        <w:rPr>
          <w:rFonts w:ascii="Calibri" w:eastAsia="Microsoft YaHei"/>
          <w:color w:val="1F2937"/>
          <w:sz w:val="22"/>
          <w:szCs w:val="22"/>
        </w:rPr>
        <w:t xml:space="preserve">Total: 38 hours over 8 weeks. The phases can be compressed if the founder works full-time on this feature (Phase A-C in week 1, Phase D in week 2, Phase E depends on Meta approval timeline). The most common bottleneck is Phase E — Meta template approval takes 3-5 business days and cannot be expedited. Start the Meta account setup on Day 1 so it runs in parallel with Phases A-D.</w:t>
      </w:r>
    </w:p>
    <w:p>
      <w:pPr>
        <w:pStyle w:val="Heading1"/>
        <w:spacing w:after="200" w:before="360" w:line="312"/>
      </w:pPr>
      <w:bookmarkStart w:id="100076" w:name="_Toc100076"/>
      <w:r>
        <w:rPr>
          <w:rFonts w:ascii="Calibri" w:eastAsia="Microsoft YaHei"/>
          <w:b/>
          <w:bCs/>
          <w:color w:val="064E3B"/>
          <w:sz w:val="32"/>
          <w:szCs w:val="32"/>
        </w:rPr>
        <w:t xml:space="preserve">14. Risks &amp; Mitigation</w:t>
      </w:r>
      <w:bookmarkEnd w:id="100076"/>
    </w:p>
    <w:p>
      <w:pPr>
        <w:spacing w:after="120" w:before="0" w:line="312"/>
        <w:ind w:firstLine="0"/>
        <w:jc w:val="both"/>
      </w:pPr>
      <w:r>
        <w:rPr>
          <w:rFonts w:ascii="Calibri" w:eastAsia="Microsoft YaHei"/>
          <w:color w:val="1F2937"/>
          <w:sz w:val="22"/>
          <w:szCs w:val="22"/>
        </w:rPr>
        <w:t xml:space="preserve">Six risks deserve explicit attention. Each is rated by severity (1-5) and likelihood (1-5), with a concrete mitigation strategy. The risks are ordered by combined severity × likelihood.</w:t>
      </w:r>
    </w:p>
    <w:p>
      <w:pPr>
        <w:pStyle w:val="Heading2"/>
        <w:spacing w:after="140" w:before="280" w:line="312"/>
      </w:pPr>
      <w:bookmarkStart w:id="100077" w:name="_Toc100077"/>
      <w:r>
        <w:rPr>
          <w:rFonts w:ascii="Calibri" w:eastAsia="Microsoft YaHei"/>
          <w:b/>
          <w:bCs/>
          <w:color w:val="064E3B"/>
          <w:sz w:val="28"/>
          <w:szCs w:val="28"/>
        </w:rPr>
        <w:t xml:space="preserve">14.1 Risk 1: AI Hallucination on Predictions (Severity 4, Likelihood 3)</w:t>
      </w:r>
      <w:bookmarkEnd w:id="100077"/>
    </w:p>
    <w:p>
      <w:pPr>
        <w:spacing w:after="120" w:before="0" w:line="312"/>
        <w:ind w:firstLine="0"/>
        <w:jc w:val="both"/>
      </w:pPr>
      <w:r>
        <w:rPr>
          <w:rFonts w:ascii="Calibri" w:eastAsia="Microsoft YaHei"/>
          <w:color w:val="1F2937"/>
          <w:sz w:val="22"/>
          <w:szCs w:val="22"/>
        </w:rPr>
        <w:t xml:space="preserve">The AI might invent spike numbers or recommend wrong quantities. This is the most dangerous risk — a wrong purchase recommendation could cost the pharmacy owner real money and destroy trust in the platform. Mitigation: the AI does NOT do the math. All numbers (predicted quantities, spike percentages, stock gaps, purchase recommendations) are computed in code by the report-predictor.ts module. The AI only rephrases the pre-computed numbers into natural language. The AI is explicitly instructed in the system prompt: 'DO NOT calculate any numbers — all numbers are already computed.' If the AI returns a number that does not match the pre-computed value, the system overrides it with the correct value before saving. This makes hallucination impossible — the worst the AI can do is phrase a correct number awkwardly.</w:t>
      </w:r>
    </w:p>
    <w:p>
      <w:pPr>
        <w:pStyle w:val="Heading2"/>
        <w:spacing w:after="140" w:before="280" w:line="312"/>
      </w:pPr>
      <w:bookmarkStart w:id="100078" w:name="_Toc100078"/>
      <w:r>
        <w:rPr>
          <w:rFonts w:ascii="Calibri" w:eastAsia="Microsoft YaHei"/>
          <w:b/>
          <w:bCs/>
          <w:color w:val="064E3B"/>
          <w:sz w:val="28"/>
          <w:szCs w:val="28"/>
        </w:rPr>
        <w:t xml:space="preserve">14.2 Risk 2: Occasion Date Inaccuracy (Severity 3, Likelihood 4)</w:t>
      </w:r>
      <w:bookmarkEnd w:id="100078"/>
    </w:p>
    <w:p>
      <w:pPr>
        <w:spacing w:after="120" w:before="0" w:line="312"/>
        <w:ind w:firstLine="0"/>
        <w:jc w:val="both"/>
      </w:pPr>
      <w:r>
        <w:rPr>
          <w:rFonts w:ascii="Calibri" w:eastAsia="Microsoft YaHei"/>
          <w:color w:val="1F2937"/>
          <w:sz w:val="22"/>
          <w:szCs w:val="22"/>
        </w:rPr>
        <w:t xml:space="preserve">Eid dates shift each year based on the lunar calendar. The system pre-populates estimated dates (accurate to within 1-2 days based on astronomical calculations), but the actual date is confirmed by religious authorities only 1-2 months before. If the system predicts an Eid spike for the wrong week, the report is useless (or worse, misleading). Mitigation: the HolidayCalendar table has an isConfirmed boolean. The system warns the founder (via the /admin dashboard and the weekly health email) if an upcoming occasion is unconfirmed. The founder must confirm dates each year via the Occasion Manager UI. As a fallback, if an occasion is unconfirmed and within 7 days, the system uses the estimated date but adds a note to the report: 'Eid date is estimated — confirm with local authorities.'</w:t>
      </w:r>
    </w:p>
    <w:p>
      <w:pPr>
        <w:pStyle w:val="Heading2"/>
        <w:spacing w:after="140" w:before="280" w:line="312"/>
      </w:pPr>
      <w:bookmarkStart w:id="100079" w:name="_Toc100079"/>
      <w:r>
        <w:rPr>
          <w:rFonts w:ascii="Calibri" w:eastAsia="Microsoft YaHei"/>
          <w:b/>
          <w:bCs/>
          <w:color w:val="064E3B"/>
          <w:sz w:val="28"/>
          <w:szCs w:val="28"/>
        </w:rPr>
        <w:t xml:space="preserve">14.3 Risk 3: Insufficient Historical Data (Severity 2, Likelihood 5)</w:t>
      </w:r>
      <w:bookmarkEnd w:id="100079"/>
    </w:p>
    <w:p>
      <w:pPr>
        <w:spacing w:after="120" w:before="0" w:line="312"/>
        <w:ind w:firstLine="0"/>
        <w:jc w:val="both"/>
      </w:pPr>
      <w:r>
        <w:rPr>
          <w:rFonts w:ascii="Calibri" w:eastAsia="Microsoft YaHei"/>
          <w:color w:val="1F2937"/>
          <w:sz w:val="22"/>
          <w:szCs w:val="22"/>
        </w:rPr>
        <w:t xml:space="preserve">New clients have less than 1 year of historical sales data. The prediction algorithm relies on comparing current occasion-week sales to last year's occasion-week sales — if there is no last year, the comparison fails. This affects every new client for their first 12 months. Mitigation: the algorithm uses whatever data is available (even 1 month) and applies the default impact weights from ReportOccasion when historical occasion data is unavailable. The report clearly states the prediction confidence: 'Low' (&lt;3 months of data), 'Medium' (3-12 months), 'High' (&gt;12 months). Clients with 'Low' confidence see a banner: 'This pharmacy has less than 3 months of sales history. Predictions are based on industry benchmarks and will improve as more data is collected.' This sets correct expectations and prevents the client from over-trusting the numbers.</w:t>
      </w:r>
    </w:p>
    <w:p>
      <w:pPr>
        <w:pStyle w:val="Heading2"/>
        <w:spacing w:after="140" w:before="280" w:line="312"/>
      </w:pPr>
      <w:bookmarkStart w:id="100080" w:name="_Toc100080"/>
      <w:r>
        <w:rPr>
          <w:rFonts w:ascii="Calibri" w:eastAsia="Microsoft YaHei"/>
          <w:b/>
          <w:bCs/>
          <w:color w:val="064E3B"/>
          <w:sz w:val="28"/>
          <w:szCs w:val="28"/>
        </w:rPr>
        <w:t xml:space="preserve">14.4 Risk 4: WhatsApp API Approval Delay (Severity 2, Likelihood 4)</w:t>
      </w:r>
      <w:bookmarkEnd w:id="100080"/>
    </w:p>
    <w:p>
      <w:pPr>
        <w:spacing w:after="120" w:before="0" w:line="312"/>
        <w:ind w:firstLine="0"/>
        <w:jc w:val="both"/>
      </w:pPr>
      <w:r>
        <w:rPr>
          <w:rFonts w:ascii="Calibri" w:eastAsia="Microsoft YaHei"/>
          <w:color w:val="1F2937"/>
          <w:sz w:val="22"/>
          <w:szCs w:val="22"/>
        </w:rPr>
        <w:t xml:space="preserve">Meta WhatsApp Business template approval takes 3-5 business days and can be rejected if the template does not meet Meta's content policies. If rejected, the founder must revise and resubmit, adding another 3-5 days. This delays Phase E. Mitigation: Phase E is the last phase. Email delivery (Phase D) works independently and is not blocked by WhatsApp delays. The founder should start the Meta account setup on Day 1 of Phase A so it runs in parallel with all other phases. If WhatsApp is delayed by 2+ weeks, the feature ships with email-only delivery and WhatsApp is added in a follow-up release. The schedule builder UI clearly shows WhatsApp as 'Not yet configured' so the founder knows it is pending.</w:t>
      </w:r>
    </w:p>
    <w:p>
      <w:pPr>
        <w:pStyle w:val="Heading2"/>
        <w:spacing w:after="140" w:before="280" w:line="312"/>
      </w:pPr>
      <w:bookmarkStart w:id="100081" w:name="_Toc100081"/>
      <w:r>
        <w:rPr>
          <w:rFonts w:ascii="Calibri" w:eastAsia="Microsoft YaHei"/>
          <w:b/>
          <w:bCs/>
          <w:color w:val="064E3B"/>
          <w:sz w:val="28"/>
          <w:szCs w:val="28"/>
        </w:rPr>
        <w:t xml:space="preserve">14.5 Risk 5: Cost Overrun at Scale (Severity 3, Likelihood 2)</w:t>
      </w:r>
      <w:bookmarkEnd w:id="100081"/>
    </w:p>
    <w:p>
      <w:pPr>
        <w:spacing w:after="120" w:before="0" w:line="312"/>
        <w:ind w:firstLine="0"/>
        <w:jc w:val="both"/>
      </w:pPr>
      <w:r>
        <w:rPr>
          <w:rFonts w:ascii="Calibri" w:eastAsia="Microsoft YaHei"/>
          <w:color w:val="1F2937"/>
          <w:sz w:val="22"/>
          <w:szCs w:val="22"/>
        </w:rPr>
        <w:t xml:space="preserve">At 10,000 clients receiving weekly reports, the platform AI cost is 7,740 BDT/month. If the founder accidentally sets up daily reports instead of weekly (7x frequency), the cost jumps to 54,180 BDT/month — over half the kill-switch threshold. Mitigation: all Phase 1-5 defenses apply. The max_tokens cap (Phase 1) limits per-report cost. The circuit breaker (Phase 2) caps per-business daily tokens. The kill-switch (Phase 4) blocks all AI calls if platform cost exceeds 100,000 BDT/month. The founder can also set per-schedule limits (e.g., max 1,000 reports per run) to prevent runaway cost from a misconfigured schedule. The ops-health dashboard (Phase 5) surfaces weekly cost trends so the founder notices a spike within 7 days.</w:t>
      </w:r>
    </w:p>
    <w:p>
      <w:pPr>
        <w:pStyle w:val="Heading2"/>
        <w:spacing w:after="140" w:before="280" w:line="312"/>
      </w:pPr>
      <w:bookmarkStart w:id="100082" w:name="_Toc100082"/>
      <w:r>
        <w:rPr>
          <w:rFonts w:ascii="Calibri" w:eastAsia="Microsoft YaHei"/>
          <w:b/>
          <w:bCs/>
          <w:color w:val="064E3B"/>
          <w:sz w:val="28"/>
          <w:szCs w:val="28"/>
        </w:rPr>
        <w:t xml:space="preserve">14.6 Risk 6: Client Ignores Reports (Severity 4, Likelihood 3)</w:t>
      </w:r>
      <w:bookmarkEnd w:id="100082"/>
    </w:p>
    <w:p>
      <w:pPr>
        <w:spacing w:after="120" w:before="0" w:line="312"/>
        <w:ind w:firstLine="0"/>
        <w:jc w:val="both"/>
      </w:pPr>
      <w:r>
        <w:rPr>
          <w:rFonts w:ascii="Calibri" w:eastAsia="Microsoft YaHei"/>
          <w:color w:val="1F2937"/>
          <w:sz w:val="22"/>
          <w:szCs w:val="22"/>
        </w:rPr>
        <w:t xml:space="preserve">If the report is not useful, clients will tune it out within 2-3 weeks. Once they stop reading, the retention benefit disappears. This is the highest-severity risk because it undermines the entire feature. Mitigation: track open rates (email, via a tracking pixel) and read receipts (WhatsApp). If a client's open rate drops below 30 percent for 3 consecutive weeks, the system flags them in /admin and the founder can reach out personally. A/B test report formats: after 30 days, survey clients asking 'Is this report useful? What would make it better?' Use the feedback to refine the report content. The goal is a report that clients look forward to reading — if they do not, the feature has failed regardless of how well the AI performs.</w:t>
      </w:r>
    </w:p>
    <w:p>
      <w:pPr>
        <w:pStyle w:val="Heading2"/>
        <w:spacing w:after="140" w:before="280" w:line="312"/>
      </w:pPr>
      <w:bookmarkStart w:id="100083" w:name="_Toc100083"/>
      <w:r>
        <w:rPr>
          <w:rFonts w:ascii="Calibri" w:eastAsia="Microsoft YaHei"/>
          <w:b/>
          <w:bCs/>
          <w:color w:val="064E3B"/>
          <w:sz w:val="28"/>
          <w:szCs w:val="28"/>
        </w:rPr>
        <w:t xml:space="preserve">14.7 Risk Matrix</w:t>
      </w:r>
      <w:bookmarkEnd w:id="100083"/>
    </w:p>
    <w:p>
      <w:pPr>
        <w:keepNext/>
        <w:spacing w:after="100" w:before="200"/>
        <w:jc w:val="left"/>
      </w:pPr>
      <w:r>
        <w:rPr>
          <w:rFonts w:ascii="Calibri" w:eastAsia="Microsoft YaHei"/>
          <w:b/>
          <w:bCs/>
          <w:color w:val="064E3B"/>
          <w:sz w:val="21"/>
          <w:szCs w:val="21"/>
        </w:rPr>
        <w:t xml:space="preserve">Table 14.1 — Risk Severity vs Likelihood</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2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Risk</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Severity (1-5)</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Likelihood (1-5)</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Score</w:t>
            </w:r>
          </w:p>
        </w:tc>
        <w:tc>
          <w:tcPr>
            <w:tcW w:type="pct" w:w="3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Mitigation Summary</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AI hallucination</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only rephrases pre-computed numbers; cannot invent values</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 Occasion date inaccuracy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isConfirmed flag; founder confirms lunar dates yearly</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 Insufficient historical data</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Confidence indicator; industry benchmark fallback</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 WhatsApp approval delay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E is last; email works independently; start Meta setup on Day 1</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 Cost overrun at scale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1-5 defenses apply; per-schedule report limits</w:t>
            </w:r>
          </w:p>
        </w:tc>
      </w:tr>
      <w:tr>
        <w:trPr>
          <w:cantSplit/>
        </w:trPr>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 Client ignores reports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Open-rate tracking; A/B testing; client surveys after 30 days</w:t>
            </w:r>
          </w:p>
        </w:tc>
      </w:tr>
    </w:tbl>
    <w:p>
      <w:pPr>
        <w:pStyle w:val="Heading1"/>
        <w:spacing w:after="200" w:before="360" w:line="312"/>
      </w:pPr>
      <w:bookmarkStart w:id="100084" w:name="_Toc100084"/>
      <w:r>
        <w:rPr>
          <w:rFonts w:ascii="Calibri" w:eastAsia="Microsoft YaHei"/>
          <w:b/>
          <w:bCs/>
          <w:color w:val="064E3B"/>
          <w:sz w:val="32"/>
          <w:szCs w:val="32"/>
        </w:rPr>
        <w:t xml:space="preserve">15. Appendix — Prompt Templates &amp; Example Report</w:t>
      </w:r>
      <w:bookmarkEnd w:id="100084"/>
    </w:p>
    <w:p>
      <w:pPr>
        <w:spacing w:after="120" w:before="0" w:line="312"/>
        <w:ind w:firstLine="0"/>
        <w:jc w:val="both"/>
      </w:pPr>
      <w:r>
        <w:rPr>
          <w:rFonts w:ascii="Calibri" w:eastAsia="Microsoft YaHei"/>
          <w:color w:val="1F2937"/>
          <w:sz w:val="22"/>
          <w:szCs w:val="22"/>
        </w:rPr>
        <w:t xml:space="preserve">This appendix is the developer cheat sheet. It contains the actual system prompt, an example user-content payload, a complete sample report, and the Bangladesh holiday calendar for 2026-2027. A developer can reference this appendix directly while implementing Phase B.</w:t>
      </w:r>
    </w:p>
    <w:p>
      <w:pPr>
        <w:pStyle w:val="Heading2"/>
        <w:spacing w:after="140" w:before="280" w:line="312"/>
      </w:pPr>
      <w:bookmarkStart w:id="100085" w:name="_Toc100085"/>
      <w:r>
        <w:rPr>
          <w:rFonts w:ascii="Calibri" w:eastAsia="Microsoft YaHei"/>
          <w:b/>
          <w:bCs/>
          <w:color w:val="064E3B"/>
          <w:sz w:val="28"/>
          <w:szCs w:val="28"/>
        </w:rPr>
        <w:t xml:space="preserve">15.1 AI System Prompt Template</w:t>
      </w:r>
      <w:bookmarkEnd w:id="100085"/>
    </w:p>
    <w:p>
      <w:pPr>
        <w:pBdr>
          <w:left w:val="single" w:color="8B5CF6" w:sz="18" w:space="12"/>
        </w:pBdr>
        <w:spacing w:after="160" w:before="160" w:line="312"/>
        <w:ind w:left="240"/>
      </w:pPr>
      <w:r>
        <w:rPr>
          <w:rFonts w:ascii="Calibri" w:eastAsia="Microsoft YaHei"/>
          <w:i/>
          <w:iCs/>
          <w:color w:val="1F2937"/>
          <w:sz w:val="22"/>
          <w:szCs w:val="22"/>
        </w:rPr>
        <w:t xml:space="preserve">You are a pharmacy business analyst AI for InventoryOS, a Bangladesh pharmacy inventory management platform. You will receive pre-computed sales prediction data for a pharmacy for the upcoming week. Your job is to synthesize this data into a clear, actionable report.
CRITICAL RULE: DO NOT calculate any numbers. All numbers (predicted quantities, spike percentages, stock levels, purchase recommendations) are already computed by the system. Your job is to explain what the numbers mean and what the pharmacist should do. If you are tempted to do math, stop — just rephrase the numbers you are given.
Return ONLY a JSON object with this exact structure:
{
  "executiveSummary": "2-3 sentence overview mentioning the business name, overall outlook, top opportunity, and top risk",
  "spikePredictions": [
    {"product": "name", "spikePercent": number, "occasion": "occasion name", "historicalBasis": "last year X sold vs normal Y", "recommendation": "one-line action"}
  ],
  "topItems": [
    {"product": "name", "predictedQty": number, "predictedProfit": number, "currentStock": number, "stockStatus": "good|low|order_now", "recommendation": "one-line note"}
  ],
  "stockRisks": [
    {"product": "name", "daysUntilStockout": number, "recommendedPurchaseQty": number, "supplier": "name", "urgency": "critical|high|medium"}
  ]
}
Return 3 spikePredictions, 20 topItems, and all stockRisks. Be specific and actionable. Mention occasions by name (Eid-ul-Fitr, Durga Puja, Friday, etc.). Keep recommendations practical — a pharmacy owner should be able to act on them immediately. Use BDT for all monetary values. Do not include dosing or medical advice.</w:t>
      </w:r>
    </w:p>
    <w:p>
      <w:pPr>
        <w:pStyle w:val="Heading2"/>
        <w:spacing w:after="140" w:before="280" w:line="312"/>
      </w:pPr>
      <w:bookmarkStart w:id="100086" w:name="_Toc100086"/>
      <w:r>
        <w:rPr>
          <w:rFonts w:ascii="Calibri" w:eastAsia="Microsoft YaHei"/>
          <w:b/>
          <w:bCs/>
          <w:color w:val="064E3B"/>
          <w:sz w:val="28"/>
          <w:szCs w:val="28"/>
        </w:rPr>
        <w:t xml:space="preserve">15.2 Example User-Content Payload</w:t>
      </w:r>
      <w:bookmarkEnd w:id="100086"/>
    </w:p>
    <w:p>
      <w:pPr>
        <w:spacing w:after="120" w:before="0" w:line="312"/>
        <w:ind w:firstLine="0"/>
        <w:jc w:val="both"/>
      </w:pPr>
      <w:r>
        <w:rPr>
          <w:rFonts w:ascii="Calibri" w:eastAsia="Microsoft YaHei"/>
          <w:color w:val="1F2937"/>
          <w:sz w:val="22"/>
          <w:szCs w:val="22"/>
        </w:rPr>
        <w:t xml:space="preserve">The user content sent to GLM-4 is a JSON string containing the pre-computed data. Example for City Pharmacy, week of June 29 - July 5, 2026 (Eid-ul-Adha approaching on July 7):</w:t>
      </w:r>
    </w:p>
    <w:p>
      <w:pPr>
        <w:pBdr>
          <w:left w:val="single" w:color="8B5CF6" w:sz="18" w:space="12"/>
        </w:pBdr>
        <w:spacing w:after="160" w:before="160" w:line="312"/>
        <w:ind w:left="240"/>
      </w:pPr>
      <w:r>
        <w:rPr>
          <w:rFonts w:ascii="Calibri" w:eastAsia="Microsoft YaHei"/>
          <w:i/>
          <w:iCs/>
          <w:color w:val="1F2937"/>
          <w:sz w:val="22"/>
          <w:szCs w:val="22"/>
        </w:rPr>
        <w:t xml:space="preserve">{
  "businessName": "City Pharmacy",
  "reportPeriod": "2026-06-29 to 2026-07-05",
  "predictionConfidence": "high",
  "upcomingOccasions": [
    {"name": "Eid-ul-Adha", "date": "2026-07-07", "daysUntil": 8, "impactWeight": 2.5, "durationDays": 5}
  ],
  "baseDemand": [
    {"product": "Napa Extra 500mg", "baselineDaily": 28.5, "baselineWeekly": 200},
    {"product": "Seclo 20mg", "baselineDaily": 14.2, "baselineWeekly": 100},
    {"product": "Amoxicillin 500mg", "baselineDaily": 21.4, "baselineWeekly": 150}
  ],
  "occasionAdjustedPredictions": [
    {"product": "Napa Extra 500mg", "predictedQty": 880, "spikePercent": 340, "historicalBasis": "Last year Eid week: 880 boxes vs normal 200", "currentStock": 200, "predictedProfit": 17600, "stockStatus": "order_now", "recommendedPurchaseQty": 680, "supplier": "Square Pharmaceuticals"},
    {"product": "Seclo 20mg", "predictedQty": 320, "spikePercent": 220, "historicalBasis": "Last year Eid week: 320 vs normal 100", "currentStock": 150, "predictedProfit": 9600, "stockStatus": "low", "recommendedPurchaseQty": 170, "supplier": "Square Pharmaceuticals"},
    {"product": "Amoxicillin 500mg", "predictedQty": 180, "spikePercent": 20, "historicalBasis": "Normal week", "currentStock": 60, "predictedProfit": 5400, "stockStatus": "order_now", "recommendedPurchaseQty": 120, "supplier": "Beximco Pharmaceuticals"}
  ],
  "stockRisks": [
    {"product": "Amoxicillin 500mg", "daysUntilStockout": 3, "recommendedPurchaseQty": 120, "supplier": "Beximco Pharmaceuticals", "urgency": "critical"},
    {"product": "Napa Extra 500mg", "daysUntilStockout": 5, "recommendedPurchaseQty": 680, "supplier": "Square Pharmaceuticals", "urgency": "high"}
  ]
}</w:t>
      </w:r>
    </w:p>
    <w:p>
      <w:pPr>
        <w:pStyle w:val="Heading2"/>
        <w:spacing w:after="140" w:before="280" w:line="312"/>
      </w:pPr>
      <w:bookmarkStart w:id="100087" w:name="_Toc100087"/>
      <w:r>
        <w:rPr>
          <w:rFonts w:ascii="Calibri" w:eastAsia="Microsoft YaHei"/>
          <w:b/>
          <w:bCs/>
          <w:color w:val="064E3B"/>
          <w:sz w:val="28"/>
          <w:szCs w:val="28"/>
        </w:rPr>
        <w:t xml:space="preserve">15.3 Example Report Output</w:t>
      </w:r>
      <w:bookmarkEnd w:id="100087"/>
    </w:p>
    <w:p>
      <w:pPr>
        <w:spacing w:after="120" w:before="0" w:line="312"/>
        <w:ind w:firstLine="0"/>
        <w:jc w:val="both"/>
      </w:pPr>
      <w:r>
        <w:rPr>
          <w:rFonts w:ascii="Calibri" w:eastAsia="Microsoft YaHei"/>
          <w:color w:val="1F2937"/>
          <w:sz w:val="22"/>
          <w:szCs w:val="22"/>
        </w:rPr>
        <w:t xml:space="preserve">The following is what the pharmacy owner sees in their email/WhatsApp. This is the rendered output after the AI synthesizes the payload above:</w:t>
      </w:r>
    </w:p>
    <w:p>
      <w:pPr>
        <w:pBdr>
          <w:left w:val="single" w:color="10B981" w:sz="18" w:space="12"/>
        </w:pBdr>
        <w:spacing w:after="160" w:before="160" w:line="312"/>
        <w:ind w:left="240"/>
      </w:pPr>
      <w:r>
        <w:rPr>
          <w:rFonts w:ascii="Calibri" w:eastAsia="Microsoft YaHei"/>
          <w:i/>
          <w:iCs/>
          <w:color w:val="1F2937"/>
          <w:sz w:val="22"/>
          <w:szCs w:val="22"/>
        </w:rPr>
        <w:t xml:space="preserve">INVENTORYOS WEEKLY PREDICTION REPORT
City Pharmacy — Week of June 29 - July 5, 2026
Prediction confidence: High
EXECUTIVE SUMMARY
Next week looks strong — Eid-ul-Adha preparation starts Wednesday. Your top opportunity is Napa Extra (predicted 340 percent sales spike driven by Eid overeating). Your top risk is Amoxicillin 500mg (will stock out by Friday if you do not order today).
BIG SALES SPIKE PREDICTIONS
1. Napa Extra 500mg — 340 percent spike (Eid-ul-Adha overeating). Last year Eid week: 880 boxes sold vs normal 200. Order 680 boxes from Square Pharmaceuticals by Wednesday.
2. Seclo 20mg — 220 percent spike (Eid heartburn). Last year: 320 vs normal 100. Stock is low — order 170 capsules.
3. Oral Saline — 180 percent spike (Eid dehydration). Order 200 sachets by Thursday.
TOP 20 HIGH-POTENTIAL ITEMS
[Table: Product | Predicted Qty | Predicted Profit | Current Stock | Status | Order Qty | Supplier]
1. Napa Extra 500mg | 880 boxes | 17,600 BDT | 200 | ORDER NOW | 680 | Square
2. Seclo 20mg | 320 boxes | 9,600 BDT | 150 | LOW | 170 | Square
3. Amoxicillin 500mg | 180 caps | 5,400 BDT | 60 | ORDER NOW | 120 | Beximco
... (17 more items)
STOCK RISKS &amp; RECOMMENDATIONS
CRITICAL: Amoxicillin 500mg — stocks out Friday (3 days). Order 120 capsules from Beximco today.
HIGH: Napa Extra 500mg — stocks out Sunday (5 days). Order 680 boxes from Square by Wednesday.
---
Generated by InventoryOS AI | Prediction confidence: High | Based on 365 days of sales data</w:t>
      </w:r>
    </w:p>
    <w:p>
      <w:pPr>
        <w:pStyle w:val="Heading2"/>
        <w:spacing w:after="140" w:before="280" w:line="312"/>
      </w:pPr>
      <w:bookmarkStart w:id="100088" w:name="_Toc100088"/>
      <w:r>
        <w:rPr>
          <w:rFonts w:ascii="Calibri" w:eastAsia="Microsoft YaHei"/>
          <w:b/>
          <w:bCs/>
          <w:color w:val="064E3B"/>
          <w:sz w:val="28"/>
          <w:szCs w:val="28"/>
        </w:rPr>
        <w:t xml:space="preserve">15.4 Bangladesh Holiday Calendar 2026-2027</w:t>
      </w:r>
      <w:bookmarkEnd w:id="100088"/>
    </w:p>
    <w:p>
      <w:pPr>
        <w:spacing w:after="120" w:before="0" w:line="312"/>
        <w:ind w:firstLine="0"/>
        <w:jc w:val="both"/>
      </w:pPr>
      <w:r>
        <w:rPr>
          <w:rFonts w:ascii="Calibri" w:eastAsia="Microsoft YaHei"/>
          <w:color w:val="1F2937"/>
          <w:sz w:val="22"/>
          <w:szCs w:val="22"/>
        </w:rPr>
        <w:t xml:space="preserve">The following holidays should be pre-seeded into the HolidayCalendar table during Phase A. Lunar dates (Eid) are estimates — the founder must confirm each year via the Occasion Manager UI.</w:t>
      </w:r>
    </w:p>
    <w:p>
      <w:pPr>
        <w:keepNext/>
        <w:spacing w:after="100" w:before="200"/>
        <w:jc w:val="left"/>
      </w:pPr>
      <w:r>
        <w:rPr>
          <w:rFonts w:ascii="Calibri" w:eastAsia="Microsoft YaHei"/>
          <w:b/>
          <w:bCs/>
          <w:color w:val="064E3B"/>
          <w:sz w:val="21"/>
          <w:szCs w:val="21"/>
        </w:rPr>
        <w:t xml:space="preserve">Table 15.1 — Bangladesh Holidays 2026</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Date</w:t>
            </w:r>
          </w:p>
        </w:tc>
        <w:tc>
          <w:tcPr>
            <w:tcW w:type="pct" w:w="2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Occasion</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Type</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Confirmed?</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Impact Weight</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2026-02-21</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Language Day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National</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0.8x</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2026-03-26</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Independence Day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National</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0.9x</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2026-04-10</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Eid-ul-Fitr (estimated)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Religious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2.8x</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2026-04-14</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Pohela Boishakh</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National</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1.5x</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2026-05-01</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May Day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National</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0.7x</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2026-07-07</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Eid-ul-Adha (estimated)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Religious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2.5x</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2026-08-15</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National Mourning Day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National</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0.9x</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2026-10-02</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Durga Puja (estimated)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Religious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2.0x</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2026-12-16</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Victory Day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National</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0.9x</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2026-12-25</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Christmas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Religious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1.3x</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Friday</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Friday (weekly holiday)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Weekly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1.4x</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Saturday</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Saturday (half holiday)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Weekly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1.1x</w:t>
            </w:r>
          </w:p>
        </w:tc>
      </w:tr>
    </w:tbl>
    <w:p>
      <w:pPr>
        <w:spacing w:after="120" w:before="0" w:line="312"/>
        <w:ind w:firstLine="0"/>
        <w:jc w:val="both"/>
      </w:pPr>
      <w:r>
        <w:rPr>
          <w:rFonts w:ascii="Calibri" w:eastAsia="Microsoft YaHei"/>
          <w:color w:val="1F2937"/>
          <w:sz w:val="22"/>
          <w:szCs w:val="22"/>
        </w:rPr>
        <w:t xml:space="preserve">The 2027 calendar follows the same pattern. Eid-ul-Fitr 2027 is estimated around March 31, Eid-ul-Adha 2027 around June 27, Durga Puja 2027 around September 22. These must be confirmed by the founder in early 2027 via the Occasion Manager UI. The system will send a reminder (via the weekly health email) in January each year to prompt the founder to confirm the year's lunar occasion dates.</w:t>
      </w:r>
    </w:p>
    <w:p>
      <w:pPr>
        <w:pStyle w:val="Heading2"/>
        <w:spacing w:after="140" w:before="280" w:line="312"/>
      </w:pPr>
      <w:bookmarkStart w:id="100089" w:name="_Toc100089"/>
      <w:r>
        <w:rPr>
          <w:rFonts w:ascii="Calibri" w:eastAsia="Microsoft YaHei"/>
          <w:b/>
          <w:bCs/>
          <w:color w:val="064E3B"/>
          <w:sz w:val="28"/>
          <w:szCs w:val="28"/>
        </w:rPr>
        <w:t xml:space="preserve">15.5 Implementation Checklist</w:t>
      </w:r>
      <w:bookmarkEnd w:id="100089"/>
    </w:p>
    <w:p>
      <w:pPr>
        <w:spacing w:after="120" w:before="0" w:line="312"/>
        <w:ind w:firstLine="0"/>
        <w:jc w:val="both"/>
      </w:pPr>
      <w:r>
        <w:rPr>
          <w:rFonts w:ascii="Calibri" w:eastAsia="Microsoft YaHei"/>
          <w:color w:val="1F2937"/>
          <w:sz w:val="22"/>
          <w:szCs w:val="22"/>
        </w:rPr>
        <w:t xml:space="preserve">Use this checklist to track implementation progress. Each item maps to a task in the phased roadmap (Section 13).</w:t>
      </w:r>
    </w:p>
    <w:p>
      <w:pPr>
        <w:keepNext/>
        <w:spacing w:after="100" w:before="200"/>
        <w:jc w:val="left"/>
      </w:pPr>
      <w:r>
        <w:rPr>
          <w:rFonts w:ascii="Calibri" w:eastAsia="Microsoft YaHei"/>
          <w:b/>
          <w:bCs/>
          <w:color w:val="064E3B"/>
          <w:sz w:val="21"/>
          <w:szCs w:val="21"/>
        </w:rPr>
        <w:t xml:space="preserve">Table 15.2 — Implementation Checklist</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t>
            </w:r>
          </w:p>
        </w:tc>
        <w:tc>
          <w:tcPr>
            <w:tcW w:type="pct" w:w="6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Task</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Phase</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Done?</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5 Prisma models (ReportSchedule, ReportOccasion, HolidayCalendar, GeneratedReport, ReportDelivery)</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ownerEmail field to Business model</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Run prisma db push + generate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Seed HolidayCalendar with 2026-2027 Bangladesh holidays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Build occasion CRUD API (GET/POST/PUT/DELETE /api/super-admin/occasions)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Build holiday calendar API (GET/POST /api/super-admin/holiday-calendar)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 src/lib/report-predictor.ts (5-step algorithm)</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 src/lib/report-generator.ts (calls GLM-4, parses JSON, saves report)</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9</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Build manual trigger endpoint (POST /api/super-admin/report-schedules/[id]/trigger)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Build generated reports API (GET list + GET by id)</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11</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Build Generated Reports Viewer UI</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Build Schedule List UI</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13</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Build Schedule Builder Form UI</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14</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Build schedule CRUD API</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 src/lib/schedule-compute.ts (nextRunAt logic)</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16</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report-schedule-checker cron job</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17</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report-generator-worker cron job</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18</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report-delivery-worker cron job</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19</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 src/lib/report-pdf.ts (PDF generation)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Wire email delivery with PDF attachment</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21</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Build retry logic (3 attempts, exponential backoff)</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22</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Founder: create Meta Business account + WhatsApp number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23</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Founder: submit WhatsApp template for Meta review</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24</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 src/lib/whatsapp.ts module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25</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Wire WhatsApp delivery into report-delivery-worker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26</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4 new help entries to SuperAdminHelp off-canvas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bl>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4"/>
      </w:pBdr>
      <w:spacing w:line="240"/>
      <w:jc w:val="right"/>
    </w:pPr>
    <w:r>
      <w:rPr>
        <w:rFonts w:ascii="Calibri" w:eastAsia="Microsoft YaHei"/>
        <w:i/>
        <w:iCs/>
        <w:color w:val="6B7280"/>
        <w:sz w:val="18"/>
        <w:szCs w:val="18"/>
      </w:rPr>
      <w:t xml:space="preserve">InventoryOS AI Report Scheduling — Implementation Spec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4"/>
      </w:pBdr>
      <w:spacing w:line="240"/>
      <w:jc w:val="right"/>
    </w:pPr>
    <w:r>
      <w:rPr>
        <w:rFonts w:ascii="Calibri" w:eastAsia="Microsoft YaHei"/>
        <w:i/>
        <w:iCs/>
        <w:color w:val="6B7280"/>
        <w:sz w:val="18"/>
        <w:szCs w:val="18"/>
      </w:rPr>
      <w:t xml:space="preserve">InventoryOS AI Report Scheduling — Implementation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F293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eastAsia="Microsoft YaHei"/>
      <w:b/>
      <w:bCs/>
      <w:color w:val="064E3B"/>
      <w:sz w:val="32"/>
      <w:szCs w:val="32"/>
    </w:rPr>
  </w:style>
  <w:style w:type="paragraph" w:styleId="Heading2">
    <w:name w:val="Heading 2"/>
    <w:basedOn w:val="Normal"/>
    <w:next w:val="Normal"/>
    <w:qFormat/>
    <w:pPr>
      <w:spacing w:after="140" w:before="280" w:line="312"/>
      <w:outlineLvl w:val="1"/>
    </w:pPr>
    <w:rPr>
      <w:rFonts w:ascii="Calibri" w:eastAsia="Microsoft YaHei"/>
      <w:b/>
      <w:bCs/>
      <w:color w:val="064E3B"/>
      <w:sz w:val="28"/>
      <w:szCs w:val="28"/>
    </w:rPr>
  </w:style>
  <w:style w:type="paragraph" w:styleId="Heading3">
    <w:name w:val="Heading 3"/>
    <w:basedOn w:val="Normal"/>
    <w:next w:val="Normal"/>
    <w:qFormat/>
    <w:pPr>
      <w:spacing w:after="100" w:before="220" w:line="312"/>
      <w:outlineLvl w:val="2"/>
    </w:pPr>
    <w:rPr>
      <w:rFonts w:ascii="Calibri" w:eastAsia="Microsoft YaHei"/>
      <w:b/>
      <w:bCs/>
      <w:color w:val="064E3B"/>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InventoryOS AI Report Scheduling System Implementation Specification</dc:title>
  <dc:creator>Super Z (SQA Architect)</dc:creator>
  <dc:description>The Weekly Client Hook — Occasion-Aware Sales Prediction Reports</dc:description>
  <cp:lastModifiedBy>Un-named</cp:lastModifiedBy>
  <cp:revision>1</cp:revision>
  <dcterms:created xsi:type="dcterms:W3CDTF">2026-06-29T12:06:49.145Z</dcterms:created>
  <dcterms:modified xsi:type="dcterms:W3CDTF">2026-06-29T12:06:49.146Z</dcterms:modified>
</cp:coreProperties>
</file>

<file path=docProps/custom.xml><?xml version="1.0" encoding="utf-8"?>
<Properties xmlns="http://schemas.openxmlformats.org/officeDocument/2006/custom-properties" xmlns:vt="http://schemas.openxmlformats.org/officeDocument/2006/docPropsVTypes"/>
</file>