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0024B" w14:textId="34B6584F" w:rsidR="006A52DD" w:rsidRPr="006A52DD" w:rsidRDefault="003B4216" w:rsidP="001867BB">
      <w:pPr>
        <w:pStyle w:val="ListParagraph"/>
        <w:numPr>
          <w:ilvl w:val="0"/>
          <w:numId w:val="17"/>
        </w:numPr>
        <w:spacing w:line="276" w:lineRule="auto"/>
        <w:jc w:val="both"/>
        <w:rPr>
          <w:rFonts w:ascii="Times New Roman" w:hAnsi="Times New Roman" w:cs="Times New Roman"/>
          <w:b/>
          <w:bCs/>
          <w:sz w:val="28"/>
          <w:szCs w:val="28"/>
        </w:rPr>
      </w:pPr>
      <w:r w:rsidRPr="006A52DD">
        <w:rPr>
          <w:rFonts w:ascii="Times New Roman" w:hAnsi="Times New Roman" w:cs="Times New Roman"/>
          <w:b/>
          <w:bCs/>
          <w:sz w:val="28"/>
          <w:szCs w:val="28"/>
        </w:rPr>
        <w:t>Select five financial ratios of your choice and calculate them for the last three years.</w:t>
      </w:r>
    </w:p>
    <w:p w14:paraId="66B9BEF1" w14:textId="7698AC1E" w:rsidR="00B015FB" w:rsidRPr="006A52DD" w:rsidRDefault="006A52DD" w:rsidP="001867BB">
      <w:pPr>
        <w:spacing w:line="276" w:lineRule="auto"/>
        <w:jc w:val="both"/>
        <w:rPr>
          <w:rFonts w:ascii="Times New Roman" w:hAnsi="Times New Roman" w:cs="Times New Roman"/>
          <w:b/>
          <w:bCs/>
          <w:sz w:val="28"/>
          <w:szCs w:val="28"/>
        </w:rPr>
      </w:pPr>
      <w:r w:rsidRPr="006A52DD">
        <w:rPr>
          <w:rFonts w:ascii="Times New Roman" w:hAnsi="Times New Roman" w:cs="Times New Roman"/>
          <w:sz w:val="24"/>
          <w:szCs w:val="24"/>
        </w:rPr>
        <w:t>Here are t</w:t>
      </w:r>
      <w:r w:rsidR="00B015FB" w:rsidRPr="006A52DD">
        <w:rPr>
          <w:rFonts w:ascii="Times New Roman" w:hAnsi="Times New Roman" w:cs="Times New Roman"/>
          <w:sz w:val="24"/>
          <w:szCs w:val="24"/>
        </w:rPr>
        <w:t>he financial ratios for Howdens Joinery PLC for the last three years, based on their financial statements</w:t>
      </w:r>
      <w:r w:rsidRPr="006A52DD">
        <w:rPr>
          <w:rFonts w:ascii="Times New Roman" w:hAnsi="Times New Roman" w:cs="Times New Roman"/>
          <w:sz w:val="24"/>
          <w:szCs w:val="24"/>
        </w:rPr>
        <w:t xml:space="preserve">: </w:t>
      </w:r>
    </w:p>
    <w:tbl>
      <w:tblPr>
        <w:tblStyle w:val="TableGrid"/>
        <w:tblW w:w="11610" w:type="dxa"/>
        <w:tblInd w:w="-635" w:type="dxa"/>
        <w:tblLook w:val="04A0" w:firstRow="1" w:lastRow="0" w:firstColumn="1" w:lastColumn="0" w:noHBand="0" w:noVBand="1"/>
      </w:tblPr>
      <w:tblGrid>
        <w:gridCol w:w="2191"/>
        <w:gridCol w:w="1190"/>
        <w:gridCol w:w="2712"/>
        <w:gridCol w:w="2664"/>
        <w:gridCol w:w="2853"/>
      </w:tblGrid>
      <w:tr w:rsidR="008F5194" w14:paraId="267DC476" w14:textId="77777777" w:rsidTr="00A240B6">
        <w:tc>
          <w:tcPr>
            <w:tcW w:w="2191" w:type="dxa"/>
          </w:tcPr>
          <w:p w14:paraId="1E825674" w14:textId="15C21723" w:rsidR="003655D9" w:rsidRPr="006A52DD" w:rsidRDefault="00E65FFA" w:rsidP="001867BB">
            <w:pPr>
              <w:spacing w:line="276" w:lineRule="auto"/>
              <w:jc w:val="both"/>
              <w:rPr>
                <w:rFonts w:ascii="Times New Roman" w:hAnsi="Times New Roman" w:cs="Times New Roman"/>
                <w:b/>
                <w:bCs/>
                <w:sz w:val="24"/>
                <w:szCs w:val="24"/>
              </w:rPr>
            </w:pPr>
            <w:r w:rsidRPr="006A52DD">
              <w:rPr>
                <w:rFonts w:ascii="Times New Roman" w:hAnsi="Times New Roman" w:cs="Times New Roman"/>
                <w:b/>
                <w:bCs/>
                <w:sz w:val="24"/>
                <w:szCs w:val="24"/>
              </w:rPr>
              <w:t>Ratios</w:t>
            </w:r>
          </w:p>
        </w:tc>
        <w:tc>
          <w:tcPr>
            <w:tcW w:w="1190" w:type="dxa"/>
          </w:tcPr>
          <w:p w14:paraId="093B6C59" w14:textId="1DCFCFE8" w:rsidR="003655D9" w:rsidRPr="006A52DD" w:rsidRDefault="00E65FFA" w:rsidP="001867BB">
            <w:pPr>
              <w:spacing w:line="276" w:lineRule="auto"/>
              <w:jc w:val="both"/>
              <w:rPr>
                <w:rFonts w:ascii="Times New Roman" w:hAnsi="Times New Roman" w:cs="Times New Roman"/>
                <w:b/>
                <w:bCs/>
                <w:sz w:val="24"/>
                <w:szCs w:val="24"/>
              </w:rPr>
            </w:pPr>
            <w:r w:rsidRPr="006A52DD">
              <w:rPr>
                <w:rFonts w:ascii="Times New Roman" w:hAnsi="Times New Roman" w:cs="Times New Roman"/>
                <w:b/>
                <w:bCs/>
                <w:sz w:val="24"/>
                <w:szCs w:val="24"/>
              </w:rPr>
              <w:t>Formula</w:t>
            </w:r>
          </w:p>
        </w:tc>
        <w:tc>
          <w:tcPr>
            <w:tcW w:w="2712" w:type="dxa"/>
          </w:tcPr>
          <w:p w14:paraId="47B83B65" w14:textId="7CB4B68C" w:rsidR="003655D9" w:rsidRPr="006A52DD" w:rsidRDefault="00E65FFA" w:rsidP="001867BB">
            <w:pPr>
              <w:tabs>
                <w:tab w:val="left" w:pos="2310"/>
              </w:tabs>
              <w:spacing w:line="276" w:lineRule="auto"/>
              <w:jc w:val="both"/>
              <w:rPr>
                <w:rFonts w:ascii="Times New Roman" w:hAnsi="Times New Roman" w:cs="Times New Roman"/>
                <w:b/>
                <w:bCs/>
                <w:sz w:val="24"/>
                <w:szCs w:val="24"/>
              </w:rPr>
            </w:pPr>
            <w:r w:rsidRPr="006A52DD">
              <w:rPr>
                <w:rFonts w:ascii="Times New Roman" w:hAnsi="Times New Roman" w:cs="Times New Roman"/>
                <w:b/>
                <w:bCs/>
                <w:sz w:val="24"/>
                <w:szCs w:val="24"/>
              </w:rPr>
              <w:t>2023</w:t>
            </w:r>
          </w:p>
        </w:tc>
        <w:tc>
          <w:tcPr>
            <w:tcW w:w="2664" w:type="dxa"/>
          </w:tcPr>
          <w:p w14:paraId="01CB59DA" w14:textId="4F212AEA" w:rsidR="003655D9" w:rsidRPr="006A52DD" w:rsidRDefault="00E65FFA" w:rsidP="001867BB">
            <w:pPr>
              <w:spacing w:line="276" w:lineRule="auto"/>
              <w:jc w:val="both"/>
              <w:rPr>
                <w:rFonts w:ascii="Times New Roman" w:hAnsi="Times New Roman" w:cs="Times New Roman"/>
                <w:b/>
                <w:bCs/>
                <w:sz w:val="24"/>
                <w:szCs w:val="24"/>
              </w:rPr>
            </w:pPr>
            <w:r w:rsidRPr="006A52DD">
              <w:rPr>
                <w:rFonts w:ascii="Times New Roman" w:hAnsi="Times New Roman" w:cs="Times New Roman"/>
                <w:b/>
                <w:bCs/>
                <w:sz w:val="24"/>
                <w:szCs w:val="24"/>
              </w:rPr>
              <w:t>2022</w:t>
            </w:r>
          </w:p>
        </w:tc>
        <w:tc>
          <w:tcPr>
            <w:tcW w:w="2853" w:type="dxa"/>
          </w:tcPr>
          <w:p w14:paraId="7142B099" w14:textId="0AF1F0CD" w:rsidR="003655D9" w:rsidRPr="006A52DD" w:rsidRDefault="00E65FFA" w:rsidP="001867BB">
            <w:pPr>
              <w:spacing w:line="276" w:lineRule="auto"/>
              <w:jc w:val="both"/>
              <w:rPr>
                <w:rFonts w:ascii="Times New Roman" w:hAnsi="Times New Roman" w:cs="Times New Roman"/>
                <w:b/>
                <w:bCs/>
                <w:sz w:val="24"/>
                <w:szCs w:val="24"/>
              </w:rPr>
            </w:pPr>
            <w:r w:rsidRPr="006A52DD">
              <w:rPr>
                <w:rFonts w:ascii="Times New Roman" w:hAnsi="Times New Roman" w:cs="Times New Roman"/>
                <w:b/>
                <w:bCs/>
                <w:sz w:val="24"/>
                <w:szCs w:val="24"/>
              </w:rPr>
              <w:t>2021</w:t>
            </w:r>
          </w:p>
        </w:tc>
      </w:tr>
      <w:tr w:rsidR="008F5194" w14:paraId="68FA88F1" w14:textId="77777777" w:rsidTr="00A240B6">
        <w:tc>
          <w:tcPr>
            <w:tcW w:w="2191" w:type="dxa"/>
          </w:tcPr>
          <w:p w14:paraId="41E6BC68" w14:textId="75571CD0" w:rsidR="003655D9" w:rsidRPr="00D84F95" w:rsidRDefault="00132B71" w:rsidP="001867BB">
            <w:pPr>
              <w:pStyle w:val="ListParagraph"/>
              <w:numPr>
                <w:ilvl w:val="0"/>
                <w:numId w:val="14"/>
              </w:numPr>
              <w:spacing w:line="276" w:lineRule="auto"/>
              <w:jc w:val="both"/>
              <w:rPr>
                <w:rFonts w:ascii="Times New Roman" w:hAnsi="Times New Roman" w:cs="Times New Roman"/>
                <w:b/>
                <w:bCs/>
                <w:sz w:val="24"/>
                <w:szCs w:val="24"/>
              </w:rPr>
            </w:pPr>
            <w:r w:rsidRPr="00D84F95">
              <w:rPr>
                <w:rFonts w:ascii="Times New Roman" w:hAnsi="Times New Roman" w:cs="Times New Roman"/>
                <w:b/>
                <w:bCs/>
                <w:sz w:val="24"/>
                <w:szCs w:val="24"/>
              </w:rPr>
              <w:t>Profitability Ratios</w:t>
            </w:r>
          </w:p>
        </w:tc>
        <w:tc>
          <w:tcPr>
            <w:tcW w:w="1190" w:type="dxa"/>
          </w:tcPr>
          <w:p w14:paraId="4BD6BDF1" w14:textId="77777777" w:rsidR="003655D9" w:rsidRDefault="003655D9" w:rsidP="001867BB">
            <w:pPr>
              <w:spacing w:line="276" w:lineRule="auto"/>
              <w:jc w:val="both"/>
              <w:rPr>
                <w:rFonts w:ascii="Times New Roman" w:hAnsi="Times New Roman" w:cs="Times New Roman"/>
                <w:sz w:val="24"/>
                <w:szCs w:val="24"/>
              </w:rPr>
            </w:pPr>
          </w:p>
        </w:tc>
        <w:tc>
          <w:tcPr>
            <w:tcW w:w="2712" w:type="dxa"/>
          </w:tcPr>
          <w:p w14:paraId="0841B06E" w14:textId="77777777" w:rsidR="003655D9" w:rsidRDefault="003655D9" w:rsidP="001867BB">
            <w:pPr>
              <w:spacing w:line="276" w:lineRule="auto"/>
              <w:jc w:val="both"/>
              <w:rPr>
                <w:rFonts w:ascii="Times New Roman" w:hAnsi="Times New Roman" w:cs="Times New Roman"/>
                <w:sz w:val="24"/>
                <w:szCs w:val="24"/>
              </w:rPr>
            </w:pPr>
          </w:p>
        </w:tc>
        <w:tc>
          <w:tcPr>
            <w:tcW w:w="2664" w:type="dxa"/>
          </w:tcPr>
          <w:p w14:paraId="5B1A1253" w14:textId="77777777" w:rsidR="003655D9" w:rsidRDefault="003655D9" w:rsidP="001867BB">
            <w:pPr>
              <w:spacing w:line="276" w:lineRule="auto"/>
              <w:jc w:val="both"/>
              <w:rPr>
                <w:rFonts w:ascii="Times New Roman" w:hAnsi="Times New Roman" w:cs="Times New Roman"/>
                <w:sz w:val="24"/>
                <w:szCs w:val="24"/>
              </w:rPr>
            </w:pPr>
          </w:p>
        </w:tc>
        <w:tc>
          <w:tcPr>
            <w:tcW w:w="2853" w:type="dxa"/>
          </w:tcPr>
          <w:p w14:paraId="123DD3FF" w14:textId="77777777" w:rsidR="003655D9" w:rsidRDefault="003655D9" w:rsidP="001867BB">
            <w:pPr>
              <w:spacing w:line="276" w:lineRule="auto"/>
              <w:jc w:val="both"/>
              <w:rPr>
                <w:rFonts w:ascii="Times New Roman" w:hAnsi="Times New Roman" w:cs="Times New Roman"/>
                <w:sz w:val="24"/>
                <w:szCs w:val="24"/>
              </w:rPr>
            </w:pPr>
          </w:p>
        </w:tc>
      </w:tr>
      <w:tr w:rsidR="00913603" w14:paraId="1A6DF33F" w14:textId="77777777" w:rsidTr="00A240B6">
        <w:tc>
          <w:tcPr>
            <w:tcW w:w="2191" w:type="dxa"/>
          </w:tcPr>
          <w:p w14:paraId="6E64854D" w14:textId="125C6940" w:rsidR="00913603" w:rsidRDefault="00913603" w:rsidP="001867BB">
            <w:pPr>
              <w:spacing w:line="276" w:lineRule="auto"/>
              <w:jc w:val="both"/>
              <w:rPr>
                <w:rFonts w:ascii="Times New Roman" w:hAnsi="Times New Roman" w:cs="Times New Roman"/>
                <w:sz w:val="24"/>
                <w:szCs w:val="24"/>
              </w:rPr>
            </w:pPr>
            <w:r w:rsidRPr="00132B71">
              <w:rPr>
                <w:rFonts w:ascii="Times New Roman" w:hAnsi="Times New Roman" w:cs="Times New Roman"/>
                <w:sz w:val="24"/>
                <w:szCs w:val="24"/>
              </w:rPr>
              <w:t>Gross Profit Ratio</w:t>
            </w:r>
          </w:p>
        </w:tc>
        <w:tc>
          <w:tcPr>
            <w:tcW w:w="1190" w:type="dxa"/>
          </w:tcPr>
          <w:p w14:paraId="215ACF90" w14:textId="7B1CCBD7" w:rsidR="00913603" w:rsidRDefault="00913603" w:rsidP="001867BB">
            <w:pPr>
              <w:spacing w:line="276" w:lineRule="auto"/>
              <w:jc w:val="both"/>
              <w:rPr>
                <w:rFonts w:ascii="Times New Roman" w:hAnsi="Times New Roman" w:cs="Times New Roman"/>
                <w:sz w:val="24"/>
                <w:szCs w:val="24"/>
              </w:rPr>
            </w:pPr>
            <w:r w:rsidRPr="007766DA">
              <w:rPr>
                <w:rFonts w:ascii="Times New Roman" w:hAnsi="Times New Roman" w:cs="Times New Roman"/>
                <w:sz w:val="24"/>
                <w:szCs w:val="24"/>
              </w:rPr>
              <w:t>(Gross Profit / Revenue) × 100</w:t>
            </w:r>
          </w:p>
        </w:tc>
        <w:tc>
          <w:tcPr>
            <w:tcW w:w="2712" w:type="dxa"/>
          </w:tcPr>
          <w:p w14:paraId="33D99311" w14:textId="52E2B053" w:rsidR="00913603" w:rsidRDefault="00913603" w:rsidP="001867BB">
            <w:pPr>
              <w:spacing w:line="276" w:lineRule="auto"/>
              <w:ind w:right="-125"/>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£2,311m</m:t>
                    </m:r>
                  </m:num>
                  <m:den>
                    <m:r>
                      <w:rPr>
                        <w:rFonts w:ascii="Cambria Math" w:hAnsi="Cambria Math" w:cs="Times New Roman"/>
                        <w:sz w:val="24"/>
                        <w:szCs w:val="24"/>
                      </w:rPr>
                      <m:t>£1,404m</m:t>
                    </m:r>
                  </m:den>
                </m:f>
                <m:r>
                  <w:rPr>
                    <w:rFonts w:ascii="Cambria Math" w:hAnsi="Cambria Math" w:cs="Times New Roman"/>
                    <w:sz w:val="24"/>
                    <w:szCs w:val="24"/>
                  </w:rPr>
                  <m:t>​×100=60.7%</m:t>
                </m:r>
              </m:oMath>
            </m:oMathPara>
          </w:p>
        </w:tc>
        <w:tc>
          <w:tcPr>
            <w:tcW w:w="2664" w:type="dxa"/>
          </w:tcPr>
          <w:p w14:paraId="3CEBBF27" w14:textId="591F2BC1" w:rsidR="00913603" w:rsidRDefault="00913603" w:rsidP="001867BB">
            <w:pPr>
              <w:spacing w:line="276" w:lineRule="auto"/>
              <w:ind w:left="-195" w:right="-130" w:firstLine="195"/>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£1,411m​</m:t>
                    </m:r>
                  </m:num>
                  <m:den>
                    <m:r>
                      <w:rPr>
                        <w:rFonts w:ascii="Cambria Math" w:hAnsi="Cambria Math" w:cs="Times New Roman"/>
                        <w:sz w:val="24"/>
                        <w:szCs w:val="24"/>
                      </w:rPr>
                      <m:t>£1,404m</m:t>
                    </m:r>
                  </m:den>
                </m:f>
                <m:r>
                  <w:rPr>
                    <w:rFonts w:ascii="Cambria Math" w:hAnsi="Cambria Math" w:cs="Times New Roman"/>
                    <w:sz w:val="24"/>
                    <w:szCs w:val="24"/>
                  </w:rPr>
                  <m:t>​×100=60.7%</m:t>
                </m:r>
              </m:oMath>
            </m:oMathPara>
          </w:p>
        </w:tc>
        <w:tc>
          <w:tcPr>
            <w:tcW w:w="2853" w:type="dxa"/>
          </w:tcPr>
          <w:p w14:paraId="3B111C0D" w14:textId="345F0D69" w:rsidR="00913603" w:rsidRDefault="00913603"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1,289</m:t>
                    </m:r>
                    <m:r>
                      <w:rPr>
                        <w:rFonts w:ascii="Cambria Math" w:hAnsi="Cambria Math" w:cs="Times New Roman"/>
                        <w:sz w:val="24"/>
                        <w:szCs w:val="24"/>
                      </w:rPr>
                      <m:t>m​</m:t>
                    </m:r>
                  </m:num>
                  <m:den>
                    <m:r>
                      <w:rPr>
                        <w:rFonts w:ascii="Cambria Math" w:hAnsi="Cambria Math" w:cs="Times New Roman"/>
                        <w:sz w:val="24"/>
                        <w:szCs w:val="24"/>
                      </w:rPr>
                      <m:t>£</m:t>
                    </m:r>
                    <m:r>
                      <w:rPr>
                        <w:rFonts w:ascii="Cambria Math" w:hAnsi="Cambria Math" w:cs="Times New Roman"/>
                        <w:sz w:val="24"/>
                        <w:szCs w:val="24"/>
                      </w:rPr>
                      <m:t>2,094</m:t>
                    </m:r>
                    <m:r>
                      <w:rPr>
                        <w:rFonts w:ascii="Cambria Math" w:hAnsi="Cambria Math" w:cs="Times New Roman"/>
                        <w:sz w:val="24"/>
                        <w:szCs w:val="24"/>
                      </w:rPr>
                      <m:t>m</m:t>
                    </m:r>
                  </m:den>
                </m:f>
                <m:r>
                  <w:rPr>
                    <w:rFonts w:ascii="Cambria Math" w:hAnsi="Cambria Math" w:cs="Times New Roman"/>
                    <w:sz w:val="24"/>
                    <w:szCs w:val="24"/>
                  </w:rPr>
                  <m:t>​×100=6</m:t>
                </m:r>
                <m:r>
                  <w:rPr>
                    <w:rFonts w:ascii="Cambria Math" w:hAnsi="Cambria Math" w:cs="Times New Roman"/>
                    <w:sz w:val="24"/>
                    <w:szCs w:val="24"/>
                  </w:rPr>
                  <m:t>1.6</m:t>
                </m:r>
                <m:r>
                  <w:rPr>
                    <w:rFonts w:ascii="Cambria Math" w:hAnsi="Cambria Math" w:cs="Times New Roman"/>
                    <w:sz w:val="24"/>
                    <w:szCs w:val="24"/>
                  </w:rPr>
                  <m:t>%</m:t>
                </m:r>
              </m:oMath>
            </m:oMathPara>
          </w:p>
        </w:tc>
      </w:tr>
      <w:tr w:rsidR="00913603" w14:paraId="48DD4D2D" w14:textId="77777777" w:rsidTr="00A240B6">
        <w:tc>
          <w:tcPr>
            <w:tcW w:w="2191" w:type="dxa"/>
          </w:tcPr>
          <w:p w14:paraId="0719672C" w14:textId="789A258A" w:rsidR="00913603" w:rsidRPr="00D84F95" w:rsidRDefault="00913603" w:rsidP="001867BB">
            <w:pPr>
              <w:pStyle w:val="ListParagraph"/>
              <w:numPr>
                <w:ilvl w:val="0"/>
                <w:numId w:val="14"/>
              </w:numPr>
              <w:spacing w:line="276" w:lineRule="auto"/>
              <w:jc w:val="both"/>
              <w:rPr>
                <w:rFonts w:ascii="Times New Roman" w:hAnsi="Times New Roman" w:cs="Times New Roman"/>
                <w:b/>
                <w:bCs/>
                <w:sz w:val="24"/>
                <w:szCs w:val="24"/>
              </w:rPr>
            </w:pPr>
            <w:r w:rsidRPr="00D84F95">
              <w:rPr>
                <w:rFonts w:ascii="Times New Roman" w:hAnsi="Times New Roman" w:cs="Times New Roman"/>
                <w:b/>
                <w:bCs/>
                <w:sz w:val="24"/>
                <w:szCs w:val="24"/>
              </w:rPr>
              <w:t>Efficiency Ratios</w:t>
            </w:r>
          </w:p>
        </w:tc>
        <w:tc>
          <w:tcPr>
            <w:tcW w:w="1190" w:type="dxa"/>
          </w:tcPr>
          <w:p w14:paraId="7497A7B2" w14:textId="77777777" w:rsidR="00913603" w:rsidRDefault="00913603" w:rsidP="001867BB">
            <w:pPr>
              <w:spacing w:line="276" w:lineRule="auto"/>
              <w:jc w:val="both"/>
              <w:rPr>
                <w:rFonts w:ascii="Times New Roman" w:hAnsi="Times New Roman" w:cs="Times New Roman"/>
                <w:sz w:val="24"/>
                <w:szCs w:val="24"/>
              </w:rPr>
            </w:pPr>
          </w:p>
        </w:tc>
        <w:tc>
          <w:tcPr>
            <w:tcW w:w="2712" w:type="dxa"/>
          </w:tcPr>
          <w:p w14:paraId="79095803" w14:textId="77777777" w:rsidR="00913603" w:rsidRDefault="00913603" w:rsidP="001867BB">
            <w:pPr>
              <w:spacing w:line="276" w:lineRule="auto"/>
              <w:jc w:val="both"/>
              <w:rPr>
                <w:rFonts w:ascii="Times New Roman" w:hAnsi="Times New Roman" w:cs="Times New Roman"/>
                <w:sz w:val="24"/>
                <w:szCs w:val="24"/>
              </w:rPr>
            </w:pPr>
          </w:p>
        </w:tc>
        <w:tc>
          <w:tcPr>
            <w:tcW w:w="2664" w:type="dxa"/>
          </w:tcPr>
          <w:p w14:paraId="76827122" w14:textId="77777777" w:rsidR="00913603" w:rsidRDefault="00913603" w:rsidP="001867BB">
            <w:pPr>
              <w:spacing w:line="276" w:lineRule="auto"/>
              <w:jc w:val="both"/>
              <w:rPr>
                <w:rFonts w:ascii="Times New Roman" w:hAnsi="Times New Roman" w:cs="Times New Roman"/>
                <w:sz w:val="24"/>
                <w:szCs w:val="24"/>
              </w:rPr>
            </w:pPr>
          </w:p>
        </w:tc>
        <w:tc>
          <w:tcPr>
            <w:tcW w:w="2853" w:type="dxa"/>
          </w:tcPr>
          <w:p w14:paraId="053B23E9" w14:textId="77777777" w:rsidR="00913603" w:rsidRDefault="00913603" w:rsidP="001867BB">
            <w:pPr>
              <w:spacing w:line="276" w:lineRule="auto"/>
              <w:jc w:val="both"/>
              <w:rPr>
                <w:rFonts w:ascii="Times New Roman" w:hAnsi="Times New Roman" w:cs="Times New Roman"/>
                <w:sz w:val="24"/>
                <w:szCs w:val="24"/>
              </w:rPr>
            </w:pPr>
          </w:p>
        </w:tc>
      </w:tr>
      <w:tr w:rsidR="00B32EAC" w14:paraId="186F07D9" w14:textId="77777777" w:rsidTr="00A240B6">
        <w:tc>
          <w:tcPr>
            <w:tcW w:w="2191" w:type="dxa"/>
          </w:tcPr>
          <w:p w14:paraId="6CE6A5A4" w14:textId="582E02E2" w:rsidR="00B32EAC" w:rsidRDefault="00B32EAC" w:rsidP="001867BB">
            <w:pPr>
              <w:spacing w:line="276" w:lineRule="auto"/>
              <w:jc w:val="both"/>
              <w:rPr>
                <w:rFonts w:ascii="Times New Roman" w:hAnsi="Times New Roman" w:cs="Times New Roman"/>
                <w:sz w:val="24"/>
                <w:szCs w:val="24"/>
              </w:rPr>
            </w:pPr>
            <w:r w:rsidRPr="00A10E28">
              <w:rPr>
                <w:rFonts w:ascii="Times New Roman" w:hAnsi="Times New Roman" w:cs="Times New Roman"/>
                <w:sz w:val="24"/>
                <w:szCs w:val="24"/>
              </w:rPr>
              <w:t>Asset</w:t>
            </w:r>
            <w:r w:rsidR="00A240B6">
              <w:rPr>
                <w:rFonts w:ascii="Times New Roman" w:hAnsi="Times New Roman" w:cs="Times New Roman"/>
                <w:sz w:val="24"/>
                <w:szCs w:val="24"/>
              </w:rPr>
              <w:t xml:space="preserve"> </w:t>
            </w:r>
            <w:r w:rsidRPr="00A10E28">
              <w:rPr>
                <w:rFonts w:ascii="Times New Roman" w:hAnsi="Times New Roman" w:cs="Times New Roman"/>
                <w:sz w:val="24"/>
                <w:szCs w:val="24"/>
              </w:rPr>
              <w:t>Turnover Ratio</w:t>
            </w:r>
          </w:p>
        </w:tc>
        <w:tc>
          <w:tcPr>
            <w:tcW w:w="1190" w:type="dxa"/>
          </w:tcPr>
          <w:p w14:paraId="676D6CCD" w14:textId="42680966" w:rsidR="00B32EAC" w:rsidRDefault="00B32EAC" w:rsidP="001867BB">
            <w:pPr>
              <w:spacing w:line="276" w:lineRule="auto"/>
              <w:jc w:val="both"/>
              <w:rPr>
                <w:rFonts w:ascii="Times New Roman" w:hAnsi="Times New Roman" w:cs="Times New Roman"/>
                <w:sz w:val="24"/>
                <w:szCs w:val="24"/>
              </w:rPr>
            </w:pPr>
            <w:r w:rsidRPr="007766DA">
              <w:rPr>
                <w:rFonts w:ascii="Times New Roman" w:hAnsi="Times New Roman" w:cs="Times New Roman"/>
                <w:sz w:val="24"/>
                <w:szCs w:val="24"/>
              </w:rPr>
              <w:t>Revenue / Total Assets</w:t>
            </w:r>
          </w:p>
        </w:tc>
        <w:tc>
          <w:tcPr>
            <w:tcW w:w="2712" w:type="dxa"/>
          </w:tcPr>
          <w:p w14:paraId="6BF3E7C9" w14:textId="63E4C7D9" w:rsidR="00B32EAC" w:rsidRDefault="00B32EAC"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2,311</m:t>
                    </m:r>
                    <m:r>
                      <w:rPr>
                        <w:rFonts w:ascii="Cambria Math" w:hAnsi="Cambria Math" w:cs="Times New Roman"/>
                        <w:sz w:val="24"/>
                        <w:szCs w:val="24"/>
                      </w:rPr>
                      <m:t>m​</m:t>
                    </m:r>
                  </m:num>
                  <m:den>
                    <m:r>
                      <w:rPr>
                        <w:rFonts w:ascii="Cambria Math" w:hAnsi="Cambria Math" w:cs="Times New Roman"/>
                        <w:sz w:val="24"/>
                        <w:szCs w:val="24"/>
                      </w:rPr>
                      <m:t>£</m:t>
                    </m:r>
                    <m:r>
                      <w:rPr>
                        <w:rFonts w:ascii="Cambria Math" w:hAnsi="Cambria Math" w:cs="Times New Roman"/>
                        <w:sz w:val="24"/>
                        <w:szCs w:val="24"/>
                      </w:rPr>
                      <m:t>2,065</m:t>
                    </m:r>
                    <m:r>
                      <w:rPr>
                        <w:rFonts w:ascii="Cambria Math" w:hAnsi="Cambria Math" w:cs="Times New Roman"/>
                        <w:sz w:val="24"/>
                        <w:szCs w:val="24"/>
                      </w:rPr>
                      <m:t>m</m:t>
                    </m:r>
                  </m:den>
                </m:f>
                <m:r>
                  <w:rPr>
                    <w:rFonts w:ascii="Cambria Math" w:hAnsi="Cambria Math" w:cs="Times New Roman"/>
                    <w:sz w:val="24"/>
                    <w:szCs w:val="24"/>
                  </w:rPr>
                  <m:t>​=</m:t>
                </m:r>
                <m:r>
                  <w:rPr>
                    <w:rFonts w:ascii="Cambria Math" w:hAnsi="Cambria Math" w:cs="Times New Roman"/>
                    <w:sz w:val="24"/>
                    <w:szCs w:val="24"/>
                  </w:rPr>
                  <m:t>1.12</m:t>
                </m:r>
                <m:r>
                  <w:rPr>
                    <w:rFonts w:ascii="Cambria Math" w:hAnsi="Cambria Math" w:cs="Times New Roman"/>
                    <w:sz w:val="24"/>
                    <w:szCs w:val="24"/>
                  </w:rPr>
                  <m:t>%</m:t>
                </m:r>
              </m:oMath>
            </m:oMathPara>
          </w:p>
        </w:tc>
        <w:tc>
          <w:tcPr>
            <w:tcW w:w="2664" w:type="dxa"/>
          </w:tcPr>
          <w:p w14:paraId="070FF8C4" w14:textId="0D7B11A7" w:rsidR="00B32EAC" w:rsidRDefault="00B32EAC"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319</m:t>
                    </m:r>
                    <m:r>
                      <w:rPr>
                        <w:rFonts w:ascii="Cambria Math" w:hAnsi="Cambria Math" w:cs="Times New Roman"/>
                        <w:sz w:val="24"/>
                        <w:szCs w:val="24"/>
                      </w:rPr>
                      <m:t>m​</m:t>
                    </m:r>
                  </m:num>
                  <m:den>
                    <m:r>
                      <w:rPr>
                        <w:rFonts w:ascii="Cambria Math" w:hAnsi="Cambria Math" w:cs="Times New Roman"/>
                        <w:sz w:val="24"/>
                        <w:szCs w:val="24"/>
                      </w:rPr>
                      <m:t>£2,0</m:t>
                    </m:r>
                    <m:r>
                      <w:rPr>
                        <w:rFonts w:ascii="Cambria Math" w:hAnsi="Cambria Math" w:cs="Times New Roman"/>
                        <w:sz w:val="24"/>
                        <w:szCs w:val="24"/>
                      </w:rPr>
                      <m:t>33</m:t>
                    </m:r>
                    <m:r>
                      <w:rPr>
                        <w:rFonts w:ascii="Cambria Math" w:hAnsi="Cambria Math" w:cs="Times New Roman"/>
                        <w:sz w:val="24"/>
                        <w:szCs w:val="24"/>
                      </w:rPr>
                      <m:t>m</m:t>
                    </m:r>
                  </m:den>
                </m:f>
                <m:r>
                  <w:rPr>
                    <w:rFonts w:ascii="Cambria Math" w:hAnsi="Cambria Math" w:cs="Times New Roman"/>
                    <w:sz w:val="24"/>
                    <w:szCs w:val="24"/>
                  </w:rPr>
                  <m:t>​=1.1</m:t>
                </m:r>
                <m:r>
                  <w:rPr>
                    <w:rFonts w:ascii="Cambria Math" w:hAnsi="Cambria Math" w:cs="Times New Roman"/>
                    <w:sz w:val="24"/>
                    <w:szCs w:val="24"/>
                  </w:rPr>
                  <m:t>4</m:t>
                </m:r>
                <m:r>
                  <w:rPr>
                    <w:rFonts w:ascii="Cambria Math" w:hAnsi="Cambria Math" w:cs="Times New Roman"/>
                    <w:sz w:val="24"/>
                    <w:szCs w:val="24"/>
                  </w:rPr>
                  <m:t>%</m:t>
                </m:r>
              </m:oMath>
            </m:oMathPara>
          </w:p>
        </w:tc>
        <w:tc>
          <w:tcPr>
            <w:tcW w:w="2853" w:type="dxa"/>
          </w:tcPr>
          <w:p w14:paraId="0AC73CAA" w14:textId="6031BA1C" w:rsidR="00B32EAC" w:rsidRDefault="00B32EAC"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094</m:t>
                    </m:r>
                    <m:r>
                      <w:rPr>
                        <w:rFonts w:ascii="Cambria Math" w:hAnsi="Cambria Math" w:cs="Times New Roman"/>
                        <w:sz w:val="24"/>
                        <w:szCs w:val="24"/>
                      </w:rPr>
                      <m:t>m​</m:t>
                    </m:r>
                  </m:num>
                  <m:den>
                    <m:r>
                      <w:rPr>
                        <w:rFonts w:ascii="Cambria Math" w:hAnsi="Cambria Math" w:cs="Times New Roman"/>
                        <w:sz w:val="24"/>
                        <w:szCs w:val="24"/>
                      </w:rPr>
                      <m:t>£2,0</m:t>
                    </m:r>
                    <m:r>
                      <w:rPr>
                        <w:rFonts w:ascii="Cambria Math" w:hAnsi="Cambria Math" w:cs="Times New Roman"/>
                        <w:sz w:val="24"/>
                        <w:szCs w:val="24"/>
                      </w:rPr>
                      <m:t>51</m:t>
                    </m:r>
                    <m:r>
                      <w:rPr>
                        <w:rFonts w:ascii="Cambria Math" w:hAnsi="Cambria Math" w:cs="Times New Roman"/>
                        <w:sz w:val="24"/>
                        <w:szCs w:val="24"/>
                      </w:rPr>
                      <m:t>m</m:t>
                    </m:r>
                  </m:den>
                </m:f>
                <m:r>
                  <w:rPr>
                    <w:rFonts w:ascii="Cambria Math" w:hAnsi="Cambria Math" w:cs="Times New Roman"/>
                    <w:sz w:val="24"/>
                    <w:szCs w:val="24"/>
                  </w:rPr>
                  <m:t>​=1.</m:t>
                </m:r>
                <m:r>
                  <w:rPr>
                    <w:rFonts w:ascii="Cambria Math" w:hAnsi="Cambria Math" w:cs="Times New Roman"/>
                    <w:sz w:val="24"/>
                    <w:szCs w:val="24"/>
                  </w:rPr>
                  <m:t>0</m:t>
                </m:r>
                <m:r>
                  <w:rPr>
                    <w:rFonts w:ascii="Cambria Math" w:hAnsi="Cambria Math" w:cs="Times New Roman"/>
                    <w:sz w:val="24"/>
                    <w:szCs w:val="24"/>
                  </w:rPr>
                  <m:t>2%</m:t>
                </m:r>
              </m:oMath>
            </m:oMathPara>
          </w:p>
        </w:tc>
      </w:tr>
      <w:tr w:rsidR="00B32EAC" w14:paraId="46247D39" w14:textId="77777777" w:rsidTr="00A240B6">
        <w:tc>
          <w:tcPr>
            <w:tcW w:w="2191" w:type="dxa"/>
          </w:tcPr>
          <w:p w14:paraId="768CCB3F" w14:textId="0B59D901" w:rsidR="00B32EAC" w:rsidRDefault="00B32EAC" w:rsidP="001867BB">
            <w:pPr>
              <w:spacing w:line="276" w:lineRule="auto"/>
              <w:jc w:val="both"/>
              <w:rPr>
                <w:rFonts w:ascii="Times New Roman" w:hAnsi="Times New Roman" w:cs="Times New Roman"/>
                <w:sz w:val="24"/>
                <w:szCs w:val="24"/>
              </w:rPr>
            </w:pPr>
            <w:r w:rsidRPr="00A10E28">
              <w:rPr>
                <w:rFonts w:ascii="Times New Roman" w:hAnsi="Times New Roman" w:cs="Times New Roman"/>
                <w:sz w:val="24"/>
                <w:szCs w:val="24"/>
              </w:rPr>
              <w:t>Inventory Turnover Ratio</w:t>
            </w:r>
          </w:p>
        </w:tc>
        <w:tc>
          <w:tcPr>
            <w:tcW w:w="1190" w:type="dxa"/>
          </w:tcPr>
          <w:p w14:paraId="3E14EA81" w14:textId="77777777" w:rsidR="00B32EAC" w:rsidRDefault="00B32EAC" w:rsidP="001867BB">
            <w:pPr>
              <w:spacing w:line="276" w:lineRule="auto"/>
              <w:jc w:val="both"/>
              <w:rPr>
                <w:rFonts w:ascii="Times New Roman" w:hAnsi="Times New Roman" w:cs="Times New Roman"/>
                <w:sz w:val="24"/>
                <w:szCs w:val="24"/>
              </w:rPr>
            </w:pPr>
            <w:r w:rsidRPr="00465E5F">
              <w:rPr>
                <w:rFonts w:ascii="Times New Roman" w:hAnsi="Times New Roman" w:cs="Times New Roman"/>
                <w:sz w:val="24"/>
                <w:szCs w:val="24"/>
                <w:lang w:val="en-IN"/>
              </w:rPr>
              <w:t>Cost of goods sold</w:t>
            </w:r>
            <w:r>
              <w:rPr>
                <w:rFonts w:ascii="Times New Roman" w:hAnsi="Times New Roman" w:cs="Times New Roman"/>
                <w:b/>
                <w:bCs/>
                <w:sz w:val="24"/>
                <w:szCs w:val="24"/>
                <w:lang w:val="en-IN"/>
              </w:rPr>
              <w:t xml:space="preserve"> (</w:t>
            </w:r>
            <w:r w:rsidRPr="00B641BA">
              <w:rPr>
                <w:rFonts w:ascii="Times New Roman" w:hAnsi="Times New Roman" w:cs="Times New Roman"/>
                <w:sz w:val="24"/>
                <w:szCs w:val="24"/>
              </w:rPr>
              <w:t>COGS</w:t>
            </w:r>
            <w:r>
              <w:rPr>
                <w:rFonts w:ascii="Times New Roman" w:hAnsi="Times New Roman" w:cs="Times New Roman"/>
                <w:sz w:val="24"/>
                <w:szCs w:val="24"/>
              </w:rPr>
              <w:t>)</w:t>
            </w:r>
            <w:r w:rsidRPr="00B641BA">
              <w:rPr>
                <w:rFonts w:ascii="Times New Roman" w:hAnsi="Times New Roman" w:cs="Times New Roman"/>
                <w:sz w:val="24"/>
                <w:szCs w:val="24"/>
              </w:rPr>
              <w:t xml:space="preserve"> / Average Inventory</w:t>
            </w:r>
          </w:p>
          <w:p w14:paraId="125E31AA" w14:textId="2D68A457" w:rsidR="001867BB" w:rsidRDefault="001867BB" w:rsidP="001867BB">
            <w:pPr>
              <w:spacing w:line="276" w:lineRule="auto"/>
              <w:jc w:val="both"/>
              <w:rPr>
                <w:rFonts w:ascii="Times New Roman" w:hAnsi="Times New Roman" w:cs="Times New Roman"/>
                <w:sz w:val="24"/>
                <w:szCs w:val="24"/>
              </w:rPr>
            </w:pPr>
          </w:p>
        </w:tc>
        <w:tc>
          <w:tcPr>
            <w:tcW w:w="2712" w:type="dxa"/>
          </w:tcPr>
          <w:p w14:paraId="42A41150" w14:textId="37B52C61" w:rsidR="00B32EAC" w:rsidRDefault="00B32EAC" w:rsidP="001867BB">
            <w:pPr>
              <w:spacing w:line="276" w:lineRule="auto"/>
              <w:ind w:left="-59"/>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907m</m:t>
                    </m:r>
                  </m:num>
                  <m:den>
                    <m:r>
                      <w:rPr>
                        <w:rFonts w:ascii="Cambria Math" w:hAnsi="Cambria Math" w:cs="Times New Roman"/>
                        <w:sz w:val="24"/>
                        <w:szCs w:val="24"/>
                      </w:rPr>
                      <m:t>(</m:t>
                    </m:r>
                    <m:r>
                      <m:rPr>
                        <m:sty m:val="p"/>
                      </m:rPr>
                      <w:rPr>
                        <w:rFonts w:ascii="Cambria Math" w:hAnsi="Cambria Math" w:cs="Times New Roman"/>
                        <w:sz w:val="24"/>
                        <w:szCs w:val="24"/>
                      </w:rPr>
                      <m:t xml:space="preserve">£383m+£373m)/2 </m:t>
                    </m:r>
                  </m:den>
                </m:f>
                <m:r>
                  <w:rPr>
                    <w:rFonts w:ascii="Times New Roman" w:hAnsi="Times New Roman" w:cs="Times New Roman"/>
                    <w:sz w:val="24"/>
                    <w:szCs w:val="24"/>
                  </w:rPr>
                  <w:br/>
                </m:r>
              </m:oMath>
            </m:oMathPara>
            <w:r w:rsidR="004322EB">
              <w:rPr>
                <w:rFonts w:ascii="Times New Roman" w:hAnsi="Times New Roman" w:cs="Times New Roman"/>
                <w:sz w:val="24"/>
                <w:szCs w:val="24"/>
              </w:rPr>
              <w:t xml:space="preserve">     </w:t>
            </w:r>
            <w:r w:rsidRPr="0048251D">
              <w:rPr>
                <w:rFonts w:ascii="Times New Roman" w:hAnsi="Times New Roman" w:cs="Times New Roman"/>
                <w:sz w:val="24"/>
                <w:szCs w:val="24"/>
              </w:rPr>
              <w:t>=</w:t>
            </w:r>
            <w:r>
              <w:rPr>
                <w:rFonts w:ascii="Times New Roman" w:hAnsi="Times New Roman" w:cs="Times New Roman"/>
                <w:sz w:val="24"/>
                <w:szCs w:val="24"/>
              </w:rPr>
              <w:t>2.41</w:t>
            </w:r>
          </w:p>
        </w:tc>
        <w:tc>
          <w:tcPr>
            <w:tcW w:w="2664" w:type="dxa"/>
          </w:tcPr>
          <w:p w14:paraId="15A8BBAB" w14:textId="7012FA98" w:rsidR="00B32EAC" w:rsidRDefault="00B32EAC"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m:rPr>
                        <m:sty m:val="p"/>
                      </m:rPr>
                      <w:rPr>
                        <w:rFonts w:ascii="Cambria Math" w:hAnsi="Cambria Math" w:cs="Times New Roman"/>
                        <w:sz w:val="24"/>
                        <w:szCs w:val="24"/>
                      </w:rPr>
                      <m:t>£908m</m:t>
                    </m:r>
                  </m:num>
                  <m:den>
                    <m:r>
                      <w:rPr>
                        <w:rFonts w:ascii="Cambria Math" w:hAnsi="Cambria Math" w:cs="Times New Roman"/>
                        <w:sz w:val="24"/>
                        <w:szCs w:val="24"/>
                      </w:rPr>
                      <m:t>(</m:t>
                    </m:r>
                    <m:r>
                      <m:rPr>
                        <m:sty m:val="p"/>
                      </m:rPr>
                      <w:rPr>
                        <w:rFonts w:ascii="Cambria Math" w:hAnsi="Cambria Math" w:cs="Times New Roman"/>
                        <w:sz w:val="24"/>
                        <w:szCs w:val="24"/>
                      </w:rPr>
                      <m:t>£373m+£302m)/2</m:t>
                    </m:r>
                  </m:den>
                </m:f>
              </m:oMath>
            </m:oMathPara>
          </w:p>
          <w:p w14:paraId="2B38F9A3" w14:textId="449FFE1C" w:rsidR="00B32EAC" w:rsidRDefault="00B32EAC" w:rsidP="001867BB">
            <w:pPr>
              <w:spacing w:line="276" w:lineRule="auto"/>
              <w:jc w:val="both"/>
              <w:rPr>
                <w:rFonts w:ascii="Times New Roman" w:hAnsi="Times New Roman" w:cs="Times New Roman"/>
                <w:sz w:val="24"/>
                <w:szCs w:val="24"/>
              </w:rPr>
            </w:pPr>
            <w:r w:rsidRPr="0048251D">
              <w:rPr>
                <w:rFonts w:ascii="Times New Roman" w:hAnsi="Times New Roman" w:cs="Times New Roman"/>
                <w:sz w:val="24"/>
                <w:szCs w:val="24"/>
              </w:rPr>
              <w:t>=2.71</w:t>
            </w:r>
          </w:p>
        </w:tc>
        <w:tc>
          <w:tcPr>
            <w:tcW w:w="2853" w:type="dxa"/>
          </w:tcPr>
          <w:p w14:paraId="40DCB49E" w14:textId="04256B73" w:rsidR="00B32EAC" w:rsidRDefault="00B32EAC"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m:rPr>
                        <m:sty m:val="p"/>
                      </m:rPr>
                      <w:rPr>
                        <w:rFonts w:ascii="Cambria Math" w:hAnsi="Cambria Math" w:cs="Times New Roman"/>
                        <w:sz w:val="24"/>
                        <w:szCs w:val="24"/>
                      </w:rPr>
                      <m:t>£805m</m:t>
                    </m:r>
                  </m:num>
                  <m:den>
                    <m:r>
                      <w:rPr>
                        <w:rFonts w:ascii="Cambria Math" w:hAnsi="Cambria Math" w:cs="Times New Roman"/>
                        <w:sz w:val="24"/>
                        <w:szCs w:val="24"/>
                      </w:rPr>
                      <m:t>(</m:t>
                    </m:r>
                    <m:r>
                      <m:rPr>
                        <m:sty m:val="p"/>
                      </m:rPr>
                      <w:rPr>
                        <w:rFonts w:ascii="Cambria Math" w:hAnsi="Cambria Math" w:cs="Times New Roman"/>
                        <w:sz w:val="24"/>
                        <w:szCs w:val="24"/>
                      </w:rPr>
                      <m:t>£302m+£300m)/2</m:t>
                    </m:r>
                  </m:den>
                </m:f>
                <m:r>
                  <m:rPr>
                    <m:sty m:val="p"/>
                  </m:rPr>
                  <w:rPr>
                    <w:rFonts w:ascii="Times New Roman" w:hAnsi="Times New Roman" w:cs="Times New Roman"/>
                    <w:sz w:val="24"/>
                    <w:szCs w:val="24"/>
                  </w:rPr>
                  <w:br/>
                </m:r>
              </m:oMath>
            </m:oMathPara>
            <w:r w:rsidRPr="00593360">
              <w:rPr>
                <w:rFonts w:ascii="Times New Roman" w:hAnsi="Times New Roman" w:cs="Times New Roman"/>
                <w:sz w:val="24"/>
                <w:szCs w:val="24"/>
              </w:rPr>
              <w:t>=2.67</w:t>
            </w:r>
          </w:p>
          <w:p w14:paraId="43CDB84F" w14:textId="433FEC53" w:rsidR="00B32EAC" w:rsidRDefault="00B32EAC" w:rsidP="001867BB">
            <w:pPr>
              <w:spacing w:line="276" w:lineRule="auto"/>
              <w:jc w:val="both"/>
              <w:rPr>
                <w:rFonts w:ascii="Times New Roman" w:hAnsi="Times New Roman" w:cs="Times New Roman"/>
                <w:sz w:val="24"/>
                <w:szCs w:val="24"/>
              </w:rPr>
            </w:pPr>
          </w:p>
        </w:tc>
      </w:tr>
      <w:tr w:rsidR="00B32EAC" w14:paraId="6ADE6FAB" w14:textId="77777777" w:rsidTr="00A240B6">
        <w:tc>
          <w:tcPr>
            <w:tcW w:w="2191" w:type="dxa"/>
          </w:tcPr>
          <w:p w14:paraId="00E4DB56" w14:textId="7084FAD4" w:rsidR="00B32EAC" w:rsidRPr="00D84F95" w:rsidRDefault="00B32EAC" w:rsidP="001867BB">
            <w:pPr>
              <w:pStyle w:val="ListParagraph"/>
              <w:numPr>
                <w:ilvl w:val="0"/>
                <w:numId w:val="14"/>
              </w:numPr>
              <w:spacing w:line="276" w:lineRule="auto"/>
              <w:jc w:val="both"/>
              <w:rPr>
                <w:rFonts w:ascii="Times New Roman" w:hAnsi="Times New Roman" w:cs="Times New Roman"/>
                <w:b/>
                <w:bCs/>
                <w:sz w:val="24"/>
                <w:szCs w:val="24"/>
              </w:rPr>
            </w:pPr>
            <w:r w:rsidRPr="00D84F95">
              <w:rPr>
                <w:rFonts w:ascii="Times New Roman" w:hAnsi="Times New Roman" w:cs="Times New Roman"/>
                <w:b/>
                <w:bCs/>
                <w:sz w:val="24"/>
                <w:szCs w:val="24"/>
              </w:rPr>
              <w:t>Liquidity Ratios</w:t>
            </w:r>
          </w:p>
        </w:tc>
        <w:tc>
          <w:tcPr>
            <w:tcW w:w="1190" w:type="dxa"/>
          </w:tcPr>
          <w:p w14:paraId="66BF2DBC" w14:textId="77777777" w:rsidR="00B32EAC" w:rsidRDefault="00B32EAC" w:rsidP="001867BB">
            <w:pPr>
              <w:spacing w:line="276" w:lineRule="auto"/>
              <w:jc w:val="both"/>
              <w:rPr>
                <w:rFonts w:ascii="Times New Roman" w:hAnsi="Times New Roman" w:cs="Times New Roman"/>
                <w:sz w:val="24"/>
                <w:szCs w:val="24"/>
              </w:rPr>
            </w:pPr>
          </w:p>
        </w:tc>
        <w:tc>
          <w:tcPr>
            <w:tcW w:w="2712" w:type="dxa"/>
          </w:tcPr>
          <w:p w14:paraId="4F4A67AE" w14:textId="77777777" w:rsidR="00B32EAC" w:rsidRDefault="00B32EAC" w:rsidP="001867BB">
            <w:pPr>
              <w:spacing w:line="276" w:lineRule="auto"/>
              <w:jc w:val="both"/>
              <w:rPr>
                <w:rFonts w:ascii="Times New Roman" w:hAnsi="Times New Roman" w:cs="Times New Roman"/>
                <w:sz w:val="24"/>
                <w:szCs w:val="24"/>
              </w:rPr>
            </w:pPr>
          </w:p>
        </w:tc>
        <w:tc>
          <w:tcPr>
            <w:tcW w:w="2664" w:type="dxa"/>
          </w:tcPr>
          <w:p w14:paraId="7478501B" w14:textId="77777777" w:rsidR="00B32EAC" w:rsidRDefault="00B32EAC" w:rsidP="001867BB">
            <w:pPr>
              <w:spacing w:line="276" w:lineRule="auto"/>
              <w:jc w:val="both"/>
              <w:rPr>
                <w:rFonts w:ascii="Times New Roman" w:hAnsi="Times New Roman" w:cs="Times New Roman"/>
                <w:sz w:val="24"/>
                <w:szCs w:val="24"/>
              </w:rPr>
            </w:pPr>
          </w:p>
        </w:tc>
        <w:tc>
          <w:tcPr>
            <w:tcW w:w="2853" w:type="dxa"/>
          </w:tcPr>
          <w:p w14:paraId="46A60A1A" w14:textId="77777777" w:rsidR="00B32EAC" w:rsidRDefault="00B32EAC" w:rsidP="001867BB">
            <w:pPr>
              <w:spacing w:line="276" w:lineRule="auto"/>
              <w:jc w:val="both"/>
              <w:rPr>
                <w:rFonts w:ascii="Times New Roman" w:hAnsi="Times New Roman" w:cs="Times New Roman"/>
                <w:sz w:val="24"/>
                <w:szCs w:val="24"/>
              </w:rPr>
            </w:pPr>
          </w:p>
        </w:tc>
      </w:tr>
      <w:tr w:rsidR="002C0A9A" w14:paraId="61A0F4F8" w14:textId="77777777" w:rsidTr="00A240B6">
        <w:tc>
          <w:tcPr>
            <w:tcW w:w="2191" w:type="dxa"/>
          </w:tcPr>
          <w:p w14:paraId="726EE65C" w14:textId="35F4AB4F" w:rsidR="002C0A9A" w:rsidRDefault="002C0A9A" w:rsidP="001867BB">
            <w:pPr>
              <w:spacing w:line="276" w:lineRule="auto"/>
              <w:jc w:val="both"/>
              <w:rPr>
                <w:rFonts w:ascii="Times New Roman" w:hAnsi="Times New Roman" w:cs="Times New Roman"/>
                <w:sz w:val="24"/>
                <w:szCs w:val="24"/>
              </w:rPr>
            </w:pPr>
            <w:r w:rsidRPr="00A10E28">
              <w:rPr>
                <w:rFonts w:ascii="Times New Roman" w:hAnsi="Times New Roman" w:cs="Times New Roman"/>
                <w:sz w:val="24"/>
                <w:szCs w:val="24"/>
              </w:rPr>
              <w:t>Current Ratio</w:t>
            </w:r>
          </w:p>
        </w:tc>
        <w:tc>
          <w:tcPr>
            <w:tcW w:w="1190" w:type="dxa"/>
          </w:tcPr>
          <w:p w14:paraId="23EB1C0B" w14:textId="77777777" w:rsidR="002C0A9A" w:rsidRDefault="002C0A9A" w:rsidP="001867BB">
            <w:pPr>
              <w:spacing w:line="276" w:lineRule="auto"/>
              <w:jc w:val="both"/>
              <w:rPr>
                <w:rFonts w:ascii="Times New Roman" w:hAnsi="Times New Roman" w:cs="Times New Roman"/>
                <w:sz w:val="24"/>
                <w:szCs w:val="24"/>
              </w:rPr>
            </w:pPr>
            <w:r w:rsidRPr="005B3C89">
              <w:rPr>
                <w:rFonts w:ascii="Times New Roman" w:hAnsi="Times New Roman" w:cs="Times New Roman"/>
                <w:sz w:val="24"/>
                <w:szCs w:val="24"/>
              </w:rPr>
              <w:t>Current Assets / Current Liabilities</w:t>
            </w:r>
          </w:p>
          <w:p w14:paraId="23883F59" w14:textId="5B323A79" w:rsidR="001867BB" w:rsidRDefault="001867BB" w:rsidP="001867BB">
            <w:pPr>
              <w:spacing w:line="276" w:lineRule="auto"/>
              <w:jc w:val="both"/>
              <w:rPr>
                <w:rFonts w:ascii="Times New Roman" w:hAnsi="Times New Roman" w:cs="Times New Roman"/>
                <w:sz w:val="24"/>
                <w:szCs w:val="24"/>
              </w:rPr>
            </w:pPr>
          </w:p>
        </w:tc>
        <w:tc>
          <w:tcPr>
            <w:tcW w:w="2712" w:type="dxa"/>
          </w:tcPr>
          <w:p w14:paraId="3CF310C6" w14:textId="37DE9897" w:rsidR="002C0A9A" w:rsidRDefault="002C0A9A"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900</m:t>
                    </m:r>
                    <m:r>
                      <w:rPr>
                        <w:rFonts w:ascii="Cambria Math" w:hAnsi="Cambria Math" w:cs="Times New Roman"/>
                        <w:sz w:val="24"/>
                        <w:szCs w:val="24"/>
                      </w:rPr>
                      <m:t>m​</m:t>
                    </m:r>
                  </m:num>
                  <m:den>
                    <m:r>
                      <w:rPr>
                        <w:rFonts w:ascii="Cambria Math" w:hAnsi="Cambria Math" w:cs="Times New Roman"/>
                        <w:sz w:val="24"/>
                        <w:szCs w:val="24"/>
                      </w:rPr>
                      <m:t>£</m:t>
                    </m:r>
                    <m:r>
                      <w:rPr>
                        <w:rFonts w:ascii="Cambria Math" w:hAnsi="Cambria Math" w:cs="Times New Roman"/>
                        <w:sz w:val="24"/>
                        <w:szCs w:val="24"/>
                      </w:rPr>
                      <m:t>468</m:t>
                    </m:r>
                    <m:r>
                      <w:rPr>
                        <w:rFonts w:ascii="Cambria Math" w:hAnsi="Cambria Math" w:cs="Times New Roman"/>
                        <w:sz w:val="24"/>
                        <w:szCs w:val="24"/>
                      </w:rPr>
                      <m:t>m</m:t>
                    </m:r>
                  </m:den>
                </m:f>
                <m:r>
                  <w:rPr>
                    <w:rFonts w:ascii="Cambria Math" w:hAnsi="Cambria Math" w:cs="Times New Roman"/>
                    <w:sz w:val="24"/>
                    <w:szCs w:val="24"/>
                  </w:rPr>
                  <m:t>​=1.</m:t>
                </m:r>
                <m:r>
                  <w:rPr>
                    <w:rFonts w:ascii="Cambria Math" w:hAnsi="Cambria Math" w:cs="Times New Roman"/>
                    <w:sz w:val="24"/>
                    <w:szCs w:val="24"/>
                  </w:rPr>
                  <m:t>9</m:t>
                </m:r>
                <m:r>
                  <w:rPr>
                    <w:rFonts w:ascii="Cambria Math" w:hAnsi="Cambria Math" w:cs="Times New Roman"/>
                    <w:sz w:val="24"/>
                    <w:szCs w:val="24"/>
                  </w:rPr>
                  <m:t>2%</m:t>
                </m:r>
              </m:oMath>
            </m:oMathPara>
          </w:p>
        </w:tc>
        <w:tc>
          <w:tcPr>
            <w:tcW w:w="2664" w:type="dxa"/>
          </w:tcPr>
          <w:p w14:paraId="53D754CB" w14:textId="42A59A37" w:rsidR="002C0A9A" w:rsidRDefault="002C0A9A"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947</m:t>
                    </m:r>
                    <m:r>
                      <w:rPr>
                        <w:rFonts w:ascii="Cambria Math" w:hAnsi="Cambria Math" w:cs="Times New Roman"/>
                        <w:sz w:val="24"/>
                        <w:szCs w:val="24"/>
                      </w:rPr>
                      <m:t>m​</m:t>
                    </m:r>
                  </m:num>
                  <m:den>
                    <m:r>
                      <w:rPr>
                        <w:rFonts w:ascii="Cambria Math" w:hAnsi="Cambria Math" w:cs="Times New Roman"/>
                        <w:sz w:val="24"/>
                        <w:szCs w:val="24"/>
                      </w:rPr>
                      <m:t>£</m:t>
                    </m:r>
                    <m:r>
                      <w:rPr>
                        <w:rFonts w:ascii="Cambria Math" w:hAnsi="Cambria Math" w:cs="Times New Roman"/>
                        <w:sz w:val="24"/>
                        <w:szCs w:val="24"/>
                      </w:rPr>
                      <m:t>541</m:t>
                    </m:r>
                    <m:r>
                      <w:rPr>
                        <w:rFonts w:ascii="Cambria Math" w:hAnsi="Cambria Math" w:cs="Times New Roman"/>
                        <w:sz w:val="24"/>
                        <w:szCs w:val="24"/>
                      </w:rPr>
                      <m:t>m</m:t>
                    </m:r>
                  </m:den>
                </m:f>
                <m:r>
                  <w:rPr>
                    <w:rFonts w:ascii="Cambria Math" w:hAnsi="Cambria Math" w:cs="Times New Roman"/>
                    <w:sz w:val="24"/>
                    <w:szCs w:val="24"/>
                  </w:rPr>
                  <m:t>​=1.</m:t>
                </m:r>
                <m:r>
                  <w:rPr>
                    <w:rFonts w:ascii="Cambria Math" w:hAnsi="Cambria Math" w:cs="Times New Roman"/>
                    <w:sz w:val="24"/>
                    <w:szCs w:val="24"/>
                  </w:rPr>
                  <m:t>75</m:t>
                </m:r>
                <m:r>
                  <w:rPr>
                    <w:rFonts w:ascii="Cambria Math" w:hAnsi="Cambria Math" w:cs="Times New Roman"/>
                    <w:sz w:val="24"/>
                    <w:szCs w:val="24"/>
                  </w:rPr>
                  <m:t>%</m:t>
                </m:r>
              </m:oMath>
            </m:oMathPara>
          </w:p>
        </w:tc>
        <w:tc>
          <w:tcPr>
            <w:tcW w:w="2853" w:type="dxa"/>
          </w:tcPr>
          <w:p w14:paraId="06DCD9EC" w14:textId="00CD41C9" w:rsidR="002C0A9A" w:rsidRDefault="002C0A9A"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1,023</m:t>
                    </m:r>
                    <m:r>
                      <w:rPr>
                        <w:rFonts w:ascii="Cambria Math" w:hAnsi="Cambria Math" w:cs="Times New Roman"/>
                        <w:sz w:val="24"/>
                        <w:szCs w:val="24"/>
                      </w:rPr>
                      <m:t>m​</m:t>
                    </m:r>
                  </m:num>
                  <m:den>
                    <m:r>
                      <w:rPr>
                        <w:rFonts w:ascii="Cambria Math" w:hAnsi="Cambria Math" w:cs="Times New Roman"/>
                        <w:sz w:val="24"/>
                        <w:szCs w:val="24"/>
                      </w:rPr>
                      <m:t>£</m:t>
                    </m:r>
                    <m:r>
                      <w:rPr>
                        <w:rFonts w:ascii="Cambria Math" w:hAnsi="Cambria Math" w:cs="Times New Roman"/>
                        <w:sz w:val="24"/>
                        <w:szCs w:val="24"/>
                      </w:rPr>
                      <m:t>468</m:t>
                    </m:r>
                    <m:r>
                      <w:rPr>
                        <w:rFonts w:ascii="Cambria Math" w:hAnsi="Cambria Math" w:cs="Times New Roman"/>
                        <w:sz w:val="24"/>
                        <w:szCs w:val="24"/>
                      </w:rPr>
                      <m:t>m</m:t>
                    </m:r>
                  </m:den>
                </m:f>
                <m:r>
                  <w:rPr>
                    <w:rFonts w:ascii="Cambria Math" w:hAnsi="Cambria Math" w:cs="Times New Roman"/>
                    <w:sz w:val="24"/>
                    <w:szCs w:val="24"/>
                  </w:rPr>
                  <m:t>​=</m:t>
                </m:r>
                <m:r>
                  <w:rPr>
                    <w:rFonts w:ascii="Cambria Math" w:hAnsi="Cambria Math" w:cs="Times New Roman"/>
                    <w:sz w:val="24"/>
                    <w:szCs w:val="24"/>
                  </w:rPr>
                  <m:t>2.19</m:t>
                </m:r>
                <m:r>
                  <w:rPr>
                    <w:rFonts w:ascii="Cambria Math" w:hAnsi="Cambria Math" w:cs="Times New Roman"/>
                    <w:sz w:val="24"/>
                    <w:szCs w:val="24"/>
                  </w:rPr>
                  <m:t>%</m:t>
                </m:r>
              </m:oMath>
            </m:oMathPara>
          </w:p>
        </w:tc>
      </w:tr>
      <w:tr w:rsidR="002C0A9A" w14:paraId="3D7A4C3E" w14:textId="77777777" w:rsidTr="00A240B6">
        <w:tc>
          <w:tcPr>
            <w:tcW w:w="2191" w:type="dxa"/>
          </w:tcPr>
          <w:p w14:paraId="76E2BDCF" w14:textId="2AF70D7A" w:rsidR="002C0A9A" w:rsidRPr="00D84F95" w:rsidRDefault="002C0A9A" w:rsidP="001867BB">
            <w:pPr>
              <w:pStyle w:val="ListParagraph"/>
              <w:numPr>
                <w:ilvl w:val="0"/>
                <w:numId w:val="14"/>
              </w:numPr>
              <w:spacing w:line="276" w:lineRule="auto"/>
              <w:jc w:val="both"/>
              <w:rPr>
                <w:rFonts w:ascii="Times New Roman" w:hAnsi="Times New Roman" w:cs="Times New Roman"/>
                <w:b/>
                <w:bCs/>
                <w:sz w:val="24"/>
                <w:szCs w:val="24"/>
              </w:rPr>
            </w:pPr>
            <w:r w:rsidRPr="00D84F95">
              <w:rPr>
                <w:rFonts w:ascii="Times New Roman" w:hAnsi="Times New Roman" w:cs="Times New Roman"/>
                <w:b/>
                <w:bCs/>
                <w:sz w:val="24"/>
                <w:szCs w:val="24"/>
              </w:rPr>
              <w:t>Gearing Ratios</w:t>
            </w:r>
          </w:p>
        </w:tc>
        <w:tc>
          <w:tcPr>
            <w:tcW w:w="1190" w:type="dxa"/>
          </w:tcPr>
          <w:p w14:paraId="7398A7BB" w14:textId="77777777" w:rsidR="002C0A9A" w:rsidRDefault="002C0A9A" w:rsidP="001867BB">
            <w:pPr>
              <w:spacing w:line="276" w:lineRule="auto"/>
              <w:jc w:val="both"/>
              <w:rPr>
                <w:rFonts w:ascii="Times New Roman" w:hAnsi="Times New Roman" w:cs="Times New Roman"/>
                <w:sz w:val="24"/>
                <w:szCs w:val="24"/>
              </w:rPr>
            </w:pPr>
          </w:p>
        </w:tc>
        <w:tc>
          <w:tcPr>
            <w:tcW w:w="2712" w:type="dxa"/>
          </w:tcPr>
          <w:p w14:paraId="4267A2C0" w14:textId="77777777" w:rsidR="002C0A9A" w:rsidRDefault="002C0A9A" w:rsidP="001867BB">
            <w:pPr>
              <w:spacing w:line="276" w:lineRule="auto"/>
              <w:jc w:val="both"/>
              <w:rPr>
                <w:rFonts w:ascii="Times New Roman" w:hAnsi="Times New Roman" w:cs="Times New Roman"/>
                <w:sz w:val="24"/>
                <w:szCs w:val="24"/>
              </w:rPr>
            </w:pPr>
          </w:p>
        </w:tc>
        <w:tc>
          <w:tcPr>
            <w:tcW w:w="2664" w:type="dxa"/>
          </w:tcPr>
          <w:p w14:paraId="1CDB764B" w14:textId="77777777" w:rsidR="002C0A9A" w:rsidRDefault="002C0A9A" w:rsidP="001867BB">
            <w:pPr>
              <w:spacing w:line="276" w:lineRule="auto"/>
              <w:jc w:val="both"/>
              <w:rPr>
                <w:rFonts w:ascii="Times New Roman" w:hAnsi="Times New Roman" w:cs="Times New Roman"/>
                <w:sz w:val="24"/>
                <w:szCs w:val="24"/>
              </w:rPr>
            </w:pPr>
          </w:p>
        </w:tc>
        <w:tc>
          <w:tcPr>
            <w:tcW w:w="2853" w:type="dxa"/>
          </w:tcPr>
          <w:p w14:paraId="2A55ED38" w14:textId="77777777" w:rsidR="002C0A9A" w:rsidRDefault="002C0A9A" w:rsidP="001867BB">
            <w:pPr>
              <w:spacing w:line="276" w:lineRule="auto"/>
              <w:jc w:val="both"/>
              <w:rPr>
                <w:rFonts w:ascii="Times New Roman" w:hAnsi="Times New Roman" w:cs="Times New Roman"/>
                <w:sz w:val="24"/>
                <w:szCs w:val="24"/>
              </w:rPr>
            </w:pPr>
          </w:p>
        </w:tc>
      </w:tr>
      <w:tr w:rsidR="008206F7" w14:paraId="23590C75" w14:textId="77777777" w:rsidTr="00A240B6">
        <w:tc>
          <w:tcPr>
            <w:tcW w:w="2191" w:type="dxa"/>
          </w:tcPr>
          <w:p w14:paraId="17CBCAA1" w14:textId="516C14A1" w:rsidR="008206F7" w:rsidRDefault="008206F7" w:rsidP="001867BB">
            <w:pPr>
              <w:spacing w:line="276" w:lineRule="auto"/>
              <w:jc w:val="center"/>
              <w:rPr>
                <w:rFonts w:ascii="Times New Roman" w:hAnsi="Times New Roman" w:cs="Times New Roman"/>
                <w:sz w:val="24"/>
                <w:szCs w:val="24"/>
              </w:rPr>
            </w:pPr>
            <w:r w:rsidRPr="00092790">
              <w:rPr>
                <w:rFonts w:ascii="Times New Roman" w:hAnsi="Times New Roman" w:cs="Times New Roman"/>
                <w:sz w:val="24"/>
                <w:szCs w:val="24"/>
              </w:rPr>
              <w:t>Debt to Equity Ratio</w:t>
            </w:r>
          </w:p>
        </w:tc>
        <w:tc>
          <w:tcPr>
            <w:tcW w:w="1190" w:type="dxa"/>
          </w:tcPr>
          <w:p w14:paraId="00294FBE" w14:textId="73CC8937" w:rsidR="008206F7" w:rsidRDefault="008206F7" w:rsidP="001867BB">
            <w:pPr>
              <w:spacing w:line="276" w:lineRule="auto"/>
              <w:jc w:val="both"/>
              <w:rPr>
                <w:rFonts w:ascii="Times New Roman" w:hAnsi="Times New Roman" w:cs="Times New Roman"/>
                <w:sz w:val="24"/>
                <w:szCs w:val="24"/>
              </w:rPr>
            </w:pPr>
            <w:r w:rsidRPr="005B3C89">
              <w:rPr>
                <w:rFonts w:ascii="Times New Roman" w:hAnsi="Times New Roman" w:cs="Times New Roman"/>
                <w:sz w:val="24"/>
                <w:szCs w:val="24"/>
              </w:rPr>
              <w:t>Total Debt / Total Equity</w:t>
            </w:r>
          </w:p>
        </w:tc>
        <w:tc>
          <w:tcPr>
            <w:tcW w:w="2712" w:type="dxa"/>
          </w:tcPr>
          <w:p w14:paraId="4BE4E9EA" w14:textId="7B751269" w:rsidR="008206F7" w:rsidRDefault="008206F7"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685</m:t>
                    </m:r>
                    <m:r>
                      <w:rPr>
                        <w:rFonts w:ascii="Cambria Math" w:hAnsi="Cambria Math" w:cs="Times New Roman"/>
                        <w:sz w:val="24"/>
                        <w:szCs w:val="24"/>
                      </w:rPr>
                      <m:t>m​</m:t>
                    </m:r>
                  </m:num>
                  <m:den>
                    <m:r>
                      <w:rPr>
                        <w:rFonts w:ascii="Cambria Math" w:hAnsi="Cambria Math" w:cs="Times New Roman"/>
                        <w:sz w:val="24"/>
                        <w:szCs w:val="24"/>
                      </w:rPr>
                      <m:t>£</m:t>
                    </m:r>
                    <m:r>
                      <w:rPr>
                        <w:rFonts w:ascii="Cambria Math" w:hAnsi="Cambria Math" w:cs="Times New Roman"/>
                        <w:sz w:val="24"/>
                        <w:szCs w:val="24"/>
                      </w:rPr>
                      <m:t>978</m:t>
                    </m:r>
                    <m:r>
                      <w:rPr>
                        <w:rFonts w:ascii="Cambria Math" w:hAnsi="Cambria Math" w:cs="Times New Roman"/>
                        <w:sz w:val="24"/>
                        <w:szCs w:val="24"/>
                      </w:rPr>
                      <m:t>m</m:t>
                    </m:r>
                  </m:den>
                </m:f>
                <m:r>
                  <w:rPr>
                    <w:rFonts w:ascii="Cambria Math" w:hAnsi="Cambria Math" w:cs="Times New Roman"/>
                    <w:sz w:val="24"/>
                    <w:szCs w:val="24"/>
                  </w:rPr>
                  <m:t>​=</m:t>
                </m:r>
                <m:r>
                  <w:rPr>
                    <w:rFonts w:ascii="Cambria Math" w:hAnsi="Cambria Math" w:cs="Times New Roman"/>
                    <w:sz w:val="24"/>
                    <w:szCs w:val="24"/>
                  </w:rPr>
                  <m:t>0.70</m:t>
                </m:r>
                <m:r>
                  <w:rPr>
                    <w:rFonts w:ascii="Cambria Math" w:hAnsi="Cambria Math" w:cs="Times New Roman"/>
                    <w:sz w:val="24"/>
                    <w:szCs w:val="24"/>
                  </w:rPr>
                  <m:t>%</m:t>
                </m:r>
              </m:oMath>
            </m:oMathPara>
          </w:p>
        </w:tc>
        <w:tc>
          <w:tcPr>
            <w:tcW w:w="2664" w:type="dxa"/>
          </w:tcPr>
          <w:p w14:paraId="27EE9133" w14:textId="2996C376" w:rsidR="008206F7" w:rsidRDefault="008206F7"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665</m:t>
                    </m:r>
                    <m:r>
                      <w:rPr>
                        <w:rFonts w:ascii="Cambria Math" w:hAnsi="Cambria Math" w:cs="Times New Roman"/>
                        <w:sz w:val="24"/>
                        <w:szCs w:val="24"/>
                      </w:rPr>
                      <m:t>m​</m:t>
                    </m:r>
                  </m:num>
                  <m:den>
                    <m:r>
                      <w:rPr>
                        <w:rFonts w:ascii="Cambria Math" w:hAnsi="Cambria Math" w:cs="Times New Roman"/>
                        <w:sz w:val="24"/>
                        <w:szCs w:val="24"/>
                      </w:rPr>
                      <m:t>£</m:t>
                    </m:r>
                    <m:r>
                      <w:rPr>
                        <w:rFonts w:ascii="Cambria Math" w:hAnsi="Cambria Math" w:cs="Times New Roman"/>
                        <w:sz w:val="24"/>
                        <w:szCs w:val="24"/>
                      </w:rPr>
                      <m:t>872</m:t>
                    </m:r>
                    <m:r>
                      <w:rPr>
                        <w:rFonts w:ascii="Cambria Math" w:hAnsi="Cambria Math" w:cs="Times New Roman"/>
                        <w:sz w:val="24"/>
                        <w:szCs w:val="24"/>
                      </w:rPr>
                      <m:t>m</m:t>
                    </m:r>
                  </m:den>
                </m:f>
                <m:r>
                  <w:rPr>
                    <w:rFonts w:ascii="Cambria Math" w:hAnsi="Cambria Math" w:cs="Times New Roman"/>
                    <w:sz w:val="24"/>
                    <w:szCs w:val="24"/>
                  </w:rPr>
                  <m:t>​=</m:t>
                </m:r>
                <m:r>
                  <w:rPr>
                    <w:rFonts w:ascii="Cambria Math" w:hAnsi="Cambria Math" w:cs="Times New Roman"/>
                    <w:sz w:val="24"/>
                    <w:szCs w:val="24"/>
                  </w:rPr>
                  <m:t>0.76</m:t>
                </m:r>
                <m:r>
                  <w:rPr>
                    <w:rFonts w:ascii="Cambria Math" w:hAnsi="Cambria Math" w:cs="Times New Roman"/>
                    <w:sz w:val="24"/>
                    <w:szCs w:val="24"/>
                  </w:rPr>
                  <m:t>%</m:t>
                </m:r>
              </m:oMath>
            </m:oMathPara>
          </w:p>
        </w:tc>
        <w:tc>
          <w:tcPr>
            <w:tcW w:w="2853" w:type="dxa"/>
          </w:tcPr>
          <w:p w14:paraId="06451591" w14:textId="362F2C51" w:rsidR="008206F7" w:rsidRDefault="008206F7"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591</m:t>
                    </m:r>
                    <m:r>
                      <w:rPr>
                        <w:rFonts w:ascii="Cambria Math" w:hAnsi="Cambria Math" w:cs="Times New Roman"/>
                        <w:sz w:val="24"/>
                        <w:szCs w:val="24"/>
                      </w:rPr>
                      <m:t>m​</m:t>
                    </m:r>
                  </m:num>
                  <m:den>
                    <m:r>
                      <w:rPr>
                        <w:rFonts w:ascii="Cambria Math" w:hAnsi="Cambria Math" w:cs="Times New Roman"/>
                        <w:sz w:val="24"/>
                        <w:szCs w:val="24"/>
                      </w:rPr>
                      <m:t>£</m:t>
                    </m:r>
                    <m:r>
                      <w:rPr>
                        <w:rFonts w:ascii="Cambria Math" w:hAnsi="Cambria Math" w:cs="Times New Roman"/>
                        <w:sz w:val="24"/>
                        <w:szCs w:val="24"/>
                      </w:rPr>
                      <m:t>992</m:t>
                    </m:r>
                    <m:r>
                      <w:rPr>
                        <w:rFonts w:ascii="Cambria Math" w:hAnsi="Cambria Math" w:cs="Times New Roman"/>
                        <w:sz w:val="24"/>
                        <w:szCs w:val="24"/>
                      </w:rPr>
                      <m:t>m</m:t>
                    </m:r>
                  </m:den>
                </m:f>
                <m:r>
                  <w:rPr>
                    <w:rFonts w:ascii="Cambria Math" w:hAnsi="Cambria Math" w:cs="Times New Roman"/>
                    <w:sz w:val="24"/>
                    <w:szCs w:val="24"/>
                  </w:rPr>
                  <m:t>​=</m:t>
                </m:r>
                <m:r>
                  <w:rPr>
                    <w:rFonts w:ascii="Cambria Math" w:hAnsi="Cambria Math" w:cs="Times New Roman"/>
                    <w:sz w:val="24"/>
                    <w:szCs w:val="24"/>
                  </w:rPr>
                  <m:t>0.60</m:t>
                </m:r>
                <m:r>
                  <w:rPr>
                    <w:rFonts w:ascii="Cambria Math" w:hAnsi="Cambria Math" w:cs="Times New Roman"/>
                    <w:sz w:val="24"/>
                    <w:szCs w:val="24"/>
                  </w:rPr>
                  <m:t>%</m:t>
                </m:r>
              </m:oMath>
            </m:oMathPara>
          </w:p>
        </w:tc>
      </w:tr>
      <w:tr w:rsidR="008206F7" w14:paraId="20300D5E" w14:textId="77777777" w:rsidTr="00A240B6">
        <w:tc>
          <w:tcPr>
            <w:tcW w:w="2191" w:type="dxa"/>
          </w:tcPr>
          <w:p w14:paraId="2A3FA17F" w14:textId="733B2745" w:rsidR="008206F7" w:rsidRPr="00D84F95" w:rsidRDefault="008206F7" w:rsidP="001867BB">
            <w:pPr>
              <w:pStyle w:val="ListParagraph"/>
              <w:numPr>
                <w:ilvl w:val="0"/>
                <w:numId w:val="14"/>
              </w:numPr>
              <w:spacing w:line="276" w:lineRule="auto"/>
              <w:jc w:val="both"/>
              <w:rPr>
                <w:rFonts w:ascii="Times New Roman" w:hAnsi="Times New Roman" w:cs="Times New Roman"/>
                <w:b/>
                <w:bCs/>
                <w:sz w:val="24"/>
                <w:szCs w:val="24"/>
              </w:rPr>
            </w:pPr>
            <w:r w:rsidRPr="00D84F95">
              <w:rPr>
                <w:rFonts w:ascii="Times New Roman" w:hAnsi="Times New Roman" w:cs="Times New Roman"/>
                <w:b/>
                <w:bCs/>
                <w:sz w:val="24"/>
                <w:szCs w:val="24"/>
              </w:rPr>
              <w:t>Investment Ratios</w:t>
            </w:r>
          </w:p>
        </w:tc>
        <w:tc>
          <w:tcPr>
            <w:tcW w:w="1190" w:type="dxa"/>
          </w:tcPr>
          <w:p w14:paraId="6623596E" w14:textId="77777777" w:rsidR="008206F7" w:rsidRDefault="008206F7" w:rsidP="001867BB">
            <w:pPr>
              <w:spacing w:line="276" w:lineRule="auto"/>
              <w:jc w:val="both"/>
              <w:rPr>
                <w:rFonts w:ascii="Times New Roman" w:hAnsi="Times New Roman" w:cs="Times New Roman"/>
                <w:sz w:val="24"/>
                <w:szCs w:val="24"/>
              </w:rPr>
            </w:pPr>
          </w:p>
        </w:tc>
        <w:tc>
          <w:tcPr>
            <w:tcW w:w="2712" w:type="dxa"/>
          </w:tcPr>
          <w:p w14:paraId="752AB80F" w14:textId="77777777" w:rsidR="008206F7" w:rsidRDefault="008206F7" w:rsidP="001867BB">
            <w:pPr>
              <w:spacing w:line="276" w:lineRule="auto"/>
              <w:jc w:val="both"/>
              <w:rPr>
                <w:rFonts w:ascii="Times New Roman" w:hAnsi="Times New Roman" w:cs="Times New Roman"/>
                <w:sz w:val="24"/>
                <w:szCs w:val="24"/>
              </w:rPr>
            </w:pPr>
          </w:p>
        </w:tc>
        <w:tc>
          <w:tcPr>
            <w:tcW w:w="2664" w:type="dxa"/>
          </w:tcPr>
          <w:p w14:paraId="02E41542" w14:textId="77777777" w:rsidR="008206F7" w:rsidRDefault="008206F7" w:rsidP="001867BB">
            <w:pPr>
              <w:spacing w:line="276" w:lineRule="auto"/>
              <w:jc w:val="both"/>
              <w:rPr>
                <w:rFonts w:ascii="Times New Roman" w:hAnsi="Times New Roman" w:cs="Times New Roman"/>
                <w:sz w:val="24"/>
                <w:szCs w:val="24"/>
              </w:rPr>
            </w:pPr>
          </w:p>
        </w:tc>
        <w:tc>
          <w:tcPr>
            <w:tcW w:w="2853" w:type="dxa"/>
          </w:tcPr>
          <w:p w14:paraId="0310378F" w14:textId="77777777" w:rsidR="008206F7" w:rsidRDefault="008206F7" w:rsidP="001867BB">
            <w:pPr>
              <w:spacing w:line="276" w:lineRule="auto"/>
              <w:jc w:val="both"/>
              <w:rPr>
                <w:rFonts w:ascii="Times New Roman" w:hAnsi="Times New Roman" w:cs="Times New Roman"/>
                <w:sz w:val="24"/>
                <w:szCs w:val="24"/>
              </w:rPr>
            </w:pPr>
          </w:p>
        </w:tc>
      </w:tr>
      <w:tr w:rsidR="008206F7" w14:paraId="635BA0EF" w14:textId="77777777" w:rsidTr="00A240B6">
        <w:tc>
          <w:tcPr>
            <w:tcW w:w="2191" w:type="dxa"/>
          </w:tcPr>
          <w:p w14:paraId="310D87DD" w14:textId="7B8DB170" w:rsidR="008206F7" w:rsidRPr="00092790" w:rsidRDefault="008206F7" w:rsidP="001867BB">
            <w:pPr>
              <w:spacing w:line="276" w:lineRule="auto"/>
              <w:jc w:val="both"/>
              <w:rPr>
                <w:rFonts w:ascii="Times New Roman" w:hAnsi="Times New Roman" w:cs="Times New Roman"/>
                <w:sz w:val="24"/>
                <w:szCs w:val="24"/>
              </w:rPr>
            </w:pPr>
            <w:r w:rsidRPr="007766DA">
              <w:rPr>
                <w:rFonts w:ascii="Times New Roman" w:hAnsi="Times New Roman" w:cs="Times New Roman"/>
                <w:sz w:val="24"/>
                <w:szCs w:val="24"/>
              </w:rPr>
              <w:t>Earnings Per Share (EPS)</w:t>
            </w:r>
          </w:p>
        </w:tc>
        <w:tc>
          <w:tcPr>
            <w:tcW w:w="1190" w:type="dxa"/>
          </w:tcPr>
          <w:p w14:paraId="6F21E8F9" w14:textId="650E67F0" w:rsidR="008206F7" w:rsidRDefault="008206F7" w:rsidP="001867BB">
            <w:pPr>
              <w:spacing w:line="276" w:lineRule="auto"/>
              <w:jc w:val="both"/>
              <w:rPr>
                <w:rFonts w:ascii="Times New Roman" w:hAnsi="Times New Roman" w:cs="Times New Roman"/>
                <w:sz w:val="24"/>
                <w:szCs w:val="24"/>
              </w:rPr>
            </w:pPr>
            <w:r w:rsidRPr="005B3C89">
              <w:rPr>
                <w:rFonts w:ascii="Times New Roman" w:hAnsi="Times New Roman" w:cs="Times New Roman"/>
                <w:sz w:val="24"/>
                <w:szCs w:val="24"/>
              </w:rPr>
              <w:t>Earnings / Number of Shares</w:t>
            </w:r>
          </w:p>
        </w:tc>
        <w:tc>
          <w:tcPr>
            <w:tcW w:w="2712" w:type="dxa"/>
          </w:tcPr>
          <w:p w14:paraId="02F38170" w14:textId="51385926" w:rsidR="008206F7" w:rsidRDefault="007D19A5" w:rsidP="001867BB">
            <w:pPr>
              <w:spacing w:line="276" w:lineRule="auto"/>
              <w:jc w:val="both"/>
              <w:rPr>
                <w:rFonts w:ascii="Times New Roman" w:hAnsi="Times New Roman" w:cs="Times New Roman"/>
                <w:sz w:val="24"/>
                <w:szCs w:val="24"/>
              </w:rPr>
            </w:pPr>
            <w:r w:rsidRPr="007D19A5">
              <w:rPr>
                <w:rFonts w:ascii="Times New Roman" w:hAnsi="Times New Roman" w:cs="Times New Roman"/>
                <w:sz w:val="24"/>
                <w:szCs w:val="24"/>
              </w:rPr>
              <w:t>£0.38 (38 pence)</w:t>
            </w:r>
          </w:p>
        </w:tc>
        <w:tc>
          <w:tcPr>
            <w:tcW w:w="2664" w:type="dxa"/>
          </w:tcPr>
          <w:p w14:paraId="52B9453B" w14:textId="3ADF671F" w:rsidR="008206F7" w:rsidRDefault="007D19A5" w:rsidP="001867BB">
            <w:pPr>
              <w:spacing w:line="276" w:lineRule="auto"/>
              <w:jc w:val="both"/>
              <w:rPr>
                <w:rFonts w:ascii="Times New Roman" w:hAnsi="Times New Roman" w:cs="Times New Roman"/>
                <w:sz w:val="24"/>
                <w:szCs w:val="24"/>
              </w:rPr>
            </w:pPr>
            <w:r w:rsidRPr="007D19A5">
              <w:rPr>
                <w:rFonts w:ascii="Times New Roman" w:hAnsi="Times New Roman" w:cs="Times New Roman"/>
                <w:sz w:val="24"/>
                <w:szCs w:val="24"/>
              </w:rPr>
              <w:t>£0.38 (38 pence)</w:t>
            </w:r>
          </w:p>
        </w:tc>
        <w:tc>
          <w:tcPr>
            <w:tcW w:w="2853" w:type="dxa"/>
          </w:tcPr>
          <w:p w14:paraId="28A1D456" w14:textId="1265ECE3" w:rsidR="008206F7" w:rsidRDefault="007D19A5" w:rsidP="001867BB">
            <w:pPr>
              <w:spacing w:line="276" w:lineRule="auto"/>
              <w:jc w:val="both"/>
              <w:rPr>
                <w:rFonts w:ascii="Times New Roman" w:hAnsi="Times New Roman" w:cs="Times New Roman"/>
                <w:sz w:val="24"/>
                <w:szCs w:val="24"/>
              </w:rPr>
            </w:pPr>
            <w:r w:rsidRPr="007D19A5">
              <w:rPr>
                <w:rFonts w:ascii="Times New Roman" w:hAnsi="Times New Roman" w:cs="Times New Roman"/>
                <w:sz w:val="24"/>
                <w:szCs w:val="24"/>
              </w:rPr>
              <w:t>£0.35 (35 pence)</w:t>
            </w:r>
          </w:p>
        </w:tc>
      </w:tr>
      <w:tr w:rsidR="00531046" w14:paraId="57A71F51" w14:textId="77777777" w:rsidTr="00A240B6">
        <w:tc>
          <w:tcPr>
            <w:tcW w:w="2191" w:type="dxa"/>
          </w:tcPr>
          <w:p w14:paraId="519BDE82" w14:textId="6D5291B5" w:rsidR="00531046" w:rsidRPr="00092790" w:rsidRDefault="00531046" w:rsidP="001867BB">
            <w:pPr>
              <w:spacing w:line="276" w:lineRule="auto"/>
              <w:jc w:val="both"/>
              <w:rPr>
                <w:rFonts w:ascii="Times New Roman" w:hAnsi="Times New Roman" w:cs="Times New Roman"/>
                <w:sz w:val="24"/>
                <w:szCs w:val="24"/>
              </w:rPr>
            </w:pPr>
            <w:r w:rsidRPr="007766DA">
              <w:rPr>
                <w:rFonts w:ascii="Times New Roman" w:hAnsi="Times New Roman" w:cs="Times New Roman"/>
                <w:sz w:val="24"/>
                <w:szCs w:val="24"/>
              </w:rPr>
              <w:lastRenderedPageBreak/>
              <w:t>Price/Earnings (P/E) Ratio</w:t>
            </w:r>
          </w:p>
        </w:tc>
        <w:tc>
          <w:tcPr>
            <w:tcW w:w="1190" w:type="dxa"/>
          </w:tcPr>
          <w:p w14:paraId="63B4093A" w14:textId="3AF1FABA" w:rsidR="00531046" w:rsidRDefault="00531046" w:rsidP="001867BB">
            <w:pPr>
              <w:spacing w:line="276" w:lineRule="auto"/>
              <w:jc w:val="both"/>
              <w:rPr>
                <w:rFonts w:ascii="Times New Roman" w:hAnsi="Times New Roman" w:cs="Times New Roman"/>
                <w:sz w:val="24"/>
                <w:szCs w:val="24"/>
              </w:rPr>
            </w:pPr>
            <w:r w:rsidRPr="005B3C89">
              <w:rPr>
                <w:rFonts w:ascii="Times New Roman" w:hAnsi="Times New Roman" w:cs="Times New Roman"/>
                <w:sz w:val="24"/>
                <w:szCs w:val="24"/>
              </w:rPr>
              <w:t>Market Value per Share / EPS</w:t>
            </w:r>
          </w:p>
        </w:tc>
        <w:tc>
          <w:tcPr>
            <w:tcW w:w="2712" w:type="dxa"/>
          </w:tcPr>
          <w:p w14:paraId="0CD2D469" w14:textId="6E008369" w:rsidR="00531046" w:rsidRDefault="00531046"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800 GBX</m:t>
                    </m:r>
                    <m:r>
                      <w:rPr>
                        <w:rFonts w:ascii="Cambria Math" w:hAnsi="Cambria Math" w:cs="Times New Roman"/>
                        <w:sz w:val="24"/>
                        <w:szCs w:val="24"/>
                      </w:rPr>
                      <m:t>​</m:t>
                    </m:r>
                  </m:num>
                  <m:den>
                    <m:r>
                      <w:rPr>
                        <w:rFonts w:ascii="Cambria Math" w:hAnsi="Cambria Math" w:cs="Times New Roman"/>
                        <w:sz w:val="24"/>
                        <w:szCs w:val="24"/>
                      </w:rPr>
                      <m:t>£</m:t>
                    </m:r>
                    <m:r>
                      <w:rPr>
                        <w:rFonts w:ascii="Cambria Math" w:hAnsi="Cambria Math" w:cs="Times New Roman"/>
                        <w:sz w:val="24"/>
                        <w:szCs w:val="24"/>
                      </w:rPr>
                      <m:t>0.38GBP</m:t>
                    </m:r>
                  </m:den>
                </m:f>
                <m:r>
                  <w:rPr>
                    <w:rFonts w:ascii="Cambria Math" w:hAnsi="Cambria Math" w:cs="Times New Roman"/>
                    <w:sz w:val="24"/>
                    <w:szCs w:val="24"/>
                  </w:rPr>
                  <m:t>​=</m:t>
                </m:r>
                <m:r>
                  <w:rPr>
                    <w:rFonts w:ascii="Cambria Math" w:hAnsi="Cambria Math" w:cs="Times New Roman"/>
                    <w:sz w:val="24"/>
                    <w:szCs w:val="24"/>
                  </w:rPr>
                  <m:t>21.05</m:t>
                </m:r>
              </m:oMath>
            </m:oMathPara>
          </w:p>
        </w:tc>
        <w:tc>
          <w:tcPr>
            <w:tcW w:w="2664" w:type="dxa"/>
          </w:tcPr>
          <w:p w14:paraId="0F2B678F" w14:textId="5DDB9E13" w:rsidR="00531046" w:rsidRDefault="00531046"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£8</m:t>
                    </m:r>
                    <m:r>
                      <w:rPr>
                        <w:rFonts w:ascii="Cambria Math" w:hAnsi="Cambria Math" w:cs="Times New Roman"/>
                        <w:sz w:val="24"/>
                        <w:szCs w:val="24"/>
                      </w:rPr>
                      <m:t xml:space="preserve">50 </m:t>
                    </m:r>
                    <m:r>
                      <w:rPr>
                        <w:rFonts w:ascii="Cambria Math" w:hAnsi="Cambria Math" w:cs="Times New Roman"/>
                        <w:sz w:val="24"/>
                        <w:szCs w:val="24"/>
                      </w:rPr>
                      <m:t>GBX​</m:t>
                    </m:r>
                  </m:num>
                  <m:den>
                    <m:r>
                      <w:rPr>
                        <w:rFonts w:ascii="Cambria Math" w:hAnsi="Cambria Math" w:cs="Times New Roman"/>
                        <w:sz w:val="24"/>
                        <w:szCs w:val="24"/>
                      </w:rPr>
                      <m:t>£0.38GBP</m:t>
                    </m:r>
                  </m:den>
                </m:f>
                <m:r>
                  <w:rPr>
                    <w:rFonts w:ascii="Cambria Math" w:hAnsi="Cambria Math" w:cs="Times New Roman"/>
                    <w:sz w:val="24"/>
                    <w:szCs w:val="24"/>
                  </w:rPr>
                  <m:t>​=2</m:t>
                </m:r>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37</m:t>
                </m:r>
              </m:oMath>
            </m:oMathPara>
          </w:p>
        </w:tc>
        <w:tc>
          <w:tcPr>
            <w:tcW w:w="2853" w:type="dxa"/>
          </w:tcPr>
          <w:p w14:paraId="0F30A142" w14:textId="285E337E" w:rsidR="00531046" w:rsidRDefault="00531046" w:rsidP="001867BB">
            <w:pPr>
              <w:spacing w:line="276"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750</m:t>
                    </m:r>
                    <m:r>
                      <w:rPr>
                        <w:rFonts w:ascii="Cambria Math" w:hAnsi="Cambria Math" w:cs="Times New Roman"/>
                        <w:sz w:val="24"/>
                        <w:szCs w:val="24"/>
                      </w:rPr>
                      <m:t xml:space="preserve"> GBX​</m:t>
                    </m:r>
                  </m:num>
                  <m:den>
                    <m:r>
                      <w:rPr>
                        <w:rFonts w:ascii="Cambria Math" w:hAnsi="Cambria Math" w:cs="Times New Roman"/>
                        <w:sz w:val="24"/>
                        <w:szCs w:val="24"/>
                      </w:rPr>
                      <m:t>£0.3</m:t>
                    </m:r>
                    <m:r>
                      <w:rPr>
                        <w:rFonts w:ascii="Cambria Math" w:hAnsi="Cambria Math" w:cs="Times New Roman"/>
                        <w:sz w:val="24"/>
                        <w:szCs w:val="24"/>
                      </w:rPr>
                      <m:t>5</m:t>
                    </m:r>
                    <m:r>
                      <w:rPr>
                        <w:rFonts w:ascii="Cambria Math" w:hAnsi="Cambria Math" w:cs="Times New Roman"/>
                        <w:sz w:val="24"/>
                        <w:szCs w:val="24"/>
                      </w:rPr>
                      <m:t>GBP</m:t>
                    </m:r>
                  </m:den>
                </m:f>
                <m:r>
                  <w:rPr>
                    <w:rFonts w:ascii="Cambria Math" w:hAnsi="Cambria Math" w:cs="Times New Roman"/>
                    <w:sz w:val="24"/>
                    <w:szCs w:val="24"/>
                  </w:rPr>
                  <m:t>​=21.</m:t>
                </m:r>
                <m:r>
                  <w:rPr>
                    <w:rFonts w:ascii="Cambria Math" w:hAnsi="Cambria Math" w:cs="Times New Roman"/>
                    <w:sz w:val="24"/>
                    <w:szCs w:val="24"/>
                  </w:rPr>
                  <m:t>43</m:t>
                </m:r>
              </m:oMath>
            </m:oMathPara>
          </w:p>
        </w:tc>
      </w:tr>
    </w:tbl>
    <w:p w14:paraId="24EC7134" w14:textId="77777777" w:rsidR="003B4216" w:rsidRDefault="003B4216" w:rsidP="001867BB">
      <w:pPr>
        <w:spacing w:line="276" w:lineRule="auto"/>
        <w:jc w:val="both"/>
        <w:rPr>
          <w:rFonts w:ascii="Times New Roman" w:hAnsi="Times New Roman" w:cs="Times New Roman"/>
          <w:sz w:val="24"/>
          <w:szCs w:val="24"/>
        </w:rPr>
      </w:pPr>
    </w:p>
    <w:p w14:paraId="22696451" w14:textId="597FAE76" w:rsidR="00473245" w:rsidRPr="00272555" w:rsidRDefault="00473245" w:rsidP="001867BB">
      <w:pPr>
        <w:spacing w:line="276" w:lineRule="auto"/>
        <w:jc w:val="both"/>
        <w:rPr>
          <w:rFonts w:ascii="Times New Roman" w:hAnsi="Times New Roman" w:cs="Times New Roman"/>
          <w:sz w:val="24"/>
          <w:szCs w:val="24"/>
        </w:rPr>
      </w:pPr>
      <w:r w:rsidRPr="00473245">
        <w:rPr>
          <w:rFonts w:ascii="Times New Roman" w:hAnsi="Times New Roman" w:cs="Times New Roman"/>
          <w:sz w:val="24"/>
          <w:szCs w:val="24"/>
        </w:rPr>
        <w:t>The values expressed by these ratios suggest that Howdens Joinery has established sustainable past three years’ profitability, effective asset management, and adequate cash and cash equivalent position. These ratios suggest that over the past three years, Howdens Joinery has maintained good profitability, effective utili</w:t>
      </w:r>
      <w:r>
        <w:rPr>
          <w:rFonts w:ascii="Times New Roman" w:hAnsi="Times New Roman" w:cs="Times New Roman"/>
          <w:sz w:val="24"/>
          <w:szCs w:val="24"/>
        </w:rPr>
        <w:t>z</w:t>
      </w:r>
      <w:r w:rsidRPr="00473245">
        <w:rPr>
          <w:rFonts w:ascii="Times New Roman" w:hAnsi="Times New Roman" w:cs="Times New Roman"/>
          <w:sz w:val="24"/>
          <w:szCs w:val="24"/>
        </w:rPr>
        <w:t>ation of assets and good liquidity. However, the figures show that through undertaking of the aforesaid analysis, that the debt to equity has risen supporting a further area for improvement on financial leverage while the inventory turnover ratio has declined supporting the need to improve on inventory management.</w:t>
      </w:r>
      <w:sdt>
        <w:sdtPr>
          <w:rPr>
            <w:rFonts w:ascii="Times New Roman" w:hAnsi="Times New Roman" w:cs="Times New Roman"/>
            <w:sz w:val="24"/>
            <w:szCs w:val="24"/>
          </w:rPr>
          <w:id w:val="1123040320"/>
          <w:citation/>
        </w:sdtPr>
        <w:sdtContent>
          <w:r w:rsidR="007933DE">
            <w:rPr>
              <w:rFonts w:ascii="Times New Roman" w:hAnsi="Times New Roman" w:cs="Times New Roman"/>
              <w:sz w:val="24"/>
              <w:szCs w:val="24"/>
            </w:rPr>
            <w:fldChar w:fldCharType="begin"/>
          </w:r>
          <w:r w:rsidR="007933DE">
            <w:rPr>
              <w:rFonts w:ascii="Times New Roman" w:hAnsi="Times New Roman" w:cs="Times New Roman"/>
              <w:sz w:val="24"/>
              <w:szCs w:val="24"/>
            </w:rPr>
            <w:instrText xml:space="preserve"> CITATION How241 \l 1033 </w:instrText>
          </w:r>
          <w:r w:rsidR="007933DE">
            <w:rPr>
              <w:rFonts w:ascii="Times New Roman" w:hAnsi="Times New Roman" w:cs="Times New Roman"/>
              <w:sz w:val="24"/>
              <w:szCs w:val="24"/>
            </w:rPr>
            <w:fldChar w:fldCharType="separate"/>
          </w:r>
          <w:r w:rsidR="00E63F6D">
            <w:rPr>
              <w:rFonts w:ascii="Times New Roman" w:hAnsi="Times New Roman" w:cs="Times New Roman"/>
              <w:noProof/>
              <w:sz w:val="24"/>
              <w:szCs w:val="24"/>
            </w:rPr>
            <w:t xml:space="preserve"> </w:t>
          </w:r>
          <w:r w:rsidR="00E63F6D" w:rsidRPr="00E63F6D">
            <w:rPr>
              <w:rFonts w:ascii="Times New Roman" w:hAnsi="Times New Roman" w:cs="Times New Roman"/>
              <w:noProof/>
              <w:sz w:val="24"/>
              <w:szCs w:val="24"/>
            </w:rPr>
            <w:t>(Ltd, 2024)</w:t>
          </w:r>
          <w:r w:rsidR="007933DE">
            <w:rPr>
              <w:rFonts w:ascii="Times New Roman" w:hAnsi="Times New Roman" w:cs="Times New Roman"/>
              <w:sz w:val="24"/>
              <w:szCs w:val="24"/>
            </w:rPr>
            <w:fldChar w:fldCharType="end"/>
          </w:r>
        </w:sdtContent>
      </w:sdt>
      <w:sdt>
        <w:sdtPr>
          <w:rPr>
            <w:rFonts w:ascii="Times New Roman" w:hAnsi="Times New Roman" w:cs="Times New Roman"/>
            <w:sz w:val="24"/>
            <w:szCs w:val="24"/>
          </w:rPr>
          <w:id w:val="766738349"/>
          <w:citation/>
        </w:sdtPr>
        <w:sdtContent>
          <w:r w:rsidR="007933DE">
            <w:rPr>
              <w:rFonts w:ascii="Times New Roman" w:hAnsi="Times New Roman" w:cs="Times New Roman"/>
              <w:sz w:val="24"/>
              <w:szCs w:val="24"/>
            </w:rPr>
            <w:fldChar w:fldCharType="begin"/>
          </w:r>
          <w:r w:rsidR="007933DE">
            <w:rPr>
              <w:rFonts w:ascii="Times New Roman" w:hAnsi="Times New Roman" w:cs="Times New Roman"/>
              <w:sz w:val="24"/>
              <w:szCs w:val="24"/>
            </w:rPr>
            <w:instrText xml:space="preserve"> CITATION ANi24 \l 1033 </w:instrText>
          </w:r>
          <w:r w:rsidR="007933DE">
            <w:rPr>
              <w:rFonts w:ascii="Times New Roman" w:hAnsi="Times New Roman" w:cs="Times New Roman"/>
              <w:sz w:val="24"/>
              <w:szCs w:val="24"/>
            </w:rPr>
            <w:fldChar w:fldCharType="separate"/>
          </w:r>
          <w:r w:rsidR="00E63F6D">
            <w:rPr>
              <w:rFonts w:ascii="Times New Roman" w:hAnsi="Times New Roman" w:cs="Times New Roman"/>
              <w:noProof/>
              <w:sz w:val="24"/>
              <w:szCs w:val="24"/>
            </w:rPr>
            <w:t xml:space="preserve"> </w:t>
          </w:r>
          <w:r w:rsidR="00E63F6D" w:rsidRPr="00E63F6D">
            <w:rPr>
              <w:rFonts w:ascii="Times New Roman" w:hAnsi="Times New Roman" w:cs="Times New Roman"/>
              <w:noProof/>
              <w:sz w:val="24"/>
              <w:szCs w:val="24"/>
            </w:rPr>
            <w:t>(A Nikkei Company, 2024)</w:t>
          </w:r>
          <w:r w:rsidR="007933DE">
            <w:rPr>
              <w:rFonts w:ascii="Times New Roman" w:hAnsi="Times New Roman" w:cs="Times New Roman"/>
              <w:sz w:val="24"/>
              <w:szCs w:val="24"/>
            </w:rPr>
            <w:fldChar w:fldCharType="end"/>
          </w:r>
        </w:sdtContent>
      </w:sdt>
      <w:sdt>
        <w:sdtPr>
          <w:rPr>
            <w:rFonts w:ascii="Times New Roman" w:hAnsi="Times New Roman" w:cs="Times New Roman"/>
            <w:sz w:val="24"/>
            <w:szCs w:val="24"/>
          </w:rPr>
          <w:id w:val="688029464"/>
          <w:citation/>
        </w:sdtPr>
        <w:sdtContent>
          <w:r w:rsidR="00234FB9">
            <w:rPr>
              <w:rFonts w:ascii="Times New Roman" w:hAnsi="Times New Roman" w:cs="Times New Roman"/>
              <w:sz w:val="24"/>
              <w:szCs w:val="24"/>
            </w:rPr>
            <w:fldChar w:fldCharType="begin"/>
          </w:r>
          <w:r w:rsidR="00234FB9">
            <w:rPr>
              <w:rFonts w:ascii="Times New Roman" w:hAnsi="Times New Roman" w:cs="Times New Roman"/>
              <w:sz w:val="24"/>
              <w:szCs w:val="24"/>
            </w:rPr>
            <w:instrText xml:space="preserve"> CITATION how24 \l 1033 </w:instrText>
          </w:r>
          <w:r w:rsidR="00234FB9">
            <w:rPr>
              <w:rFonts w:ascii="Times New Roman" w:hAnsi="Times New Roman" w:cs="Times New Roman"/>
              <w:sz w:val="24"/>
              <w:szCs w:val="24"/>
            </w:rPr>
            <w:fldChar w:fldCharType="separate"/>
          </w:r>
          <w:r w:rsidR="00E63F6D">
            <w:rPr>
              <w:rFonts w:ascii="Times New Roman" w:hAnsi="Times New Roman" w:cs="Times New Roman"/>
              <w:noProof/>
              <w:sz w:val="24"/>
              <w:szCs w:val="24"/>
            </w:rPr>
            <w:t xml:space="preserve"> </w:t>
          </w:r>
          <w:r w:rsidR="00E63F6D" w:rsidRPr="00E63F6D">
            <w:rPr>
              <w:rFonts w:ascii="Times New Roman" w:hAnsi="Times New Roman" w:cs="Times New Roman"/>
              <w:noProof/>
              <w:sz w:val="24"/>
              <w:szCs w:val="24"/>
            </w:rPr>
            <w:t>(howdens, 2024)</w:t>
          </w:r>
          <w:r w:rsidR="00234FB9">
            <w:rPr>
              <w:rFonts w:ascii="Times New Roman" w:hAnsi="Times New Roman" w:cs="Times New Roman"/>
              <w:sz w:val="24"/>
              <w:szCs w:val="24"/>
            </w:rPr>
            <w:fldChar w:fldCharType="end"/>
          </w:r>
        </w:sdtContent>
      </w:sdt>
    </w:p>
    <w:p w14:paraId="5AB0EB88" w14:textId="77777777" w:rsidR="003B4216" w:rsidRPr="003B4216" w:rsidRDefault="003B4216" w:rsidP="001867BB">
      <w:pPr>
        <w:spacing w:line="276" w:lineRule="auto"/>
        <w:jc w:val="both"/>
        <w:rPr>
          <w:rFonts w:ascii="Times New Roman" w:hAnsi="Times New Roman" w:cs="Times New Roman"/>
          <w:b/>
          <w:bCs/>
          <w:sz w:val="28"/>
          <w:szCs w:val="28"/>
        </w:rPr>
      </w:pPr>
    </w:p>
    <w:p w14:paraId="651885FB" w14:textId="2923E08B" w:rsidR="00111182" w:rsidRPr="00F10275" w:rsidRDefault="00111182" w:rsidP="00F10275">
      <w:pPr>
        <w:pStyle w:val="ListParagraph"/>
        <w:numPr>
          <w:ilvl w:val="0"/>
          <w:numId w:val="17"/>
        </w:numPr>
        <w:spacing w:line="276" w:lineRule="auto"/>
        <w:jc w:val="both"/>
        <w:rPr>
          <w:rFonts w:ascii="Times New Roman" w:hAnsi="Times New Roman" w:cs="Times New Roman"/>
          <w:b/>
          <w:bCs/>
          <w:sz w:val="28"/>
          <w:szCs w:val="28"/>
        </w:rPr>
      </w:pPr>
      <w:r w:rsidRPr="00F10275">
        <w:rPr>
          <w:rFonts w:ascii="Times New Roman" w:hAnsi="Times New Roman" w:cs="Times New Roman"/>
          <w:b/>
          <w:bCs/>
          <w:sz w:val="28"/>
          <w:szCs w:val="28"/>
        </w:rPr>
        <w:t>Discuss six limitations of ratio analysis.</w:t>
      </w:r>
    </w:p>
    <w:p w14:paraId="78D8E504" w14:textId="77777777" w:rsidR="00111182" w:rsidRPr="00FC1CAC" w:rsidRDefault="00111182" w:rsidP="001867BB">
      <w:pPr>
        <w:spacing w:line="276" w:lineRule="auto"/>
        <w:jc w:val="both"/>
        <w:rPr>
          <w:rFonts w:ascii="Times New Roman" w:hAnsi="Times New Roman" w:cs="Times New Roman"/>
          <w:b/>
          <w:bCs/>
          <w:sz w:val="24"/>
          <w:szCs w:val="24"/>
        </w:rPr>
      </w:pPr>
      <w:r w:rsidRPr="00FC1CAC">
        <w:rPr>
          <w:rFonts w:ascii="Times New Roman" w:hAnsi="Times New Roman" w:cs="Times New Roman"/>
          <w:b/>
          <w:bCs/>
          <w:sz w:val="24"/>
          <w:szCs w:val="24"/>
        </w:rPr>
        <w:t>Limitations of Ratio Analysis</w:t>
      </w:r>
    </w:p>
    <w:p w14:paraId="33D6CDCE" w14:textId="77777777" w:rsidR="00111182" w:rsidRPr="00FC1CAC" w:rsidRDefault="00111182" w:rsidP="001867BB">
      <w:pPr>
        <w:pStyle w:val="ListParagraph"/>
        <w:numPr>
          <w:ilvl w:val="0"/>
          <w:numId w:val="3"/>
        </w:numPr>
        <w:spacing w:before="240" w:line="276" w:lineRule="auto"/>
        <w:jc w:val="both"/>
        <w:rPr>
          <w:rFonts w:ascii="Times New Roman" w:hAnsi="Times New Roman" w:cs="Times New Roman"/>
          <w:sz w:val="24"/>
          <w:szCs w:val="24"/>
        </w:rPr>
      </w:pPr>
      <w:r w:rsidRPr="00FC1CAC">
        <w:rPr>
          <w:rFonts w:ascii="Times New Roman" w:hAnsi="Times New Roman" w:cs="Times New Roman"/>
          <w:b/>
          <w:bCs/>
          <w:sz w:val="24"/>
          <w:szCs w:val="24"/>
        </w:rPr>
        <w:t>Historical Data Limitations:</w:t>
      </w:r>
    </w:p>
    <w:p w14:paraId="62A8CF7C" w14:textId="38A20851" w:rsidR="007626A0" w:rsidRPr="00FC1CAC" w:rsidRDefault="00111182" w:rsidP="001867BB">
      <w:pPr>
        <w:spacing w:line="276" w:lineRule="auto"/>
        <w:ind w:left="360"/>
        <w:jc w:val="both"/>
        <w:rPr>
          <w:rFonts w:ascii="Times New Roman" w:hAnsi="Times New Roman" w:cs="Times New Roman"/>
          <w:sz w:val="24"/>
          <w:szCs w:val="24"/>
        </w:rPr>
      </w:pPr>
      <w:r w:rsidRPr="00FC1CAC">
        <w:rPr>
          <w:rFonts w:ascii="Times New Roman" w:hAnsi="Times New Roman" w:cs="Times New Roman"/>
          <w:sz w:val="24"/>
          <w:szCs w:val="24"/>
        </w:rPr>
        <w:t>Financial ratios are based on past data whereas such ratios major drawback is that the past data does not necessarily always give an accurate picture of the future. For example, Profitability ratios and figure such as Net Profit Margin or Return on Equity (ROE) capture the organization past earning and cost structure but fail to capture the future changes such as new market entrants or economic shocks that may affect Howdens Joinery PLC profitability</w:t>
      </w:r>
      <w:sdt>
        <w:sdtPr>
          <w:rPr>
            <w:rFonts w:ascii="Times New Roman" w:hAnsi="Times New Roman" w:cs="Times New Roman"/>
            <w:sz w:val="24"/>
            <w:szCs w:val="24"/>
          </w:rPr>
          <w:id w:val="-153601100"/>
          <w:citation/>
        </w:sdtPr>
        <w:sdtEndPr/>
        <w:sdtContent>
          <w:r w:rsidR="00E4761A" w:rsidRPr="00FC1CAC">
            <w:rPr>
              <w:rFonts w:ascii="Times New Roman" w:hAnsi="Times New Roman" w:cs="Times New Roman"/>
              <w:sz w:val="24"/>
              <w:szCs w:val="24"/>
            </w:rPr>
            <w:fldChar w:fldCharType="begin"/>
          </w:r>
          <w:r w:rsidR="00E4761A" w:rsidRPr="00FC1CAC">
            <w:rPr>
              <w:rFonts w:ascii="Times New Roman" w:hAnsi="Times New Roman" w:cs="Times New Roman"/>
              <w:sz w:val="24"/>
              <w:szCs w:val="24"/>
            </w:rPr>
            <w:instrText xml:space="preserve"> CITATION CFI241 \l 1033 </w:instrText>
          </w:r>
          <w:r w:rsidR="00E4761A" w:rsidRPr="00FC1CAC">
            <w:rPr>
              <w:rFonts w:ascii="Times New Roman" w:hAnsi="Times New Roman" w:cs="Times New Roman"/>
              <w:sz w:val="24"/>
              <w:szCs w:val="24"/>
            </w:rPr>
            <w:fldChar w:fldCharType="separate"/>
          </w:r>
          <w:r w:rsidR="00E63F6D">
            <w:rPr>
              <w:rFonts w:ascii="Times New Roman" w:hAnsi="Times New Roman" w:cs="Times New Roman"/>
              <w:noProof/>
              <w:sz w:val="24"/>
              <w:szCs w:val="24"/>
            </w:rPr>
            <w:t xml:space="preserve"> </w:t>
          </w:r>
          <w:r w:rsidR="00E63F6D" w:rsidRPr="00E63F6D">
            <w:rPr>
              <w:rFonts w:ascii="Times New Roman" w:hAnsi="Times New Roman" w:cs="Times New Roman"/>
              <w:noProof/>
              <w:sz w:val="24"/>
              <w:szCs w:val="24"/>
            </w:rPr>
            <w:t>(team, 2024)</w:t>
          </w:r>
          <w:r w:rsidR="00E4761A" w:rsidRPr="00FC1CAC">
            <w:rPr>
              <w:rFonts w:ascii="Times New Roman" w:hAnsi="Times New Roman" w:cs="Times New Roman"/>
              <w:sz w:val="24"/>
              <w:szCs w:val="24"/>
            </w:rPr>
            <w:fldChar w:fldCharType="end"/>
          </w:r>
        </w:sdtContent>
      </w:sdt>
      <w:r w:rsidRPr="00FC1CAC">
        <w:rPr>
          <w:rFonts w:ascii="Times New Roman" w:hAnsi="Times New Roman" w:cs="Times New Roman"/>
          <w:sz w:val="24"/>
          <w:szCs w:val="24"/>
        </w:rPr>
        <w:t>.</w:t>
      </w:r>
    </w:p>
    <w:p w14:paraId="6605C53D" w14:textId="0EC87DF6" w:rsidR="00111182" w:rsidRPr="00FC1CAC" w:rsidRDefault="00111182" w:rsidP="001867BB">
      <w:pPr>
        <w:pStyle w:val="ListParagraph"/>
        <w:numPr>
          <w:ilvl w:val="0"/>
          <w:numId w:val="3"/>
        </w:numPr>
        <w:spacing w:line="276" w:lineRule="auto"/>
        <w:jc w:val="both"/>
        <w:rPr>
          <w:rFonts w:ascii="Times New Roman" w:hAnsi="Times New Roman" w:cs="Times New Roman"/>
          <w:sz w:val="24"/>
          <w:szCs w:val="24"/>
        </w:rPr>
      </w:pPr>
      <w:r w:rsidRPr="00FC1CAC">
        <w:rPr>
          <w:rFonts w:ascii="Times New Roman" w:hAnsi="Times New Roman" w:cs="Times New Roman"/>
          <w:b/>
          <w:bCs/>
          <w:sz w:val="24"/>
          <w:szCs w:val="24"/>
        </w:rPr>
        <w:t>Lack of Standardization in Accounting Practices</w:t>
      </w:r>
      <w:r w:rsidRPr="00FC1CAC">
        <w:rPr>
          <w:rFonts w:ascii="Times New Roman" w:hAnsi="Times New Roman" w:cs="Times New Roman"/>
          <w:sz w:val="24"/>
          <w:szCs w:val="24"/>
        </w:rPr>
        <w:t>:</w:t>
      </w:r>
    </w:p>
    <w:p w14:paraId="109736B9" w14:textId="1F4CA9DA" w:rsidR="00ED0FA3" w:rsidRDefault="00111182" w:rsidP="001867BB">
      <w:pPr>
        <w:pStyle w:val="ListParagraph"/>
        <w:spacing w:after="0" w:line="276" w:lineRule="auto"/>
        <w:ind w:firstLine="720"/>
        <w:jc w:val="both"/>
        <w:rPr>
          <w:rFonts w:ascii="Times New Roman" w:eastAsia="Times New Roman" w:hAnsi="Times New Roman" w:cs="Times New Roman"/>
          <w:sz w:val="24"/>
          <w:szCs w:val="24"/>
        </w:rPr>
      </w:pPr>
      <w:r w:rsidRPr="00FC1CAC">
        <w:rPr>
          <w:rFonts w:ascii="Times New Roman" w:eastAsia="Times New Roman" w:hAnsi="Times New Roman" w:cs="Times New Roman"/>
          <w:sz w:val="24"/>
          <w:szCs w:val="24"/>
        </w:rPr>
        <w:t>Different corporations may use different accounting systems, affecting the comparability of ratios across enterprises. For example, Howdens Joinery may adopt a different method of inventory value or depreciation than its rivals. This might result in variances in profitability statistics such as Gross Margin or Return on Assets, making it difficult to fairly compare Howdens' performance to others in the industry</w:t>
      </w:r>
      <w:sdt>
        <w:sdtPr>
          <w:rPr>
            <w:rFonts w:ascii="Times New Roman" w:eastAsia="Times New Roman" w:hAnsi="Times New Roman" w:cs="Times New Roman"/>
            <w:sz w:val="24"/>
            <w:szCs w:val="24"/>
          </w:rPr>
          <w:id w:val="-1211489739"/>
          <w:citation/>
        </w:sdtPr>
        <w:sdtEndPr/>
        <w:sdtContent>
          <w:r w:rsidR="00A411A7" w:rsidRPr="00FC1CAC">
            <w:rPr>
              <w:rFonts w:ascii="Times New Roman" w:eastAsia="Times New Roman" w:hAnsi="Times New Roman" w:cs="Times New Roman"/>
              <w:sz w:val="24"/>
              <w:szCs w:val="24"/>
            </w:rPr>
            <w:fldChar w:fldCharType="begin"/>
          </w:r>
          <w:r w:rsidR="00A411A7" w:rsidRPr="00FC1CAC">
            <w:rPr>
              <w:rFonts w:ascii="Times New Roman" w:eastAsia="Times New Roman" w:hAnsi="Times New Roman" w:cs="Times New Roman"/>
              <w:sz w:val="24"/>
              <w:szCs w:val="24"/>
            </w:rPr>
            <w:instrText xml:space="preserve"> CITATION top23 \l 1033 </w:instrText>
          </w:r>
          <w:r w:rsidR="00A411A7" w:rsidRPr="00FC1CAC">
            <w:rPr>
              <w:rFonts w:ascii="Times New Roman" w:eastAsia="Times New Roman" w:hAnsi="Times New Roman" w:cs="Times New Roman"/>
              <w:sz w:val="24"/>
              <w:szCs w:val="24"/>
            </w:rPr>
            <w:fldChar w:fldCharType="separate"/>
          </w:r>
          <w:r w:rsidR="00E63F6D">
            <w:rPr>
              <w:rFonts w:ascii="Times New Roman" w:eastAsia="Times New Roman" w:hAnsi="Times New Roman" w:cs="Times New Roman"/>
              <w:noProof/>
              <w:sz w:val="24"/>
              <w:szCs w:val="24"/>
            </w:rPr>
            <w:t xml:space="preserve"> </w:t>
          </w:r>
          <w:r w:rsidR="00E63F6D" w:rsidRPr="00E63F6D">
            <w:rPr>
              <w:rFonts w:ascii="Times New Roman" w:eastAsia="Times New Roman" w:hAnsi="Times New Roman" w:cs="Times New Roman"/>
              <w:noProof/>
              <w:sz w:val="24"/>
              <w:szCs w:val="24"/>
            </w:rPr>
            <w:t>(toppors from bujjus, 2023)</w:t>
          </w:r>
          <w:r w:rsidR="00A411A7" w:rsidRPr="00FC1CAC">
            <w:rPr>
              <w:rFonts w:ascii="Times New Roman" w:eastAsia="Times New Roman" w:hAnsi="Times New Roman" w:cs="Times New Roman"/>
              <w:sz w:val="24"/>
              <w:szCs w:val="24"/>
            </w:rPr>
            <w:fldChar w:fldCharType="end"/>
          </w:r>
        </w:sdtContent>
      </w:sdt>
      <w:r w:rsidRPr="00FC1CAC">
        <w:rPr>
          <w:rFonts w:ascii="Times New Roman" w:eastAsia="Times New Roman" w:hAnsi="Times New Roman" w:cs="Times New Roman"/>
          <w:sz w:val="24"/>
          <w:szCs w:val="24"/>
        </w:rPr>
        <w:t>.</w:t>
      </w:r>
    </w:p>
    <w:p w14:paraId="2B4B9B9F" w14:textId="77777777" w:rsidR="00F915D8" w:rsidRPr="00FC1CAC" w:rsidRDefault="00F915D8" w:rsidP="001867BB">
      <w:pPr>
        <w:pStyle w:val="ListParagraph"/>
        <w:spacing w:after="0" w:line="276" w:lineRule="auto"/>
        <w:ind w:firstLine="720"/>
        <w:jc w:val="both"/>
        <w:rPr>
          <w:rFonts w:ascii="Times New Roman" w:eastAsia="Times New Roman" w:hAnsi="Times New Roman" w:cs="Times New Roman"/>
          <w:sz w:val="24"/>
          <w:szCs w:val="24"/>
        </w:rPr>
      </w:pPr>
    </w:p>
    <w:p w14:paraId="4BD9441F" w14:textId="5EB9A3AB" w:rsidR="00111182" w:rsidRPr="00FC1CAC" w:rsidRDefault="00111182" w:rsidP="001867BB">
      <w:pPr>
        <w:pStyle w:val="ListParagraph"/>
        <w:numPr>
          <w:ilvl w:val="0"/>
          <w:numId w:val="3"/>
        </w:numPr>
        <w:spacing w:line="276" w:lineRule="auto"/>
        <w:jc w:val="both"/>
        <w:rPr>
          <w:rFonts w:ascii="Times New Roman" w:eastAsia="Times New Roman" w:hAnsi="Times New Roman" w:cs="Times New Roman"/>
          <w:sz w:val="24"/>
          <w:szCs w:val="24"/>
        </w:rPr>
      </w:pPr>
      <w:r w:rsidRPr="00FC1CAC">
        <w:rPr>
          <w:rFonts w:ascii="Times New Roman" w:hAnsi="Times New Roman" w:cs="Times New Roman"/>
          <w:b/>
          <w:bCs/>
          <w:sz w:val="24"/>
          <w:szCs w:val="24"/>
        </w:rPr>
        <w:t>Exclusion of Non-Financial Factors</w:t>
      </w:r>
      <w:r w:rsidRPr="00FC1CAC">
        <w:rPr>
          <w:rFonts w:ascii="Times New Roman" w:hAnsi="Times New Roman" w:cs="Times New Roman"/>
          <w:sz w:val="24"/>
          <w:szCs w:val="24"/>
        </w:rPr>
        <w:t>:</w:t>
      </w:r>
    </w:p>
    <w:p w14:paraId="6E3F5D9D" w14:textId="222DA32A" w:rsidR="00111182" w:rsidRPr="00FC1CAC" w:rsidRDefault="00111182" w:rsidP="001867BB">
      <w:pPr>
        <w:pStyle w:val="ListParagraph"/>
        <w:spacing w:line="276" w:lineRule="auto"/>
        <w:ind w:firstLine="720"/>
        <w:jc w:val="both"/>
        <w:rPr>
          <w:rFonts w:ascii="Times New Roman" w:hAnsi="Times New Roman" w:cs="Times New Roman"/>
          <w:sz w:val="24"/>
          <w:szCs w:val="24"/>
        </w:rPr>
      </w:pPr>
      <w:r w:rsidRPr="00FC1CAC">
        <w:rPr>
          <w:rFonts w:ascii="Times New Roman" w:hAnsi="Times New Roman" w:cs="Times New Roman"/>
          <w:sz w:val="24"/>
          <w:szCs w:val="24"/>
        </w:rPr>
        <w:t>The use of ratio analysis more frequently relies on accounting numbers and sometimes omits other important aspects of a business, which are qualitative. It is worth noting that elements such as the company’s brand recognition, the customers’ loyalty, or the quality of the supply chain suppliers of Howdens Joinery are not captured in number ratios. These elements may affect the company’s position in a specific market and its sustainability over time, which ratios reflect insufficiently.</w:t>
      </w:r>
    </w:p>
    <w:p w14:paraId="5A2EC7D8" w14:textId="77777777" w:rsidR="00111182" w:rsidRPr="00FC1CAC" w:rsidRDefault="00111182" w:rsidP="001867BB">
      <w:pPr>
        <w:pStyle w:val="ListParagraph"/>
        <w:spacing w:line="276" w:lineRule="auto"/>
        <w:ind w:firstLine="720"/>
        <w:jc w:val="both"/>
        <w:rPr>
          <w:rFonts w:ascii="Times New Roman" w:hAnsi="Times New Roman" w:cs="Times New Roman"/>
          <w:sz w:val="24"/>
          <w:szCs w:val="24"/>
        </w:rPr>
      </w:pPr>
    </w:p>
    <w:p w14:paraId="1B08E63C" w14:textId="77777777" w:rsidR="00F915D8" w:rsidRDefault="00111182" w:rsidP="001867BB">
      <w:pPr>
        <w:pStyle w:val="ListParagraph"/>
        <w:numPr>
          <w:ilvl w:val="0"/>
          <w:numId w:val="3"/>
        </w:numPr>
        <w:spacing w:line="276" w:lineRule="auto"/>
        <w:jc w:val="both"/>
        <w:rPr>
          <w:rFonts w:ascii="Times New Roman" w:hAnsi="Times New Roman" w:cs="Times New Roman"/>
          <w:sz w:val="24"/>
          <w:szCs w:val="24"/>
        </w:rPr>
      </w:pPr>
      <w:r w:rsidRPr="00FC1CAC">
        <w:rPr>
          <w:rFonts w:ascii="Times New Roman" w:hAnsi="Times New Roman" w:cs="Times New Roman"/>
          <w:b/>
          <w:bCs/>
          <w:sz w:val="24"/>
          <w:szCs w:val="24"/>
        </w:rPr>
        <w:t>Inflation and Economic Variability</w:t>
      </w:r>
      <w:r w:rsidRPr="00FC1CAC">
        <w:rPr>
          <w:rFonts w:ascii="Times New Roman" w:hAnsi="Times New Roman" w:cs="Times New Roman"/>
          <w:sz w:val="24"/>
          <w:szCs w:val="24"/>
        </w:rPr>
        <w:t>:</w:t>
      </w:r>
    </w:p>
    <w:p w14:paraId="0C21C668" w14:textId="2C7F5999" w:rsidR="00111182" w:rsidRDefault="00111182" w:rsidP="001867BB">
      <w:pPr>
        <w:pStyle w:val="ListParagraph"/>
        <w:spacing w:line="276" w:lineRule="auto"/>
        <w:ind w:firstLine="720"/>
        <w:jc w:val="both"/>
        <w:rPr>
          <w:rFonts w:ascii="Times New Roman" w:eastAsia="Times New Roman" w:hAnsi="Times New Roman" w:cs="Times New Roman"/>
          <w:sz w:val="24"/>
          <w:szCs w:val="24"/>
        </w:rPr>
      </w:pPr>
      <w:r w:rsidRPr="00F915D8">
        <w:rPr>
          <w:rFonts w:ascii="Times New Roman" w:eastAsia="Times New Roman" w:hAnsi="Times New Roman" w:cs="Times New Roman"/>
          <w:sz w:val="24"/>
          <w:szCs w:val="24"/>
        </w:rPr>
        <w:t>Ratios are not adjusted for inflation, which can misrepresent the underlying economic worth of assets, revenues, and expenses. For Howdens Joinery, variable inflation rates might have an impact on the comparability of financial measures over time</w:t>
      </w:r>
      <w:sdt>
        <w:sdtPr>
          <w:id w:val="-1040890199"/>
          <w:citation/>
        </w:sdtPr>
        <w:sdtEndPr/>
        <w:sdtContent>
          <w:r w:rsidR="00A411A7" w:rsidRPr="00F915D8">
            <w:rPr>
              <w:rFonts w:ascii="Times New Roman" w:eastAsia="Times New Roman" w:hAnsi="Times New Roman" w:cs="Times New Roman"/>
              <w:sz w:val="24"/>
              <w:szCs w:val="24"/>
            </w:rPr>
            <w:fldChar w:fldCharType="begin"/>
          </w:r>
          <w:r w:rsidR="00A411A7" w:rsidRPr="00F915D8">
            <w:rPr>
              <w:rFonts w:ascii="Times New Roman" w:eastAsia="Times New Roman" w:hAnsi="Times New Roman" w:cs="Times New Roman"/>
              <w:sz w:val="24"/>
              <w:szCs w:val="24"/>
            </w:rPr>
            <w:instrText xml:space="preserve"> CITATION CFI241 \l 1033 </w:instrText>
          </w:r>
          <w:r w:rsidR="00A411A7" w:rsidRPr="00F915D8">
            <w:rPr>
              <w:rFonts w:ascii="Times New Roman" w:eastAsia="Times New Roman" w:hAnsi="Times New Roman" w:cs="Times New Roman"/>
              <w:sz w:val="24"/>
              <w:szCs w:val="24"/>
            </w:rPr>
            <w:fldChar w:fldCharType="separate"/>
          </w:r>
          <w:r w:rsidR="00E63F6D">
            <w:rPr>
              <w:rFonts w:ascii="Times New Roman" w:eastAsia="Times New Roman" w:hAnsi="Times New Roman" w:cs="Times New Roman"/>
              <w:noProof/>
              <w:sz w:val="24"/>
              <w:szCs w:val="24"/>
            </w:rPr>
            <w:t xml:space="preserve"> </w:t>
          </w:r>
          <w:r w:rsidR="00E63F6D" w:rsidRPr="00E63F6D">
            <w:rPr>
              <w:rFonts w:ascii="Times New Roman" w:eastAsia="Times New Roman" w:hAnsi="Times New Roman" w:cs="Times New Roman"/>
              <w:noProof/>
              <w:sz w:val="24"/>
              <w:szCs w:val="24"/>
            </w:rPr>
            <w:t>(team, 2024)</w:t>
          </w:r>
          <w:r w:rsidR="00A411A7" w:rsidRPr="00F915D8">
            <w:rPr>
              <w:rFonts w:ascii="Times New Roman" w:eastAsia="Times New Roman" w:hAnsi="Times New Roman" w:cs="Times New Roman"/>
              <w:sz w:val="24"/>
              <w:szCs w:val="24"/>
            </w:rPr>
            <w:fldChar w:fldCharType="end"/>
          </w:r>
        </w:sdtContent>
      </w:sdt>
      <w:r w:rsidRPr="00F915D8">
        <w:rPr>
          <w:rFonts w:ascii="Times New Roman" w:eastAsia="Times New Roman" w:hAnsi="Times New Roman" w:cs="Times New Roman"/>
          <w:sz w:val="24"/>
          <w:szCs w:val="24"/>
        </w:rPr>
        <w:t xml:space="preserve">. Furthermore, changes in </w:t>
      </w:r>
      <w:r w:rsidRPr="00F915D8">
        <w:rPr>
          <w:rFonts w:ascii="Times New Roman" w:eastAsia="Times New Roman" w:hAnsi="Times New Roman" w:cs="Times New Roman"/>
          <w:sz w:val="24"/>
          <w:szCs w:val="24"/>
        </w:rPr>
        <w:lastRenderedPageBreak/>
        <w:t>economic conditions, such as interest rate variations or consumer spending, can have an influence on ratios such as the Current Ratio or Debt-to-Equity Ratio, suggesting non-operational changes in liquidity or financial stability.</w:t>
      </w:r>
    </w:p>
    <w:p w14:paraId="4D318E7F" w14:textId="77777777" w:rsidR="00F915D8" w:rsidRPr="00F915D8" w:rsidRDefault="00F915D8" w:rsidP="001867BB">
      <w:pPr>
        <w:pStyle w:val="ListParagraph"/>
        <w:spacing w:line="276" w:lineRule="auto"/>
        <w:ind w:firstLine="720"/>
        <w:jc w:val="both"/>
        <w:rPr>
          <w:rFonts w:ascii="Times New Roman" w:hAnsi="Times New Roman" w:cs="Times New Roman"/>
          <w:sz w:val="24"/>
          <w:szCs w:val="24"/>
        </w:rPr>
      </w:pPr>
    </w:p>
    <w:p w14:paraId="7FC58EED" w14:textId="77777777" w:rsidR="00F915D8" w:rsidRDefault="00111182" w:rsidP="001867BB">
      <w:pPr>
        <w:pStyle w:val="ListParagraph"/>
        <w:numPr>
          <w:ilvl w:val="0"/>
          <w:numId w:val="3"/>
        </w:numPr>
        <w:spacing w:line="276" w:lineRule="auto"/>
        <w:jc w:val="both"/>
        <w:rPr>
          <w:rFonts w:ascii="Times New Roman" w:hAnsi="Times New Roman" w:cs="Times New Roman"/>
          <w:sz w:val="24"/>
          <w:szCs w:val="24"/>
        </w:rPr>
      </w:pPr>
      <w:r w:rsidRPr="00FC1CAC">
        <w:rPr>
          <w:rFonts w:ascii="Times New Roman" w:hAnsi="Times New Roman" w:cs="Times New Roman"/>
          <w:b/>
          <w:bCs/>
          <w:sz w:val="24"/>
          <w:szCs w:val="24"/>
        </w:rPr>
        <w:t>Limited Scope of Analysis</w:t>
      </w:r>
      <w:r w:rsidRPr="00FC1CAC">
        <w:rPr>
          <w:rFonts w:ascii="Times New Roman" w:hAnsi="Times New Roman" w:cs="Times New Roman"/>
          <w:sz w:val="24"/>
          <w:szCs w:val="24"/>
        </w:rPr>
        <w:t>:</w:t>
      </w:r>
    </w:p>
    <w:p w14:paraId="5F785D66" w14:textId="7F5643EA" w:rsidR="00111182" w:rsidRPr="00F915D8" w:rsidRDefault="00ED0FA3" w:rsidP="001867BB">
      <w:pPr>
        <w:pStyle w:val="ListParagraph"/>
        <w:spacing w:line="276" w:lineRule="auto"/>
        <w:ind w:firstLine="720"/>
        <w:jc w:val="both"/>
        <w:rPr>
          <w:rFonts w:ascii="Times New Roman" w:hAnsi="Times New Roman" w:cs="Times New Roman"/>
          <w:sz w:val="24"/>
          <w:szCs w:val="24"/>
        </w:rPr>
      </w:pPr>
      <w:r w:rsidRPr="00F915D8">
        <w:rPr>
          <w:rFonts w:ascii="Times New Roman" w:hAnsi="Times New Roman" w:cs="Times New Roman"/>
          <w:sz w:val="24"/>
          <w:szCs w:val="24"/>
        </w:rPr>
        <w:t xml:space="preserve">Problems with the financial ratios, </w:t>
      </w:r>
      <w:r w:rsidR="00356E61" w:rsidRPr="00F915D8">
        <w:rPr>
          <w:rFonts w:ascii="Times New Roman" w:hAnsi="Times New Roman" w:cs="Times New Roman"/>
          <w:sz w:val="24"/>
          <w:szCs w:val="24"/>
        </w:rPr>
        <w:t>financial</w:t>
      </w:r>
      <w:r w:rsidRPr="00F915D8">
        <w:rPr>
          <w:rFonts w:ascii="Times New Roman" w:hAnsi="Times New Roman" w:cs="Times New Roman"/>
          <w:sz w:val="24"/>
          <w:szCs w:val="24"/>
        </w:rPr>
        <w:t xml:space="preserve"> ratios give different pictures of some areas of a company’s financial health, though they never offer a full picture. For instance, some of the profitability ratios can show that Howdens is controlling or has improved, or otherwise negatively impacted on its costs but do not look at the reasons behind fluctuating costs. In the same way, the ratios of liquidity indicate a problem with cash flow but do not reveal the causes of such a problem, for example, attractive investment opportunities or changes in the credit policy with suppliers.</w:t>
      </w:r>
    </w:p>
    <w:p w14:paraId="003E6E2E" w14:textId="77777777" w:rsidR="00F915D8" w:rsidRPr="00FC1CAC" w:rsidRDefault="00F915D8" w:rsidP="001867BB">
      <w:pPr>
        <w:spacing w:line="276" w:lineRule="auto"/>
        <w:jc w:val="both"/>
        <w:rPr>
          <w:rFonts w:ascii="Times New Roman" w:hAnsi="Times New Roman" w:cs="Times New Roman"/>
          <w:sz w:val="24"/>
          <w:szCs w:val="24"/>
        </w:rPr>
      </w:pPr>
    </w:p>
    <w:p w14:paraId="6B32410A" w14:textId="77777777" w:rsidR="00F915D8" w:rsidRDefault="00ED0FA3" w:rsidP="001867BB">
      <w:pPr>
        <w:pStyle w:val="ListParagraph"/>
        <w:numPr>
          <w:ilvl w:val="0"/>
          <w:numId w:val="3"/>
        </w:numPr>
        <w:spacing w:line="276" w:lineRule="auto"/>
        <w:jc w:val="both"/>
        <w:rPr>
          <w:rFonts w:ascii="Times New Roman" w:hAnsi="Times New Roman" w:cs="Times New Roman"/>
          <w:sz w:val="24"/>
          <w:szCs w:val="24"/>
        </w:rPr>
      </w:pPr>
      <w:r w:rsidRPr="00FC1CAC">
        <w:rPr>
          <w:rFonts w:ascii="Times New Roman" w:hAnsi="Times New Roman" w:cs="Times New Roman"/>
          <w:b/>
          <w:bCs/>
          <w:sz w:val="24"/>
          <w:szCs w:val="24"/>
        </w:rPr>
        <w:t>Susceptibility to Manipulation</w:t>
      </w:r>
      <w:r w:rsidRPr="00FC1CAC">
        <w:rPr>
          <w:rFonts w:ascii="Times New Roman" w:hAnsi="Times New Roman" w:cs="Times New Roman"/>
          <w:sz w:val="24"/>
          <w:szCs w:val="24"/>
        </w:rPr>
        <w:t>:</w:t>
      </w:r>
    </w:p>
    <w:p w14:paraId="57F20E6B" w14:textId="6059BBEE" w:rsidR="00ED0FA3" w:rsidRPr="00F915D8" w:rsidRDefault="00ED0FA3" w:rsidP="001867BB">
      <w:pPr>
        <w:pStyle w:val="ListParagraph"/>
        <w:spacing w:line="276" w:lineRule="auto"/>
        <w:ind w:firstLine="720"/>
        <w:jc w:val="both"/>
        <w:rPr>
          <w:rFonts w:ascii="Times New Roman" w:hAnsi="Times New Roman" w:cs="Times New Roman"/>
          <w:sz w:val="24"/>
          <w:szCs w:val="24"/>
        </w:rPr>
      </w:pPr>
      <w:r w:rsidRPr="00F915D8">
        <w:rPr>
          <w:rFonts w:ascii="Times New Roman" w:hAnsi="Times New Roman" w:cs="Times New Roman"/>
          <w:sz w:val="24"/>
          <w:szCs w:val="24"/>
        </w:rPr>
        <w:t>That companies might for instance overwrite some figures or use other accounting tricks to make their financial statements look better. Indeed, Howdens Joinery was capable of influencing and managing its earning through adjustments of polices for revenue recognition and company’s expenses, and through the management of its assets. These manipulations can skew financial ratios and give stakeholders inaccurate perceptions of the company’s financial health which is why it is necessary to glance at the accounting policies</w:t>
      </w:r>
      <w:sdt>
        <w:sdtPr>
          <w:id w:val="1173842505"/>
          <w:citation/>
        </w:sdtPr>
        <w:sdtEndPr/>
        <w:sdtContent>
          <w:r w:rsidR="00FC1CAC" w:rsidRPr="00F915D8">
            <w:rPr>
              <w:rFonts w:ascii="Times New Roman" w:hAnsi="Times New Roman" w:cs="Times New Roman"/>
              <w:sz w:val="24"/>
              <w:szCs w:val="24"/>
            </w:rPr>
            <w:fldChar w:fldCharType="begin"/>
          </w:r>
          <w:r w:rsidR="00FC1CAC" w:rsidRPr="00F915D8">
            <w:rPr>
              <w:rFonts w:ascii="Times New Roman" w:hAnsi="Times New Roman" w:cs="Times New Roman"/>
              <w:sz w:val="24"/>
              <w:szCs w:val="24"/>
            </w:rPr>
            <w:instrText xml:space="preserve"> CITATION WSO23 \l 1033 </w:instrText>
          </w:r>
          <w:r w:rsidR="00FC1CAC" w:rsidRPr="00F915D8">
            <w:rPr>
              <w:rFonts w:ascii="Times New Roman" w:hAnsi="Times New Roman" w:cs="Times New Roman"/>
              <w:sz w:val="24"/>
              <w:szCs w:val="24"/>
            </w:rPr>
            <w:fldChar w:fldCharType="separate"/>
          </w:r>
          <w:r w:rsidR="00E63F6D">
            <w:rPr>
              <w:rFonts w:ascii="Times New Roman" w:hAnsi="Times New Roman" w:cs="Times New Roman"/>
              <w:noProof/>
              <w:sz w:val="24"/>
              <w:szCs w:val="24"/>
            </w:rPr>
            <w:t xml:space="preserve"> </w:t>
          </w:r>
          <w:r w:rsidR="00E63F6D" w:rsidRPr="00E63F6D">
            <w:rPr>
              <w:rFonts w:ascii="Times New Roman" w:hAnsi="Times New Roman" w:cs="Times New Roman"/>
              <w:noProof/>
              <w:sz w:val="24"/>
              <w:szCs w:val="24"/>
            </w:rPr>
            <w:t>(WSO, 2023)</w:t>
          </w:r>
          <w:r w:rsidR="00FC1CAC" w:rsidRPr="00F915D8">
            <w:rPr>
              <w:rFonts w:ascii="Times New Roman" w:hAnsi="Times New Roman" w:cs="Times New Roman"/>
              <w:sz w:val="24"/>
              <w:szCs w:val="24"/>
            </w:rPr>
            <w:fldChar w:fldCharType="end"/>
          </w:r>
        </w:sdtContent>
      </w:sdt>
      <w:r w:rsidRPr="00F915D8">
        <w:rPr>
          <w:rFonts w:ascii="Times New Roman" w:hAnsi="Times New Roman" w:cs="Times New Roman"/>
          <w:sz w:val="24"/>
          <w:szCs w:val="24"/>
        </w:rPr>
        <w:t>.</w:t>
      </w:r>
    </w:p>
    <w:p w14:paraId="0FC8B316" w14:textId="77777777" w:rsidR="00ED0FA3" w:rsidRPr="00F10275" w:rsidRDefault="00ED0FA3" w:rsidP="001867BB">
      <w:pPr>
        <w:spacing w:line="276" w:lineRule="auto"/>
        <w:jc w:val="both"/>
        <w:rPr>
          <w:rFonts w:ascii="Times New Roman" w:hAnsi="Times New Roman" w:cs="Times New Roman"/>
          <w:b/>
          <w:bCs/>
          <w:sz w:val="24"/>
          <w:szCs w:val="24"/>
        </w:rPr>
      </w:pPr>
    </w:p>
    <w:p w14:paraId="6EE7C5E9" w14:textId="6BE52000" w:rsidR="00ED0FA3" w:rsidRPr="00F10275" w:rsidRDefault="00ED0FA3" w:rsidP="00F10275">
      <w:pPr>
        <w:pStyle w:val="ListParagraph"/>
        <w:numPr>
          <w:ilvl w:val="0"/>
          <w:numId w:val="17"/>
        </w:numPr>
        <w:spacing w:line="276" w:lineRule="auto"/>
        <w:jc w:val="both"/>
        <w:rPr>
          <w:rFonts w:ascii="Times New Roman" w:eastAsiaTheme="minorEastAsia" w:hAnsi="Times New Roman" w:cs="Times New Roman"/>
          <w:b/>
          <w:bCs/>
          <w:sz w:val="24"/>
          <w:szCs w:val="24"/>
        </w:rPr>
      </w:pPr>
      <w:r w:rsidRPr="00F10275">
        <w:rPr>
          <w:rFonts w:ascii="Times New Roman" w:eastAsiaTheme="minorEastAsia" w:hAnsi="Times New Roman" w:cs="Times New Roman"/>
          <w:b/>
          <w:bCs/>
          <w:sz w:val="28"/>
          <w:szCs w:val="28"/>
        </w:rPr>
        <w:t xml:space="preserve">Comment critically on the financial position (strengths and/or weaknesses) of </w:t>
      </w:r>
      <w:r w:rsidRPr="00F10275">
        <w:rPr>
          <w:rFonts w:ascii="Times New Roman" w:eastAsiaTheme="minorEastAsia" w:hAnsi="Times New Roman" w:cs="Times New Roman"/>
          <w:b/>
          <w:bCs/>
          <w:noProof/>
          <w:sz w:val="28"/>
          <w:szCs w:val="28"/>
        </w:rPr>
        <w:t>your company</w:t>
      </w:r>
      <w:r w:rsidRPr="00F10275">
        <w:rPr>
          <w:rFonts w:ascii="Times New Roman" w:eastAsiaTheme="minorEastAsia" w:hAnsi="Times New Roman" w:cs="Times New Roman"/>
          <w:b/>
          <w:bCs/>
          <w:sz w:val="28"/>
          <w:szCs w:val="28"/>
        </w:rPr>
        <w:t xml:space="preserve"> and how it has changed over the last three-year period. Your comments should include an analysis of the reasons behind deterioration/improvement in performance</w:t>
      </w:r>
      <w:r w:rsidRPr="00F10275">
        <w:rPr>
          <w:rFonts w:ascii="Times New Roman" w:eastAsiaTheme="minorEastAsia" w:hAnsi="Times New Roman" w:cs="Times New Roman"/>
          <w:b/>
          <w:bCs/>
          <w:sz w:val="24"/>
          <w:szCs w:val="24"/>
        </w:rPr>
        <w:t>.</w:t>
      </w:r>
    </w:p>
    <w:p w14:paraId="45D70CAE" w14:textId="77777777" w:rsidR="00ED0FA3" w:rsidRPr="00FC1CAC" w:rsidRDefault="00ED0FA3" w:rsidP="001867BB">
      <w:pPr>
        <w:pStyle w:val="ListParagraph"/>
        <w:spacing w:line="276" w:lineRule="auto"/>
        <w:ind w:hanging="720"/>
        <w:jc w:val="both"/>
        <w:rPr>
          <w:rFonts w:ascii="Times New Roman" w:eastAsiaTheme="minorEastAsia" w:hAnsi="Times New Roman" w:cs="Times New Roman"/>
          <w:sz w:val="24"/>
          <w:szCs w:val="24"/>
        </w:rPr>
      </w:pPr>
    </w:p>
    <w:p w14:paraId="4FDE2952" w14:textId="1E958188" w:rsidR="00ED0FA3" w:rsidRDefault="00ED0FA3" w:rsidP="001867BB">
      <w:pPr>
        <w:pStyle w:val="ListParagraph"/>
        <w:spacing w:line="276" w:lineRule="auto"/>
        <w:ind w:hanging="720"/>
        <w:jc w:val="both"/>
        <w:rPr>
          <w:rFonts w:ascii="Times New Roman" w:eastAsiaTheme="minorEastAsia" w:hAnsi="Times New Roman" w:cs="Times New Roman"/>
          <w:b/>
          <w:bCs/>
          <w:sz w:val="24"/>
          <w:szCs w:val="24"/>
        </w:rPr>
      </w:pPr>
      <w:r w:rsidRPr="00FC1CAC">
        <w:rPr>
          <w:rFonts w:ascii="Times New Roman" w:eastAsiaTheme="minorEastAsia" w:hAnsi="Times New Roman" w:cs="Times New Roman"/>
          <w:b/>
          <w:bCs/>
          <w:sz w:val="24"/>
          <w:szCs w:val="24"/>
        </w:rPr>
        <w:t>Analysis of Howdens Joinery PLC's Financial Position</w:t>
      </w:r>
    </w:p>
    <w:p w14:paraId="4C68CC36" w14:textId="77777777" w:rsidR="00ED0FA3" w:rsidRPr="00F915D8" w:rsidRDefault="00ED0FA3" w:rsidP="001867BB">
      <w:pPr>
        <w:spacing w:line="276" w:lineRule="auto"/>
        <w:ind w:firstLine="360"/>
        <w:jc w:val="both"/>
        <w:rPr>
          <w:rFonts w:ascii="Times New Roman" w:eastAsiaTheme="minorEastAsia" w:hAnsi="Times New Roman" w:cs="Times New Roman"/>
          <w:sz w:val="24"/>
          <w:szCs w:val="24"/>
        </w:rPr>
      </w:pPr>
      <w:r w:rsidRPr="00F915D8">
        <w:rPr>
          <w:rFonts w:ascii="Times New Roman" w:eastAsiaTheme="minorEastAsia" w:hAnsi="Times New Roman" w:cs="Times New Roman"/>
          <w:sz w:val="24"/>
          <w:szCs w:val="24"/>
        </w:rPr>
        <w:t>To evaluate Howdens Joinery PLC's financial status over the previous three years, we will look at important measures such as sales, gross profit, operational profit, and profit before tax.</w:t>
      </w:r>
    </w:p>
    <w:p w14:paraId="47DE8692" w14:textId="77777777" w:rsidR="007B03D7" w:rsidRPr="00FC1CAC" w:rsidRDefault="007B03D7" w:rsidP="001867BB">
      <w:pPr>
        <w:pStyle w:val="ListParagraph"/>
        <w:spacing w:line="276" w:lineRule="auto"/>
        <w:jc w:val="both"/>
        <w:rPr>
          <w:rFonts w:ascii="Times New Roman" w:eastAsiaTheme="minorEastAsia" w:hAnsi="Times New Roman" w:cs="Times New Roman"/>
          <w:sz w:val="24"/>
          <w:szCs w:val="24"/>
        </w:rPr>
      </w:pPr>
    </w:p>
    <w:p w14:paraId="0578981A" w14:textId="3EDD6ECC" w:rsidR="007B03D7" w:rsidRPr="00914D78" w:rsidRDefault="007B03D7" w:rsidP="001867BB">
      <w:pPr>
        <w:pStyle w:val="ListParagraph"/>
        <w:numPr>
          <w:ilvl w:val="0"/>
          <w:numId w:val="4"/>
        </w:numPr>
        <w:spacing w:line="276" w:lineRule="auto"/>
        <w:jc w:val="both"/>
        <w:rPr>
          <w:rFonts w:ascii="Times New Roman" w:eastAsiaTheme="minorEastAsia" w:hAnsi="Times New Roman" w:cs="Times New Roman"/>
          <w:b/>
          <w:bCs/>
          <w:sz w:val="24"/>
          <w:szCs w:val="24"/>
        </w:rPr>
      </w:pPr>
      <w:r w:rsidRPr="00914D78">
        <w:rPr>
          <w:rFonts w:ascii="Times New Roman" w:eastAsiaTheme="minorEastAsia" w:hAnsi="Times New Roman" w:cs="Times New Roman"/>
          <w:b/>
          <w:bCs/>
          <w:sz w:val="24"/>
          <w:szCs w:val="24"/>
        </w:rPr>
        <w:t>Revenue and Gross Profit:</w:t>
      </w:r>
    </w:p>
    <w:p w14:paraId="5914D8BC" w14:textId="4EA0F624" w:rsidR="007B03D7" w:rsidRPr="007B03D7" w:rsidRDefault="007B03D7" w:rsidP="001867BB">
      <w:pPr>
        <w:pStyle w:val="ListParagraph"/>
        <w:numPr>
          <w:ilvl w:val="0"/>
          <w:numId w:val="5"/>
        </w:numPr>
        <w:spacing w:line="276" w:lineRule="auto"/>
        <w:jc w:val="both"/>
        <w:rPr>
          <w:rFonts w:ascii="Times New Roman" w:eastAsiaTheme="minorEastAsia" w:hAnsi="Times New Roman" w:cs="Times New Roman"/>
          <w:sz w:val="24"/>
          <w:szCs w:val="24"/>
        </w:rPr>
      </w:pPr>
      <w:r w:rsidRPr="007B03D7">
        <w:rPr>
          <w:rFonts w:ascii="Times New Roman" w:eastAsiaTheme="minorEastAsia" w:hAnsi="Times New Roman" w:cs="Times New Roman"/>
          <w:b/>
          <w:bCs/>
          <w:sz w:val="24"/>
          <w:szCs w:val="24"/>
        </w:rPr>
        <w:t>2021</w:t>
      </w:r>
      <w:r w:rsidRPr="007B03D7">
        <w:rPr>
          <w:rFonts w:ascii="Times New Roman" w:eastAsiaTheme="minorEastAsia" w:hAnsi="Times New Roman" w:cs="Times New Roman"/>
          <w:sz w:val="24"/>
          <w:szCs w:val="24"/>
        </w:rPr>
        <w:t>: £2.1 billion revenue, £1.2 billion gross profit (61.6% gross margin)</w:t>
      </w:r>
    </w:p>
    <w:p w14:paraId="0FCB7CDE" w14:textId="0FB0D073" w:rsidR="007B03D7" w:rsidRPr="007B03D7" w:rsidRDefault="007B03D7" w:rsidP="001867BB">
      <w:pPr>
        <w:pStyle w:val="ListParagraph"/>
        <w:numPr>
          <w:ilvl w:val="0"/>
          <w:numId w:val="5"/>
        </w:numPr>
        <w:spacing w:line="276" w:lineRule="auto"/>
        <w:jc w:val="both"/>
        <w:rPr>
          <w:rFonts w:ascii="Times New Roman" w:eastAsiaTheme="minorEastAsia" w:hAnsi="Times New Roman" w:cs="Times New Roman"/>
          <w:sz w:val="24"/>
          <w:szCs w:val="24"/>
        </w:rPr>
      </w:pPr>
      <w:r w:rsidRPr="007B03D7">
        <w:rPr>
          <w:rFonts w:ascii="Times New Roman" w:eastAsiaTheme="minorEastAsia" w:hAnsi="Times New Roman" w:cs="Times New Roman"/>
          <w:b/>
          <w:bCs/>
          <w:sz w:val="24"/>
          <w:szCs w:val="24"/>
        </w:rPr>
        <w:t>2022</w:t>
      </w:r>
      <w:r w:rsidRPr="007B03D7">
        <w:rPr>
          <w:rFonts w:ascii="Times New Roman" w:eastAsiaTheme="minorEastAsia" w:hAnsi="Times New Roman" w:cs="Times New Roman"/>
          <w:sz w:val="24"/>
          <w:szCs w:val="24"/>
        </w:rPr>
        <w:t>: £2.3 billion revenue, £1.4 billion gross profit (60.9% gross margin)</w:t>
      </w:r>
    </w:p>
    <w:p w14:paraId="54B3AFE5" w14:textId="137A918C" w:rsidR="007B03D7" w:rsidRPr="00FC1CAC" w:rsidRDefault="007B03D7" w:rsidP="001867BB">
      <w:pPr>
        <w:pStyle w:val="ListParagraph"/>
        <w:numPr>
          <w:ilvl w:val="0"/>
          <w:numId w:val="5"/>
        </w:numPr>
        <w:spacing w:line="276" w:lineRule="auto"/>
        <w:jc w:val="both"/>
        <w:rPr>
          <w:rFonts w:ascii="Times New Roman" w:eastAsiaTheme="minorEastAsia" w:hAnsi="Times New Roman" w:cs="Times New Roman"/>
          <w:sz w:val="24"/>
          <w:szCs w:val="24"/>
        </w:rPr>
      </w:pPr>
      <w:r w:rsidRPr="00FC1CAC">
        <w:rPr>
          <w:rFonts w:ascii="Times New Roman" w:eastAsiaTheme="minorEastAsia" w:hAnsi="Times New Roman" w:cs="Times New Roman"/>
          <w:b/>
          <w:bCs/>
          <w:sz w:val="24"/>
          <w:szCs w:val="24"/>
        </w:rPr>
        <w:t>2023</w:t>
      </w:r>
      <w:r w:rsidRPr="00FC1CAC">
        <w:rPr>
          <w:rFonts w:ascii="Times New Roman" w:eastAsiaTheme="minorEastAsia" w:hAnsi="Times New Roman" w:cs="Times New Roman"/>
          <w:sz w:val="24"/>
          <w:szCs w:val="24"/>
        </w:rPr>
        <w:t xml:space="preserve">: £926.9 million revenue in the first half, maintaining a gross margin around 61.0%​ </w:t>
      </w:r>
      <w:sdt>
        <w:sdtPr>
          <w:rPr>
            <w:rFonts w:ascii="Times New Roman" w:eastAsiaTheme="minorEastAsia" w:hAnsi="Times New Roman" w:cs="Times New Roman"/>
            <w:sz w:val="24"/>
            <w:szCs w:val="24"/>
          </w:rPr>
          <w:id w:val="34020908"/>
          <w:citation/>
        </w:sdtPr>
        <w:sdtEndPr/>
        <w:sdtContent>
          <w:r w:rsidRPr="00FC1CAC">
            <w:rPr>
              <w:rFonts w:ascii="Times New Roman" w:eastAsiaTheme="minorEastAsia" w:hAnsi="Times New Roman" w:cs="Times New Roman"/>
              <w:sz w:val="24"/>
              <w:szCs w:val="24"/>
            </w:rPr>
            <w:fldChar w:fldCharType="begin"/>
          </w:r>
          <w:r w:rsidRPr="00FC1CAC">
            <w:rPr>
              <w:rFonts w:ascii="Times New Roman" w:eastAsiaTheme="minorEastAsia" w:hAnsi="Times New Roman" w:cs="Times New Roman"/>
              <w:sz w:val="24"/>
              <w:szCs w:val="24"/>
            </w:rPr>
            <w:instrText xml:space="preserve"> CITATION How24 \l 1033 </w:instrText>
          </w:r>
          <w:r w:rsidRPr="00FC1CAC">
            <w:rPr>
              <w:rFonts w:ascii="Times New Roman" w:eastAsiaTheme="minorEastAsia" w:hAnsi="Times New Roman" w:cs="Times New Roman"/>
              <w:sz w:val="24"/>
              <w:szCs w:val="24"/>
            </w:rPr>
            <w:fldChar w:fldCharType="separate"/>
          </w:r>
          <w:r w:rsidR="00E63F6D" w:rsidRPr="00E63F6D">
            <w:rPr>
              <w:rFonts w:ascii="Times New Roman" w:eastAsiaTheme="minorEastAsia" w:hAnsi="Times New Roman" w:cs="Times New Roman"/>
              <w:noProof/>
              <w:sz w:val="24"/>
              <w:szCs w:val="24"/>
            </w:rPr>
            <w:t>(Ltd, 2024)</w:t>
          </w:r>
          <w:r w:rsidRPr="00FC1CAC">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53731038"/>
          <w:citation/>
        </w:sdtPr>
        <w:sdtEndPr/>
        <w:sdtContent>
          <w:r w:rsidRPr="00FC1CAC">
            <w:rPr>
              <w:rFonts w:ascii="Times New Roman" w:eastAsiaTheme="minorEastAsia" w:hAnsi="Times New Roman" w:cs="Times New Roman"/>
              <w:sz w:val="24"/>
              <w:szCs w:val="24"/>
            </w:rPr>
            <w:fldChar w:fldCharType="begin"/>
          </w:r>
          <w:r w:rsidRPr="00FC1CAC">
            <w:rPr>
              <w:rFonts w:ascii="Times New Roman" w:eastAsiaTheme="minorEastAsia" w:hAnsi="Times New Roman" w:cs="Times New Roman"/>
              <w:sz w:val="24"/>
              <w:szCs w:val="24"/>
            </w:rPr>
            <w:instrText xml:space="preserve"> CITATION HOW23 \l 1033 </w:instrText>
          </w:r>
          <w:r w:rsidRPr="00FC1CAC">
            <w:rPr>
              <w:rFonts w:ascii="Times New Roman" w:eastAsiaTheme="minorEastAsia" w:hAnsi="Times New Roman" w:cs="Times New Roman"/>
              <w:sz w:val="24"/>
              <w:szCs w:val="24"/>
            </w:rPr>
            <w:fldChar w:fldCharType="separate"/>
          </w:r>
          <w:r w:rsidR="00E63F6D">
            <w:rPr>
              <w:rFonts w:ascii="Times New Roman" w:eastAsiaTheme="minorEastAsia" w:hAnsi="Times New Roman" w:cs="Times New Roman"/>
              <w:noProof/>
              <w:sz w:val="24"/>
              <w:szCs w:val="24"/>
            </w:rPr>
            <w:t xml:space="preserve"> </w:t>
          </w:r>
          <w:r w:rsidR="00E63F6D" w:rsidRPr="00E63F6D">
            <w:rPr>
              <w:rFonts w:ascii="Times New Roman" w:eastAsiaTheme="minorEastAsia" w:hAnsi="Times New Roman" w:cs="Times New Roman"/>
              <w:noProof/>
              <w:sz w:val="24"/>
              <w:szCs w:val="24"/>
            </w:rPr>
            <w:t>(PLC, 2023)</w:t>
          </w:r>
          <w:r w:rsidRPr="00FC1CAC">
            <w:rPr>
              <w:rFonts w:ascii="Times New Roman" w:eastAsiaTheme="minorEastAsia" w:hAnsi="Times New Roman" w:cs="Times New Roman"/>
              <w:sz w:val="24"/>
              <w:szCs w:val="24"/>
            </w:rPr>
            <w:fldChar w:fldCharType="end"/>
          </w:r>
        </w:sdtContent>
      </w:sdt>
    </w:p>
    <w:p w14:paraId="11FCDC2F" w14:textId="4044B0C3" w:rsidR="007B03D7" w:rsidRPr="00FC1CAC" w:rsidRDefault="007B03D7" w:rsidP="001867BB">
      <w:pPr>
        <w:spacing w:after="0" w:line="276" w:lineRule="auto"/>
        <w:jc w:val="both"/>
        <w:rPr>
          <w:rFonts w:ascii="Times New Roman" w:eastAsia="Times New Roman" w:hAnsi="Times New Roman" w:cs="Times New Roman"/>
          <w:sz w:val="24"/>
          <w:szCs w:val="24"/>
        </w:rPr>
      </w:pPr>
      <w:r w:rsidRPr="00FC1CAC">
        <w:rPr>
          <w:rFonts w:ascii="Times New Roman" w:eastAsia="Times New Roman" w:hAnsi="Times New Roman" w:cs="Times New Roman"/>
          <w:sz w:val="24"/>
          <w:szCs w:val="24"/>
        </w:rPr>
        <w:t>Revenue and gross profit have consistently increased, showing excellent sales performance and good cost control. The little shift in gross margin indicates that profitability remains consistent despite economic difficulties</w:t>
      </w:r>
      <w:sdt>
        <w:sdtPr>
          <w:rPr>
            <w:rFonts w:ascii="Times New Roman" w:eastAsia="Times New Roman" w:hAnsi="Times New Roman" w:cs="Times New Roman"/>
            <w:sz w:val="24"/>
            <w:szCs w:val="24"/>
          </w:rPr>
          <w:id w:val="-1343077521"/>
          <w:citation/>
        </w:sdtPr>
        <w:sdtEndPr/>
        <w:sdtContent>
          <w:r w:rsidRPr="00FC1CAC">
            <w:rPr>
              <w:rFonts w:ascii="Times New Roman" w:eastAsia="Times New Roman" w:hAnsi="Times New Roman" w:cs="Times New Roman"/>
              <w:sz w:val="24"/>
              <w:szCs w:val="24"/>
            </w:rPr>
            <w:fldChar w:fldCharType="begin"/>
          </w:r>
          <w:r w:rsidRPr="00FC1CAC">
            <w:rPr>
              <w:rFonts w:ascii="Times New Roman" w:eastAsia="Times New Roman" w:hAnsi="Times New Roman" w:cs="Times New Roman"/>
              <w:sz w:val="24"/>
              <w:szCs w:val="24"/>
            </w:rPr>
            <w:instrText xml:space="preserve"> CITATION mar23 \l 1033 </w:instrText>
          </w:r>
          <w:r w:rsidRPr="00FC1CAC">
            <w:rPr>
              <w:rFonts w:ascii="Times New Roman" w:eastAsia="Times New Roman" w:hAnsi="Times New Roman" w:cs="Times New Roman"/>
              <w:sz w:val="24"/>
              <w:szCs w:val="24"/>
            </w:rPr>
            <w:fldChar w:fldCharType="separate"/>
          </w:r>
          <w:r w:rsidR="00E63F6D">
            <w:rPr>
              <w:rFonts w:ascii="Times New Roman" w:eastAsia="Times New Roman" w:hAnsi="Times New Roman" w:cs="Times New Roman"/>
              <w:noProof/>
              <w:sz w:val="24"/>
              <w:szCs w:val="24"/>
            </w:rPr>
            <w:t xml:space="preserve"> </w:t>
          </w:r>
          <w:r w:rsidR="00E63F6D" w:rsidRPr="00E63F6D">
            <w:rPr>
              <w:rFonts w:ascii="Times New Roman" w:eastAsia="Times New Roman" w:hAnsi="Times New Roman" w:cs="Times New Roman"/>
              <w:noProof/>
              <w:sz w:val="24"/>
              <w:szCs w:val="24"/>
            </w:rPr>
            <w:t>(screneer, 2023)</w:t>
          </w:r>
          <w:r w:rsidRPr="00FC1CAC">
            <w:rPr>
              <w:rFonts w:ascii="Times New Roman" w:eastAsia="Times New Roman" w:hAnsi="Times New Roman" w:cs="Times New Roman"/>
              <w:sz w:val="24"/>
              <w:szCs w:val="24"/>
            </w:rPr>
            <w:fldChar w:fldCharType="end"/>
          </w:r>
        </w:sdtContent>
      </w:sdt>
      <w:r w:rsidRPr="00FC1CAC">
        <w:rPr>
          <w:rFonts w:ascii="Times New Roman" w:eastAsia="Times New Roman" w:hAnsi="Times New Roman" w:cs="Times New Roman"/>
          <w:sz w:val="24"/>
          <w:szCs w:val="24"/>
        </w:rPr>
        <w:t>.</w:t>
      </w:r>
    </w:p>
    <w:p w14:paraId="7D4D4030" w14:textId="77777777" w:rsidR="007B03D7" w:rsidRPr="00FC1CAC" w:rsidRDefault="007B03D7" w:rsidP="001867BB">
      <w:pPr>
        <w:spacing w:line="276" w:lineRule="auto"/>
        <w:jc w:val="both"/>
        <w:rPr>
          <w:rFonts w:ascii="Times New Roman" w:eastAsiaTheme="minorEastAsia" w:hAnsi="Times New Roman" w:cs="Times New Roman"/>
          <w:sz w:val="24"/>
          <w:szCs w:val="24"/>
        </w:rPr>
      </w:pPr>
    </w:p>
    <w:p w14:paraId="575A7B06" w14:textId="39EB5961" w:rsidR="007B03D7" w:rsidRPr="00914D78" w:rsidRDefault="007B03D7" w:rsidP="001867BB">
      <w:pPr>
        <w:pStyle w:val="ListParagraph"/>
        <w:numPr>
          <w:ilvl w:val="0"/>
          <w:numId w:val="4"/>
        </w:numPr>
        <w:spacing w:line="276" w:lineRule="auto"/>
        <w:jc w:val="both"/>
        <w:rPr>
          <w:rFonts w:ascii="Times New Roman" w:eastAsiaTheme="minorEastAsia" w:hAnsi="Times New Roman" w:cs="Times New Roman"/>
          <w:b/>
          <w:bCs/>
          <w:sz w:val="24"/>
          <w:szCs w:val="24"/>
        </w:rPr>
      </w:pPr>
      <w:r w:rsidRPr="00914D78">
        <w:rPr>
          <w:rFonts w:ascii="Times New Roman" w:eastAsiaTheme="minorEastAsia" w:hAnsi="Times New Roman" w:cs="Times New Roman"/>
          <w:b/>
          <w:bCs/>
          <w:sz w:val="24"/>
          <w:szCs w:val="24"/>
        </w:rPr>
        <w:lastRenderedPageBreak/>
        <w:t>Operating Profit and Profit Before Tax:</w:t>
      </w:r>
    </w:p>
    <w:p w14:paraId="44575EC0" w14:textId="3601597B" w:rsidR="00024491" w:rsidRPr="00024491" w:rsidRDefault="00024491" w:rsidP="001867BB">
      <w:pPr>
        <w:pStyle w:val="ListParagraph"/>
        <w:numPr>
          <w:ilvl w:val="0"/>
          <w:numId w:val="6"/>
        </w:numPr>
        <w:spacing w:line="276" w:lineRule="auto"/>
        <w:jc w:val="both"/>
        <w:rPr>
          <w:rFonts w:ascii="Times New Roman" w:eastAsiaTheme="minorEastAsia" w:hAnsi="Times New Roman" w:cs="Times New Roman"/>
          <w:sz w:val="24"/>
          <w:szCs w:val="24"/>
        </w:rPr>
      </w:pPr>
      <w:r w:rsidRPr="00024491">
        <w:rPr>
          <w:rFonts w:ascii="Times New Roman" w:eastAsiaTheme="minorEastAsia" w:hAnsi="Times New Roman" w:cs="Times New Roman"/>
          <w:sz w:val="24"/>
          <w:szCs w:val="24"/>
        </w:rPr>
        <w:t xml:space="preserve"> </w:t>
      </w:r>
      <w:r w:rsidRPr="00024491">
        <w:rPr>
          <w:rFonts w:ascii="Times New Roman" w:eastAsiaTheme="minorEastAsia" w:hAnsi="Times New Roman" w:cs="Times New Roman"/>
          <w:b/>
          <w:bCs/>
          <w:sz w:val="24"/>
          <w:szCs w:val="24"/>
        </w:rPr>
        <w:t>2021</w:t>
      </w:r>
      <w:r w:rsidRPr="00024491">
        <w:rPr>
          <w:rFonts w:ascii="Times New Roman" w:eastAsiaTheme="minorEastAsia" w:hAnsi="Times New Roman" w:cs="Times New Roman"/>
          <w:sz w:val="24"/>
          <w:szCs w:val="24"/>
        </w:rPr>
        <w:t>: £415 million operating profit, £406 million profit before tax</w:t>
      </w:r>
    </w:p>
    <w:p w14:paraId="66DAC6DC" w14:textId="1C27CB9E" w:rsidR="00024491" w:rsidRPr="00024491" w:rsidRDefault="00024491" w:rsidP="001867BB">
      <w:pPr>
        <w:pStyle w:val="ListParagraph"/>
        <w:numPr>
          <w:ilvl w:val="0"/>
          <w:numId w:val="6"/>
        </w:numPr>
        <w:spacing w:line="276" w:lineRule="auto"/>
        <w:jc w:val="both"/>
        <w:rPr>
          <w:rFonts w:ascii="Times New Roman" w:eastAsiaTheme="minorEastAsia" w:hAnsi="Times New Roman" w:cs="Times New Roman"/>
          <w:sz w:val="24"/>
          <w:szCs w:val="24"/>
        </w:rPr>
      </w:pPr>
      <w:r w:rsidRPr="00024491">
        <w:rPr>
          <w:rFonts w:ascii="Times New Roman" w:eastAsiaTheme="minorEastAsia" w:hAnsi="Times New Roman" w:cs="Times New Roman"/>
          <w:b/>
          <w:bCs/>
          <w:sz w:val="24"/>
          <w:szCs w:val="24"/>
        </w:rPr>
        <w:t>2022</w:t>
      </w:r>
      <w:r w:rsidRPr="00024491">
        <w:rPr>
          <w:rFonts w:ascii="Times New Roman" w:eastAsiaTheme="minorEastAsia" w:hAnsi="Times New Roman" w:cs="Times New Roman"/>
          <w:sz w:val="24"/>
          <w:szCs w:val="24"/>
        </w:rPr>
        <w:t>: £405.8 million operating profit, £405.8 million profit before tax</w:t>
      </w:r>
    </w:p>
    <w:p w14:paraId="4E97F37C" w14:textId="55A8E214" w:rsidR="00024491" w:rsidRPr="00FC1CAC" w:rsidRDefault="00024491" w:rsidP="001867BB">
      <w:pPr>
        <w:pStyle w:val="ListParagraph"/>
        <w:numPr>
          <w:ilvl w:val="0"/>
          <w:numId w:val="6"/>
        </w:numPr>
        <w:spacing w:line="276" w:lineRule="auto"/>
        <w:jc w:val="both"/>
        <w:rPr>
          <w:rFonts w:ascii="Times New Roman" w:eastAsiaTheme="minorEastAsia" w:hAnsi="Times New Roman" w:cs="Times New Roman"/>
          <w:sz w:val="24"/>
          <w:szCs w:val="24"/>
        </w:rPr>
      </w:pPr>
      <w:r w:rsidRPr="00FC1CAC">
        <w:rPr>
          <w:rFonts w:ascii="Times New Roman" w:eastAsiaTheme="minorEastAsia" w:hAnsi="Times New Roman" w:cs="Times New Roman"/>
          <w:b/>
          <w:bCs/>
          <w:sz w:val="24"/>
          <w:szCs w:val="24"/>
        </w:rPr>
        <w:t>2023</w:t>
      </w:r>
      <w:r w:rsidRPr="00FC1CAC">
        <w:rPr>
          <w:rFonts w:ascii="Times New Roman" w:eastAsiaTheme="minorEastAsia" w:hAnsi="Times New Roman" w:cs="Times New Roman"/>
          <w:sz w:val="24"/>
          <w:szCs w:val="24"/>
        </w:rPr>
        <w:t>: £117 million operating profit in the first half, £111.9 million profit before tax</w:t>
      </w:r>
      <w:sdt>
        <w:sdtPr>
          <w:rPr>
            <w:rFonts w:ascii="Times New Roman" w:eastAsiaTheme="minorEastAsia" w:hAnsi="Times New Roman" w:cs="Times New Roman"/>
            <w:sz w:val="24"/>
            <w:szCs w:val="24"/>
          </w:rPr>
          <w:id w:val="-557311887"/>
          <w:citation/>
        </w:sdtPr>
        <w:sdtEndPr/>
        <w:sdtContent>
          <w:r w:rsidRPr="00FC1CAC">
            <w:rPr>
              <w:rFonts w:ascii="Times New Roman" w:eastAsiaTheme="minorEastAsia" w:hAnsi="Times New Roman" w:cs="Times New Roman"/>
              <w:sz w:val="24"/>
              <w:szCs w:val="24"/>
            </w:rPr>
            <w:fldChar w:fldCharType="begin"/>
          </w:r>
          <w:r w:rsidRPr="00FC1CAC">
            <w:rPr>
              <w:rFonts w:ascii="Times New Roman" w:eastAsiaTheme="minorEastAsia" w:hAnsi="Times New Roman" w:cs="Times New Roman"/>
              <w:sz w:val="24"/>
              <w:szCs w:val="24"/>
            </w:rPr>
            <w:instrText xml:space="preserve"> CITATION How24 \l 1033 </w:instrText>
          </w:r>
          <w:r w:rsidRPr="00FC1CAC">
            <w:rPr>
              <w:rFonts w:ascii="Times New Roman" w:eastAsiaTheme="minorEastAsia" w:hAnsi="Times New Roman" w:cs="Times New Roman"/>
              <w:sz w:val="24"/>
              <w:szCs w:val="24"/>
            </w:rPr>
            <w:fldChar w:fldCharType="separate"/>
          </w:r>
          <w:r w:rsidR="00E63F6D">
            <w:rPr>
              <w:rFonts w:ascii="Times New Roman" w:eastAsiaTheme="minorEastAsia" w:hAnsi="Times New Roman" w:cs="Times New Roman"/>
              <w:noProof/>
              <w:sz w:val="24"/>
              <w:szCs w:val="24"/>
            </w:rPr>
            <w:t xml:space="preserve"> </w:t>
          </w:r>
          <w:r w:rsidR="00E63F6D" w:rsidRPr="00E63F6D">
            <w:rPr>
              <w:rFonts w:ascii="Times New Roman" w:eastAsiaTheme="minorEastAsia" w:hAnsi="Times New Roman" w:cs="Times New Roman"/>
              <w:noProof/>
              <w:sz w:val="24"/>
              <w:szCs w:val="24"/>
            </w:rPr>
            <w:t>(Ltd, 2024)</w:t>
          </w:r>
          <w:r w:rsidRPr="00FC1CAC">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009913443"/>
          <w:citation/>
        </w:sdtPr>
        <w:sdtEndPr/>
        <w:sdtContent>
          <w:r w:rsidRPr="00FC1CAC">
            <w:rPr>
              <w:rFonts w:ascii="Times New Roman" w:eastAsiaTheme="minorEastAsia" w:hAnsi="Times New Roman" w:cs="Times New Roman"/>
              <w:sz w:val="24"/>
              <w:szCs w:val="24"/>
            </w:rPr>
            <w:fldChar w:fldCharType="begin"/>
          </w:r>
          <w:r w:rsidRPr="00FC1CAC">
            <w:rPr>
              <w:rFonts w:ascii="Times New Roman" w:eastAsiaTheme="minorEastAsia" w:hAnsi="Times New Roman" w:cs="Times New Roman"/>
              <w:sz w:val="24"/>
              <w:szCs w:val="24"/>
            </w:rPr>
            <w:instrText xml:space="preserve"> CITATION HOW23 \l 1033 </w:instrText>
          </w:r>
          <w:r w:rsidRPr="00FC1CAC">
            <w:rPr>
              <w:rFonts w:ascii="Times New Roman" w:eastAsiaTheme="minorEastAsia" w:hAnsi="Times New Roman" w:cs="Times New Roman"/>
              <w:sz w:val="24"/>
              <w:szCs w:val="24"/>
            </w:rPr>
            <w:fldChar w:fldCharType="separate"/>
          </w:r>
          <w:r w:rsidR="00E63F6D">
            <w:rPr>
              <w:rFonts w:ascii="Times New Roman" w:eastAsiaTheme="minorEastAsia" w:hAnsi="Times New Roman" w:cs="Times New Roman"/>
              <w:noProof/>
              <w:sz w:val="24"/>
              <w:szCs w:val="24"/>
            </w:rPr>
            <w:t xml:space="preserve"> </w:t>
          </w:r>
          <w:r w:rsidR="00E63F6D" w:rsidRPr="00E63F6D">
            <w:rPr>
              <w:rFonts w:ascii="Times New Roman" w:eastAsiaTheme="minorEastAsia" w:hAnsi="Times New Roman" w:cs="Times New Roman"/>
              <w:noProof/>
              <w:sz w:val="24"/>
              <w:szCs w:val="24"/>
            </w:rPr>
            <w:t>(PLC, 2023)</w:t>
          </w:r>
          <w:r w:rsidRPr="00FC1CAC">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072542053"/>
          <w:citation/>
        </w:sdtPr>
        <w:sdtEndPr/>
        <w:sdtContent>
          <w:r w:rsidRPr="00FC1CAC">
            <w:rPr>
              <w:rFonts w:ascii="Times New Roman" w:eastAsiaTheme="minorEastAsia" w:hAnsi="Times New Roman" w:cs="Times New Roman"/>
              <w:sz w:val="24"/>
              <w:szCs w:val="24"/>
            </w:rPr>
            <w:fldChar w:fldCharType="begin"/>
          </w:r>
          <w:r w:rsidRPr="00FC1CAC">
            <w:rPr>
              <w:rFonts w:ascii="Times New Roman" w:eastAsiaTheme="minorEastAsia" w:hAnsi="Times New Roman" w:cs="Times New Roman"/>
              <w:sz w:val="24"/>
              <w:szCs w:val="24"/>
            </w:rPr>
            <w:instrText xml:space="preserve"> CITATION mar23 \l 1033 </w:instrText>
          </w:r>
          <w:r w:rsidRPr="00FC1CAC">
            <w:rPr>
              <w:rFonts w:ascii="Times New Roman" w:eastAsiaTheme="minorEastAsia" w:hAnsi="Times New Roman" w:cs="Times New Roman"/>
              <w:sz w:val="24"/>
              <w:szCs w:val="24"/>
            </w:rPr>
            <w:fldChar w:fldCharType="separate"/>
          </w:r>
          <w:r w:rsidR="00E63F6D">
            <w:rPr>
              <w:rFonts w:ascii="Times New Roman" w:eastAsiaTheme="minorEastAsia" w:hAnsi="Times New Roman" w:cs="Times New Roman"/>
              <w:noProof/>
              <w:sz w:val="24"/>
              <w:szCs w:val="24"/>
            </w:rPr>
            <w:t xml:space="preserve"> </w:t>
          </w:r>
          <w:r w:rsidR="00E63F6D" w:rsidRPr="00E63F6D">
            <w:rPr>
              <w:rFonts w:ascii="Times New Roman" w:eastAsiaTheme="minorEastAsia" w:hAnsi="Times New Roman" w:cs="Times New Roman"/>
              <w:noProof/>
              <w:sz w:val="24"/>
              <w:szCs w:val="24"/>
            </w:rPr>
            <w:t>(screneer, 2023)</w:t>
          </w:r>
          <w:r w:rsidRPr="00FC1CAC">
            <w:rPr>
              <w:rFonts w:ascii="Times New Roman" w:eastAsiaTheme="minorEastAsia" w:hAnsi="Times New Roman" w:cs="Times New Roman"/>
              <w:sz w:val="24"/>
              <w:szCs w:val="24"/>
            </w:rPr>
            <w:fldChar w:fldCharType="end"/>
          </w:r>
        </w:sdtContent>
      </w:sdt>
      <w:r w:rsidRPr="00FC1CAC">
        <w:rPr>
          <w:rFonts w:ascii="Times New Roman" w:eastAsiaTheme="minorEastAsia" w:hAnsi="Times New Roman" w:cs="Times New Roman"/>
          <w:sz w:val="24"/>
          <w:szCs w:val="24"/>
        </w:rPr>
        <w:t>.​</w:t>
      </w:r>
    </w:p>
    <w:p w14:paraId="22EBF518" w14:textId="3E661ECE" w:rsidR="00356E61" w:rsidRDefault="007B03D7" w:rsidP="001867BB">
      <w:pPr>
        <w:spacing w:line="276" w:lineRule="auto"/>
        <w:jc w:val="both"/>
        <w:rPr>
          <w:rFonts w:ascii="Times New Roman" w:eastAsiaTheme="minorEastAsia" w:hAnsi="Times New Roman" w:cs="Times New Roman"/>
          <w:sz w:val="24"/>
          <w:szCs w:val="24"/>
        </w:rPr>
      </w:pPr>
      <w:r w:rsidRPr="00FC1CAC">
        <w:rPr>
          <w:rFonts w:ascii="Times New Roman" w:eastAsiaTheme="minorEastAsia" w:hAnsi="Times New Roman" w:cs="Times New Roman"/>
          <w:sz w:val="24"/>
          <w:szCs w:val="24"/>
        </w:rPr>
        <w:t xml:space="preserve">The operating profit as well as the profit before tax in 2023 has lesser figures compared to the previous years because of the new strategic costs such as depots’ expansion and some digital </w:t>
      </w:r>
      <w:r w:rsidR="00356E61" w:rsidRPr="00FC1CAC">
        <w:rPr>
          <w:rFonts w:ascii="Times New Roman" w:eastAsiaTheme="minorEastAsia" w:hAnsi="Times New Roman" w:cs="Times New Roman"/>
          <w:sz w:val="24"/>
          <w:szCs w:val="24"/>
        </w:rPr>
        <w:t>endeavors</w:t>
      </w:r>
      <w:r w:rsidRPr="00FC1CAC">
        <w:rPr>
          <w:rFonts w:ascii="Times New Roman" w:eastAsiaTheme="minorEastAsia" w:hAnsi="Times New Roman" w:cs="Times New Roman"/>
          <w:sz w:val="24"/>
          <w:szCs w:val="24"/>
        </w:rPr>
        <w:t xml:space="preserve">. This </w:t>
      </w:r>
      <w:r w:rsidR="00356E61" w:rsidRPr="00FC1CAC">
        <w:rPr>
          <w:rFonts w:ascii="Times New Roman" w:eastAsiaTheme="minorEastAsia" w:hAnsi="Times New Roman" w:cs="Times New Roman"/>
          <w:sz w:val="24"/>
          <w:szCs w:val="24"/>
        </w:rPr>
        <w:t>suggests</w:t>
      </w:r>
      <w:r w:rsidRPr="00FC1CAC">
        <w:rPr>
          <w:rFonts w:ascii="Times New Roman" w:eastAsiaTheme="minorEastAsia" w:hAnsi="Times New Roman" w:cs="Times New Roman"/>
          <w:sz w:val="24"/>
          <w:szCs w:val="24"/>
        </w:rPr>
        <w:t xml:space="preserve"> a shift in corporate strategy, possibly away from the short-term towards the longer-term, and possibly lower immediate profits.</w:t>
      </w:r>
    </w:p>
    <w:p w14:paraId="1B5B80F1" w14:textId="77777777" w:rsidR="00E63F6D" w:rsidRPr="00FC1CAC" w:rsidRDefault="00E63F6D" w:rsidP="001867BB">
      <w:pPr>
        <w:spacing w:line="276" w:lineRule="auto"/>
        <w:jc w:val="both"/>
        <w:rPr>
          <w:rFonts w:ascii="Times New Roman" w:eastAsiaTheme="minorEastAsia" w:hAnsi="Times New Roman" w:cs="Times New Roman"/>
          <w:sz w:val="24"/>
          <w:szCs w:val="24"/>
        </w:rPr>
      </w:pPr>
    </w:p>
    <w:p w14:paraId="0B3A5484" w14:textId="37C84C3E" w:rsidR="00ED0FA3" w:rsidRPr="00FC1CAC" w:rsidRDefault="004A243C" w:rsidP="001867BB">
      <w:pPr>
        <w:pStyle w:val="ListParagraph"/>
        <w:numPr>
          <w:ilvl w:val="0"/>
          <w:numId w:val="4"/>
        </w:numPr>
        <w:spacing w:line="276" w:lineRule="auto"/>
        <w:jc w:val="both"/>
        <w:rPr>
          <w:rFonts w:ascii="Times New Roman" w:eastAsiaTheme="minorEastAsia" w:hAnsi="Times New Roman" w:cs="Times New Roman"/>
          <w:b/>
          <w:bCs/>
          <w:sz w:val="24"/>
          <w:szCs w:val="24"/>
        </w:rPr>
      </w:pPr>
      <w:r w:rsidRPr="00FC1CAC">
        <w:rPr>
          <w:rFonts w:ascii="Times New Roman" w:eastAsiaTheme="minorEastAsia" w:hAnsi="Times New Roman" w:cs="Times New Roman"/>
          <w:b/>
          <w:bCs/>
          <w:sz w:val="24"/>
          <w:szCs w:val="24"/>
        </w:rPr>
        <w:t>Liquidity and Financial Gearing:</w:t>
      </w:r>
    </w:p>
    <w:p w14:paraId="1953DEB0" w14:textId="5224904A" w:rsidR="004A243C" w:rsidRPr="00FC1CAC" w:rsidRDefault="00BD56FD" w:rsidP="001867BB">
      <w:pPr>
        <w:pStyle w:val="ListParagraph"/>
        <w:numPr>
          <w:ilvl w:val="0"/>
          <w:numId w:val="8"/>
        </w:numPr>
        <w:spacing w:line="276" w:lineRule="auto"/>
        <w:jc w:val="both"/>
        <w:rPr>
          <w:rFonts w:ascii="Times New Roman" w:eastAsiaTheme="minorEastAsia" w:hAnsi="Times New Roman" w:cs="Times New Roman"/>
          <w:sz w:val="24"/>
          <w:szCs w:val="24"/>
        </w:rPr>
      </w:pPr>
      <w:r w:rsidRPr="00FC1CAC">
        <w:rPr>
          <w:rFonts w:ascii="Times New Roman" w:eastAsiaTheme="minorEastAsia" w:hAnsi="Times New Roman" w:cs="Times New Roman"/>
          <w:sz w:val="24"/>
          <w:szCs w:val="24"/>
        </w:rPr>
        <w:t>The financial analysis of Howdens showed that the company has treasured reasonable levels of cash throughout the period under analysis the company has sustained superior, cash flows from operations. This is evident from the large amounts of cash assets that were envisioned in their balance sheets</w:t>
      </w:r>
      <w:sdt>
        <w:sdtPr>
          <w:rPr>
            <w:rFonts w:ascii="Times New Roman" w:eastAsiaTheme="minorEastAsia" w:hAnsi="Times New Roman" w:cs="Times New Roman"/>
            <w:sz w:val="24"/>
            <w:szCs w:val="24"/>
          </w:rPr>
          <w:id w:val="-149677166"/>
          <w:citation/>
        </w:sdtPr>
        <w:sdtEndPr/>
        <w:sdtContent>
          <w:r w:rsidR="00C62D23" w:rsidRPr="00FC1CAC">
            <w:rPr>
              <w:rFonts w:ascii="Times New Roman" w:eastAsiaTheme="minorEastAsia" w:hAnsi="Times New Roman" w:cs="Times New Roman"/>
              <w:sz w:val="24"/>
              <w:szCs w:val="24"/>
            </w:rPr>
            <w:fldChar w:fldCharType="begin"/>
          </w:r>
          <w:r w:rsidR="00C62D23" w:rsidRPr="00FC1CAC">
            <w:rPr>
              <w:rFonts w:ascii="Times New Roman" w:eastAsiaTheme="minorEastAsia" w:hAnsi="Times New Roman" w:cs="Times New Roman"/>
              <w:sz w:val="24"/>
              <w:szCs w:val="24"/>
            </w:rPr>
            <w:instrText xml:space="preserve"> CITATION HOW23 \l 1033 </w:instrText>
          </w:r>
          <w:r w:rsidR="00C62D23" w:rsidRPr="00FC1CAC">
            <w:rPr>
              <w:rFonts w:ascii="Times New Roman" w:eastAsiaTheme="minorEastAsia" w:hAnsi="Times New Roman" w:cs="Times New Roman"/>
              <w:sz w:val="24"/>
              <w:szCs w:val="24"/>
            </w:rPr>
            <w:fldChar w:fldCharType="separate"/>
          </w:r>
          <w:r w:rsidR="00E63F6D">
            <w:rPr>
              <w:rFonts w:ascii="Times New Roman" w:eastAsiaTheme="minorEastAsia" w:hAnsi="Times New Roman" w:cs="Times New Roman"/>
              <w:noProof/>
              <w:sz w:val="24"/>
              <w:szCs w:val="24"/>
            </w:rPr>
            <w:t xml:space="preserve"> </w:t>
          </w:r>
          <w:r w:rsidR="00E63F6D" w:rsidRPr="00E63F6D">
            <w:rPr>
              <w:rFonts w:ascii="Times New Roman" w:eastAsiaTheme="minorEastAsia" w:hAnsi="Times New Roman" w:cs="Times New Roman"/>
              <w:noProof/>
              <w:sz w:val="24"/>
              <w:szCs w:val="24"/>
            </w:rPr>
            <w:t>(PLC, 2023)</w:t>
          </w:r>
          <w:r w:rsidR="00C62D23" w:rsidRPr="00FC1CAC">
            <w:rPr>
              <w:rFonts w:ascii="Times New Roman" w:eastAsiaTheme="minorEastAsia" w:hAnsi="Times New Roman" w:cs="Times New Roman"/>
              <w:sz w:val="24"/>
              <w:szCs w:val="24"/>
            </w:rPr>
            <w:fldChar w:fldCharType="end"/>
          </w:r>
        </w:sdtContent>
      </w:sdt>
      <w:r w:rsidRPr="00FC1CAC">
        <w:rPr>
          <w:rFonts w:ascii="Times New Roman" w:eastAsiaTheme="minorEastAsia" w:hAnsi="Times New Roman" w:cs="Times New Roman"/>
          <w:sz w:val="24"/>
          <w:szCs w:val="24"/>
        </w:rPr>
        <w:t>.</w:t>
      </w:r>
    </w:p>
    <w:p w14:paraId="4DB53377" w14:textId="77777777" w:rsidR="00F953EF" w:rsidRPr="00FC1CAC" w:rsidRDefault="00F953EF" w:rsidP="001867BB">
      <w:pPr>
        <w:pStyle w:val="ListParagraph"/>
        <w:numPr>
          <w:ilvl w:val="0"/>
          <w:numId w:val="8"/>
        </w:numPr>
        <w:spacing w:after="0" w:line="276" w:lineRule="auto"/>
        <w:jc w:val="both"/>
        <w:rPr>
          <w:rFonts w:ascii="Times New Roman" w:eastAsia="Times New Roman" w:hAnsi="Times New Roman" w:cs="Times New Roman"/>
          <w:sz w:val="24"/>
          <w:szCs w:val="24"/>
        </w:rPr>
      </w:pPr>
      <w:r w:rsidRPr="00FC1CAC">
        <w:rPr>
          <w:rFonts w:ascii="Times New Roman" w:eastAsia="Times New Roman" w:hAnsi="Times New Roman" w:cs="Times New Roman"/>
          <w:sz w:val="24"/>
          <w:szCs w:val="24"/>
        </w:rPr>
        <w:t xml:space="preserve">Based on the </w:t>
      </w:r>
      <w:proofErr w:type="gramStart"/>
      <w:r w:rsidRPr="00FC1CAC">
        <w:rPr>
          <w:rFonts w:ascii="Times New Roman" w:eastAsia="Times New Roman" w:hAnsi="Times New Roman" w:cs="Times New Roman"/>
          <w:sz w:val="24"/>
          <w:szCs w:val="24"/>
        </w:rPr>
        <w:t>debt to equity</w:t>
      </w:r>
      <w:proofErr w:type="gramEnd"/>
      <w:r w:rsidRPr="00FC1CAC">
        <w:rPr>
          <w:rFonts w:ascii="Times New Roman" w:eastAsia="Times New Roman" w:hAnsi="Times New Roman" w:cs="Times New Roman"/>
          <w:sz w:val="24"/>
          <w:szCs w:val="24"/>
        </w:rPr>
        <w:t xml:space="preserve"> ratio, the company's financial gearing is still prudent. This cautious attitude to borrowing acts as a safeguard against economic downturns and helps reduce financial risk.​ </w:t>
      </w:r>
    </w:p>
    <w:p w14:paraId="1AB456FD" w14:textId="77777777" w:rsidR="00BD56FD" w:rsidRPr="00FC1CAC" w:rsidRDefault="00BD56FD" w:rsidP="001867BB">
      <w:pPr>
        <w:spacing w:line="276" w:lineRule="auto"/>
        <w:jc w:val="both"/>
        <w:rPr>
          <w:rFonts w:ascii="Times New Roman" w:eastAsiaTheme="minorEastAsia" w:hAnsi="Times New Roman" w:cs="Times New Roman"/>
          <w:sz w:val="24"/>
          <w:szCs w:val="24"/>
        </w:rPr>
      </w:pPr>
    </w:p>
    <w:p w14:paraId="1F7DAA5C" w14:textId="3A727B62" w:rsidR="00C62D23" w:rsidRPr="00914D78" w:rsidRDefault="004348DA" w:rsidP="001867BB">
      <w:pPr>
        <w:pStyle w:val="ListParagraph"/>
        <w:numPr>
          <w:ilvl w:val="0"/>
          <w:numId w:val="4"/>
        </w:numPr>
        <w:spacing w:line="276" w:lineRule="auto"/>
        <w:jc w:val="both"/>
        <w:rPr>
          <w:rFonts w:ascii="Times New Roman" w:eastAsiaTheme="minorEastAsia" w:hAnsi="Times New Roman" w:cs="Times New Roman"/>
          <w:b/>
          <w:bCs/>
          <w:sz w:val="24"/>
          <w:szCs w:val="24"/>
        </w:rPr>
      </w:pPr>
      <w:r w:rsidRPr="00914D78">
        <w:rPr>
          <w:rFonts w:ascii="Times New Roman" w:eastAsiaTheme="minorEastAsia" w:hAnsi="Times New Roman" w:cs="Times New Roman"/>
          <w:b/>
          <w:bCs/>
          <w:sz w:val="24"/>
          <w:szCs w:val="24"/>
        </w:rPr>
        <w:t>Strengths and Weaknesses</w:t>
      </w:r>
      <w:r w:rsidR="00E4646F" w:rsidRPr="00914D78">
        <w:rPr>
          <w:rFonts w:ascii="Times New Roman" w:eastAsiaTheme="minorEastAsia" w:hAnsi="Times New Roman" w:cs="Times New Roman"/>
          <w:b/>
          <w:bCs/>
          <w:sz w:val="24"/>
          <w:szCs w:val="24"/>
        </w:rPr>
        <w:t>:</w:t>
      </w:r>
    </w:p>
    <w:p w14:paraId="361250A6" w14:textId="1EB14E6E" w:rsidR="00E4646F" w:rsidRPr="00FC1CAC" w:rsidRDefault="00E4646F" w:rsidP="001867BB">
      <w:pPr>
        <w:spacing w:line="276" w:lineRule="auto"/>
        <w:ind w:left="720"/>
        <w:jc w:val="both"/>
        <w:rPr>
          <w:rFonts w:ascii="Times New Roman" w:eastAsiaTheme="minorEastAsia" w:hAnsi="Times New Roman" w:cs="Times New Roman"/>
          <w:b/>
          <w:bCs/>
          <w:sz w:val="24"/>
          <w:szCs w:val="24"/>
        </w:rPr>
      </w:pPr>
      <w:r w:rsidRPr="00FC1CAC">
        <w:rPr>
          <w:rFonts w:ascii="Times New Roman" w:eastAsiaTheme="minorEastAsia" w:hAnsi="Times New Roman" w:cs="Times New Roman"/>
          <w:b/>
          <w:bCs/>
          <w:sz w:val="24"/>
          <w:szCs w:val="24"/>
        </w:rPr>
        <w:t>Strengths:</w:t>
      </w:r>
    </w:p>
    <w:p w14:paraId="7F05B9A9" w14:textId="402E9A56" w:rsidR="002F6F16" w:rsidRPr="00FC1CAC" w:rsidRDefault="00964123" w:rsidP="001867BB">
      <w:pPr>
        <w:pStyle w:val="ListParagraph"/>
        <w:numPr>
          <w:ilvl w:val="0"/>
          <w:numId w:val="10"/>
        </w:numPr>
        <w:spacing w:line="276" w:lineRule="auto"/>
        <w:jc w:val="both"/>
        <w:rPr>
          <w:rFonts w:ascii="Times New Roman" w:eastAsiaTheme="minorEastAsia" w:hAnsi="Times New Roman" w:cs="Times New Roman"/>
          <w:sz w:val="24"/>
          <w:szCs w:val="24"/>
        </w:rPr>
      </w:pPr>
      <w:r w:rsidRPr="00FC1CAC">
        <w:rPr>
          <w:rFonts w:ascii="Times New Roman" w:eastAsiaTheme="minorEastAsia" w:hAnsi="Times New Roman" w:cs="Times New Roman"/>
          <w:b/>
          <w:bCs/>
          <w:sz w:val="24"/>
          <w:szCs w:val="24"/>
        </w:rPr>
        <w:t xml:space="preserve">Revenue Growth: </w:t>
      </w:r>
      <w:r w:rsidR="002F6F16" w:rsidRPr="00FC1CAC">
        <w:rPr>
          <w:rFonts w:ascii="Times New Roman" w:eastAsiaTheme="minorEastAsia" w:hAnsi="Times New Roman" w:cs="Times New Roman"/>
          <w:sz w:val="24"/>
          <w:szCs w:val="24"/>
        </w:rPr>
        <w:t xml:space="preserve">The continuous increase in earnings indicates robust consumer demand and efficient business practices. </w:t>
      </w:r>
    </w:p>
    <w:p w14:paraId="49DF7CCD" w14:textId="77777777" w:rsidR="00F72106" w:rsidRPr="00FC1CAC" w:rsidRDefault="00F72106" w:rsidP="001867BB">
      <w:pPr>
        <w:pStyle w:val="ListParagraph"/>
        <w:numPr>
          <w:ilvl w:val="0"/>
          <w:numId w:val="10"/>
        </w:numPr>
        <w:spacing w:line="276" w:lineRule="auto"/>
        <w:jc w:val="both"/>
        <w:rPr>
          <w:rFonts w:ascii="Times New Roman" w:eastAsiaTheme="minorEastAsia" w:hAnsi="Times New Roman" w:cs="Times New Roman"/>
          <w:sz w:val="24"/>
          <w:szCs w:val="24"/>
        </w:rPr>
      </w:pPr>
      <w:r w:rsidRPr="00FC1CAC">
        <w:rPr>
          <w:rFonts w:ascii="Times New Roman" w:eastAsiaTheme="minorEastAsia" w:hAnsi="Times New Roman" w:cs="Times New Roman"/>
          <w:b/>
          <w:bCs/>
          <w:sz w:val="24"/>
          <w:szCs w:val="24"/>
        </w:rPr>
        <w:t>Gross Margin Stability:</w:t>
      </w:r>
      <w:r w:rsidRPr="00FC1CAC">
        <w:rPr>
          <w:rFonts w:ascii="Times New Roman" w:eastAsiaTheme="minorEastAsia" w:hAnsi="Times New Roman" w:cs="Times New Roman"/>
          <w:sz w:val="24"/>
          <w:szCs w:val="24"/>
        </w:rPr>
        <w:t xml:space="preserve"> Sustaining a gross margin of approximately 61% signifies efficient cost control and pricing tactics.</w:t>
      </w:r>
    </w:p>
    <w:p w14:paraId="2BC1E6C1" w14:textId="574EA753" w:rsidR="00CE54F2" w:rsidRPr="00FC1CAC" w:rsidRDefault="00D20A5D" w:rsidP="001867BB">
      <w:pPr>
        <w:pStyle w:val="ListParagraph"/>
        <w:numPr>
          <w:ilvl w:val="0"/>
          <w:numId w:val="10"/>
        </w:numPr>
        <w:spacing w:line="276" w:lineRule="auto"/>
        <w:jc w:val="both"/>
        <w:rPr>
          <w:rFonts w:ascii="Times New Roman" w:eastAsiaTheme="minorEastAsia" w:hAnsi="Times New Roman" w:cs="Times New Roman"/>
          <w:sz w:val="24"/>
          <w:szCs w:val="24"/>
        </w:rPr>
      </w:pPr>
      <w:r w:rsidRPr="00FC1CAC">
        <w:rPr>
          <w:rFonts w:ascii="Times New Roman" w:eastAsiaTheme="minorEastAsia" w:hAnsi="Times New Roman" w:cs="Times New Roman"/>
          <w:b/>
          <w:bCs/>
          <w:sz w:val="24"/>
          <w:szCs w:val="24"/>
        </w:rPr>
        <w:t>Expansion Initiatives:</w:t>
      </w:r>
      <w:r w:rsidRPr="00FC1CAC">
        <w:rPr>
          <w:rFonts w:ascii="Times New Roman" w:eastAsiaTheme="minorEastAsia" w:hAnsi="Times New Roman" w:cs="Times New Roman"/>
          <w:sz w:val="24"/>
          <w:szCs w:val="24"/>
        </w:rPr>
        <w:t xml:space="preserve"> The company has demonstrated its proactive commitment to acquiring market share and future-proofing its business model through strategic investments in additional depots and digital platforms</w:t>
      </w:r>
      <w:sdt>
        <w:sdtPr>
          <w:rPr>
            <w:rFonts w:ascii="Times New Roman" w:eastAsiaTheme="minorEastAsia" w:hAnsi="Times New Roman" w:cs="Times New Roman"/>
            <w:sz w:val="24"/>
            <w:szCs w:val="24"/>
          </w:rPr>
          <w:id w:val="-756757718"/>
          <w:citation/>
        </w:sdtPr>
        <w:sdtEndPr/>
        <w:sdtContent>
          <w:r w:rsidR="00EB6184" w:rsidRPr="00FC1CAC">
            <w:rPr>
              <w:rFonts w:ascii="Times New Roman" w:eastAsiaTheme="minorEastAsia" w:hAnsi="Times New Roman" w:cs="Times New Roman"/>
              <w:sz w:val="24"/>
              <w:szCs w:val="24"/>
            </w:rPr>
            <w:fldChar w:fldCharType="begin"/>
          </w:r>
          <w:r w:rsidR="00EB6184" w:rsidRPr="00FC1CAC">
            <w:rPr>
              <w:rFonts w:ascii="Times New Roman" w:eastAsiaTheme="minorEastAsia" w:hAnsi="Times New Roman" w:cs="Times New Roman"/>
              <w:sz w:val="24"/>
              <w:szCs w:val="24"/>
            </w:rPr>
            <w:instrText xml:space="preserve"> CITATION inv24 \l 1033 </w:instrText>
          </w:r>
          <w:r w:rsidR="00EB6184" w:rsidRPr="00FC1CAC">
            <w:rPr>
              <w:rFonts w:ascii="Times New Roman" w:eastAsiaTheme="minorEastAsia" w:hAnsi="Times New Roman" w:cs="Times New Roman"/>
              <w:sz w:val="24"/>
              <w:szCs w:val="24"/>
            </w:rPr>
            <w:fldChar w:fldCharType="separate"/>
          </w:r>
          <w:r w:rsidR="00E63F6D">
            <w:rPr>
              <w:rFonts w:ascii="Times New Roman" w:eastAsiaTheme="minorEastAsia" w:hAnsi="Times New Roman" w:cs="Times New Roman"/>
              <w:noProof/>
              <w:sz w:val="24"/>
              <w:szCs w:val="24"/>
            </w:rPr>
            <w:t xml:space="preserve"> </w:t>
          </w:r>
          <w:r w:rsidR="00E63F6D" w:rsidRPr="00E63F6D">
            <w:rPr>
              <w:rFonts w:ascii="Times New Roman" w:eastAsiaTheme="minorEastAsia" w:hAnsi="Times New Roman" w:cs="Times New Roman"/>
              <w:noProof/>
              <w:sz w:val="24"/>
              <w:szCs w:val="24"/>
            </w:rPr>
            <w:t>(investopedia, 2024)</w:t>
          </w:r>
          <w:r w:rsidR="00EB6184" w:rsidRPr="00FC1CAC">
            <w:rPr>
              <w:rFonts w:ascii="Times New Roman" w:eastAsiaTheme="minorEastAsia" w:hAnsi="Times New Roman" w:cs="Times New Roman"/>
              <w:sz w:val="24"/>
              <w:szCs w:val="24"/>
            </w:rPr>
            <w:fldChar w:fldCharType="end"/>
          </w:r>
        </w:sdtContent>
      </w:sdt>
      <w:r w:rsidRPr="00FC1CAC">
        <w:rPr>
          <w:rFonts w:ascii="Times New Roman" w:eastAsiaTheme="minorEastAsia" w:hAnsi="Times New Roman" w:cs="Times New Roman"/>
          <w:sz w:val="24"/>
          <w:szCs w:val="24"/>
        </w:rPr>
        <w:t>.</w:t>
      </w:r>
    </w:p>
    <w:p w14:paraId="10AFEC8E" w14:textId="77777777" w:rsidR="00CE54F2" w:rsidRPr="00CE54F2" w:rsidRDefault="00CE54F2" w:rsidP="001867BB">
      <w:pPr>
        <w:spacing w:line="276" w:lineRule="auto"/>
        <w:jc w:val="both"/>
        <w:rPr>
          <w:rFonts w:ascii="Times New Roman" w:eastAsiaTheme="minorEastAsia" w:hAnsi="Times New Roman" w:cs="Times New Roman"/>
          <w:sz w:val="24"/>
          <w:szCs w:val="24"/>
        </w:rPr>
      </w:pPr>
      <w:r w:rsidRPr="00CE54F2">
        <w:rPr>
          <w:rFonts w:ascii="Times New Roman" w:eastAsiaTheme="minorEastAsia" w:hAnsi="Times New Roman" w:cs="Times New Roman"/>
          <w:b/>
          <w:bCs/>
          <w:sz w:val="24"/>
          <w:szCs w:val="24"/>
        </w:rPr>
        <w:t>Weaknesses:</w:t>
      </w:r>
    </w:p>
    <w:p w14:paraId="4812C42D" w14:textId="5E440C9D" w:rsidR="00CE54F2" w:rsidRPr="00FC1CAC" w:rsidRDefault="00CE54F2" w:rsidP="001867BB">
      <w:pPr>
        <w:pStyle w:val="ListParagraph"/>
        <w:numPr>
          <w:ilvl w:val="0"/>
          <w:numId w:val="12"/>
        </w:numPr>
        <w:spacing w:line="276" w:lineRule="auto"/>
        <w:jc w:val="both"/>
        <w:rPr>
          <w:rFonts w:ascii="Times New Roman" w:eastAsiaTheme="minorEastAsia" w:hAnsi="Times New Roman" w:cs="Times New Roman"/>
          <w:sz w:val="24"/>
          <w:szCs w:val="24"/>
        </w:rPr>
      </w:pPr>
      <w:r w:rsidRPr="00FC1CAC">
        <w:rPr>
          <w:rFonts w:ascii="Times New Roman" w:eastAsiaTheme="minorEastAsia" w:hAnsi="Times New Roman" w:cs="Times New Roman"/>
          <w:b/>
          <w:bCs/>
          <w:sz w:val="24"/>
          <w:szCs w:val="24"/>
        </w:rPr>
        <w:t>Declining Operating Profit Margin:</w:t>
      </w:r>
      <w:r w:rsidRPr="00FC1CAC">
        <w:rPr>
          <w:rFonts w:ascii="Times New Roman" w:eastAsiaTheme="minorEastAsia" w:hAnsi="Times New Roman" w:cs="Times New Roman"/>
          <w:sz w:val="24"/>
          <w:szCs w:val="24"/>
        </w:rPr>
        <w:t xml:space="preserve"> </w:t>
      </w:r>
      <w:r w:rsidR="00A467AA" w:rsidRPr="00FC1CAC">
        <w:rPr>
          <w:rFonts w:ascii="Times New Roman" w:eastAsiaTheme="minorEastAsia" w:hAnsi="Times New Roman" w:cs="Times New Roman"/>
          <w:sz w:val="24"/>
          <w:szCs w:val="24"/>
        </w:rPr>
        <w:t>Howdens has ensured that it has kept adequate cash on its balance sheet through decent Cash flow from operations. This is evident by the large amounts of cash that most of them have on their balance sheets.</w:t>
      </w:r>
    </w:p>
    <w:p w14:paraId="726C7930" w14:textId="1685AA7E" w:rsidR="00686562" w:rsidRDefault="00CE54F2" w:rsidP="001867BB">
      <w:pPr>
        <w:pStyle w:val="ListParagraph"/>
        <w:numPr>
          <w:ilvl w:val="0"/>
          <w:numId w:val="12"/>
        </w:numPr>
        <w:spacing w:line="276" w:lineRule="auto"/>
        <w:jc w:val="both"/>
        <w:rPr>
          <w:rFonts w:ascii="Times New Roman" w:eastAsiaTheme="minorEastAsia" w:hAnsi="Times New Roman" w:cs="Times New Roman"/>
          <w:sz w:val="24"/>
          <w:szCs w:val="24"/>
        </w:rPr>
      </w:pPr>
      <w:r w:rsidRPr="00FC1CAC">
        <w:rPr>
          <w:rFonts w:ascii="Times New Roman" w:eastAsiaTheme="minorEastAsia" w:hAnsi="Times New Roman" w:cs="Times New Roman"/>
          <w:b/>
          <w:bCs/>
          <w:sz w:val="24"/>
          <w:szCs w:val="24"/>
        </w:rPr>
        <w:t>Increased Operating Costs:</w:t>
      </w:r>
      <w:r w:rsidRPr="00FC1CAC">
        <w:rPr>
          <w:rFonts w:ascii="Times New Roman" w:eastAsiaTheme="minorEastAsia" w:hAnsi="Times New Roman" w:cs="Times New Roman"/>
          <w:sz w:val="24"/>
          <w:szCs w:val="24"/>
        </w:rPr>
        <w:t xml:space="preserve"> </w:t>
      </w:r>
      <w:r w:rsidR="00B71742" w:rsidRPr="00FC1CAC">
        <w:rPr>
          <w:rFonts w:ascii="Times New Roman" w:eastAsiaTheme="minorEastAsia" w:hAnsi="Times New Roman" w:cs="Times New Roman"/>
          <w:sz w:val="24"/>
          <w:szCs w:val="24"/>
        </w:rPr>
        <w:t>The costs of expansion are reflected in the increase in marketing, distribution, and administrative expenses, which could put pressure on short-term profitability.</w:t>
      </w:r>
    </w:p>
    <w:p w14:paraId="441BA039" w14:textId="77777777" w:rsidR="00E63F6D" w:rsidRDefault="00E63F6D" w:rsidP="00E63F6D">
      <w:pPr>
        <w:spacing w:line="276" w:lineRule="auto"/>
        <w:jc w:val="both"/>
        <w:rPr>
          <w:rFonts w:ascii="Times New Roman" w:eastAsiaTheme="minorEastAsia" w:hAnsi="Times New Roman" w:cs="Times New Roman"/>
          <w:sz w:val="24"/>
          <w:szCs w:val="24"/>
        </w:rPr>
      </w:pPr>
    </w:p>
    <w:p w14:paraId="040BF428" w14:textId="77777777" w:rsidR="00E63F6D" w:rsidRPr="00E63F6D" w:rsidRDefault="00E63F6D" w:rsidP="00E63F6D">
      <w:pPr>
        <w:spacing w:line="276" w:lineRule="auto"/>
        <w:jc w:val="both"/>
        <w:rPr>
          <w:rFonts w:ascii="Times New Roman" w:eastAsiaTheme="minorEastAsia" w:hAnsi="Times New Roman" w:cs="Times New Roman"/>
          <w:sz w:val="24"/>
          <w:szCs w:val="24"/>
        </w:rPr>
      </w:pPr>
    </w:p>
    <w:p w14:paraId="5CBCBA68" w14:textId="77777777" w:rsidR="00E63F6D" w:rsidRPr="00E63F6D" w:rsidRDefault="00E63F6D" w:rsidP="00E63F6D">
      <w:pPr>
        <w:pStyle w:val="ListParagraph"/>
        <w:spacing w:line="276" w:lineRule="auto"/>
        <w:jc w:val="both"/>
        <w:rPr>
          <w:rFonts w:ascii="Times New Roman" w:eastAsiaTheme="minorEastAsia" w:hAnsi="Times New Roman" w:cs="Times New Roman"/>
          <w:sz w:val="24"/>
          <w:szCs w:val="24"/>
        </w:rPr>
      </w:pPr>
    </w:p>
    <w:p w14:paraId="16FE0443" w14:textId="77777777" w:rsidR="000954FD" w:rsidRPr="00914D78" w:rsidRDefault="00686562" w:rsidP="001867BB">
      <w:pPr>
        <w:spacing w:line="276" w:lineRule="auto"/>
        <w:jc w:val="both"/>
        <w:rPr>
          <w:rFonts w:ascii="Times New Roman" w:eastAsiaTheme="minorEastAsia" w:hAnsi="Times New Roman" w:cs="Times New Roman"/>
          <w:b/>
          <w:bCs/>
          <w:sz w:val="24"/>
          <w:szCs w:val="24"/>
        </w:rPr>
      </w:pPr>
      <w:r w:rsidRPr="00914D78">
        <w:rPr>
          <w:rFonts w:ascii="Times New Roman" w:eastAsiaTheme="minorEastAsia" w:hAnsi="Times New Roman" w:cs="Times New Roman"/>
          <w:b/>
          <w:bCs/>
          <w:sz w:val="24"/>
          <w:szCs w:val="24"/>
        </w:rPr>
        <w:lastRenderedPageBreak/>
        <w:t>Critical Analysis</w:t>
      </w:r>
    </w:p>
    <w:p w14:paraId="59C41205" w14:textId="19A2D625" w:rsidR="0034442A" w:rsidRPr="00FC1CAC" w:rsidRDefault="0034442A" w:rsidP="001867BB">
      <w:pPr>
        <w:spacing w:line="276" w:lineRule="auto"/>
        <w:ind w:firstLine="720"/>
        <w:jc w:val="both"/>
        <w:rPr>
          <w:rFonts w:ascii="Times New Roman" w:eastAsiaTheme="minorEastAsia" w:hAnsi="Times New Roman" w:cs="Times New Roman"/>
          <w:sz w:val="24"/>
          <w:szCs w:val="24"/>
        </w:rPr>
      </w:pPr>
      <w:r w:rsidRPr="00FC1CAC">
        <w:rPr>
          <w:rFonts w:ascii="Times New Roman" w:eastAsiaTheme="minorEastAsia" w:hAnsi="Times New Roman" w:cs="Times New Roman"/>
          <w:sz w:val="24"/>
          <w:szCs w:val="24"/>
        </w:rPr>
        <w:t>Howdens Joinery PLC has seen rapid expansion over the last three years, but increased operational expenses have resulted in a drop in profit margins. This highlights the normal problem that businesses confront when balancing growth with profitability. The company's investments in new depots and digital infrastructure are designed to increase market presence and efficiency. However, careful management is essential to ensure that these investments provide long-term profits.</w:t>
      </w:r>
    </w:p>
    <w:p w14:paraId="14D469D3" w14:textId="77777777" w:rsidR="00C62426" w:rsidRDefault="00C62426" w:rsidP="001867BB">
      <w:pPr>
        <w:spacing w:line="276" w:lineRule="auto"/>
        <w:jc w:val="both"/>
        <w:rPr>
          <w:rFonts w:ascii="Times New Roman" w:hAnsi="Times New Roman" w:cs="Times New Roman"/>
          <w:sz w:val="24"/>
          <w:szCs w:val="24"/>
        </w:rPr>
      </w:pPr>
    </w:p>
    <w:p w14:paraId="236C44EA" w14:textId="77777777" w:rsidR="00C62426" w:rsidRDefault="00C62426" w:rsidP="001867BB">
      <w:pPr>
        <w:spacing w:line="276" w:lineRule="auto"/>
        <w:jc w:val="both"/>
        <w:rPr>
          <w:rFonts w:ascii="Times New Roman" w:hAnsi="Times New Roman" w:cs="Times New Roman"/>
          <w:sz w:val="24"/>
          <w:szCs w:val="24"/>
        </w:rPr>
      </w:pPr>
    </w:p>
    <w:p w14:paraId="11560A37" w14:textId="77777777" w:rsidR="00C62426" w:rsidRDefault="00C62426" w:rsidP="001867BB">
      <w:pPr>
        <w:spacing w:line="276" w:lineRule="auto"/>
        <w:jc w:val="both"/>
        <w:rPr>
          <w:rFonts w:ascii="Times New Roman" w:hAnsi="Times New Roman" w:cs="Times New Roman"/>
          <w:sz w:val="24"/>
          <w:szCs w:val="24"/>
        </w:rPr>
      </w:pPr>
    </w:p>
    <w:p w14:paraId="2797A859" w14:textId="77777777" w:rsidR="00C62426" w:rsidRDefault="00C62426" w:rsidP="001867BB">
      <w:pPr>
        <w:spacing w:line="276" w:lineRule="auto"/>
        <w:jc w:val="both"/>
        <w:rPr>
          <w:rFonts w:ascii="Times New Roman" w:hAnsi="Times New Roman" w:cs="Times New Roman"/>
          <w:sz w:val="24"/>
          <w:szCs w:val="24"/>
        </w:rPr>
      </w:pPr>
    </w:p>
    <w:p w14:paraId="7AC87D3E" w14:textId="3E8F8A63" w:rsidR="00C62426" w:rsidRDefault="00E63F6D" w:rsidP="00E63F6D">
      <w:pPr>
        <w:rPr>
          <w:rFonts w:ascii="Times New Roman" w:hAnsi="Times New Roman" w:cs="Times New Roman"/>
          <w:sz w:val="24"/>
          <w:szCs w:val="24"/>
        </w:rPr>
      </w:pPr>
      <w:r>
        <w:rPr>
          <w:rFonts w:ascii="Times New Roman" w:hAnsi="Times New Roman" w:cs="Times New Roman"/>
          <w:sz w:val="24"/>
          <w:szCs w:val="24"/>
        </w:rPr>
        <w:br w:type="page"/>
      </w:r>
    </w:p>
    <w:p w14:paraId="70BFAF01" w14:textId="77777777" w:rsidR="00C62426" w:rsidRDefault="00C62426" w:rsidP="001867BB">
      <w:pPr>
        <w:spacing w:line="276"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05153642"/>
        <w:docPartObj>
          <w:docPartGallery w:val="Bibliographies"/>
          <w:docPartUnique/>
        </w:docPartObj>
      </w:sdtPr>
      <w:sdtEndPr/>
      <w:sdtContent>
        <w:p w14:paraId="2C1D503A" w14:textId="0F8121FF" w:rsidR="00C62426" w:rsidRDefault="00C62426" w:rsidP="001867BB">
          <w:pPr>
            <w:pStyle w:val="Heading1"/>
            <w:spacing w:line="276" w:lineRule="auto"/>
          </w:pPr>
          <w:r>
            <w:t>References</w:t>
          </w:r>
        </w:p>
        <w:sdt>
          <w:sdtPr>
            <w:id w:val="-573587230"/>
            <w:bibliography/>
          </w:sdtPr>
          <w:sdtEndPr/>
          <w:sdtContent>
            <w:p w14:paraId="18A04532" w14:textId="77777777" w:rsidR="00E63F6D" w:rsidRDefault="00C62426" w:rsidP="00E63F6D">
              <w:pPr>
                <w:pStyle w:val="Bibliography"/>
                <w:rPr>
                  <w:noProof/>
                  <w:sz w:val="24"/>
                  <w:szCs w:val="24"/>
                </w:rPr>
              </w:pPr>
              <w:r>
                <w:fldChar w:fldCharType="begin"/>
              </w:r>
              <w:r>
                <w:instrText xml:space="preserve"> BIBLIOGRAPHY </w:instrText>
              </w:r>
              <w:r>
                <w:fldChar w:fldCharType="separate"/>
              </w:r>
              <w:r w:rsidR="00E63F6D">
                <w:rPr>
                  <w:noProof/>
                </w:rPr>
                <w:t xml:space="preserve">A Nikkei Company, 2024. </w:t>
              </w:r>
              <w:r w:rsidR="00E63F6D">
                <w:rPr>
                  <w:i/>
                  <w:iCs/>
                  <w:noProof/>
                </w:rPr>
                <w:t xml:space="preserve">Financial Times. </w:t>
              </w:r>
              <w:r w:rsidR="00E63F6D">
                <w:rPr>
                  <w:noProof/>
                </w:rPr>
                <w:t xml:space="preserve">[Online] </w:t>
              </w:r>
              <w:r w:rsidR="00E63F6D">
                <w:rPr>
                  <w:noProof/>
                </w:rPr>
                <w:br/>
                <w:t xml:space="preserve">Available at: </w:t>
              </w:r>
              <w:r w:rsidR="00E63F6D">
                <w:rPr>
                  <w:noProof/>
                  <w:u w:val="single"/>
                </w:rPr>
                <w:t>https://markets.ft.com/data/equities/tearsheet/financials?s=HWDN:LSE</w:t>
              </w:r>
              <w:r w:rsidR="00E63F6D">
                <w:rPr>
                  <w:noProof/>
                </w:rPr>
                <w:br/>
                <w:t>[Accessed 29 07 2024].</w:t>
              </w:r>
            </w:p>
            <w:p w14:paraId="578B45B6" w14:textId="77777777" w:rsidR="00E63F6D" w:rsidRDefault="00E63F6D" w:rsidP="00E63F6D">
              <w:pPr>
                <w:pStyle w:val="Bibliography"/>
                <w:rPr>
                  <w:noProof/>
                </w:rPr>
              </w:pPr>
              <w:r>
                <w:rPr>
                  <w:noProof/>
                </w:rPr>
                <w:t xml:space="preserve">howdens, 2024. </w:t>
              </w:r>
              <w:r>
                <w:rPr>
                  <w:i/>
                  <w:iCs/>
                  <w:noProof/>
                </w:rPr>
                <w:t xml:space="preserve">2023 Full Year Results. </w:t>
              </w:r>
              <w:r>
                <w:rPr>
                  <w:noProof/>
                </w:rPr>
                <w:t xml:space="preserve">[Online] </w:t>
              </w:r>
              <w:r>
                <w:rPr>
                  <w:noProof/>
                </w:rPr>
                <w:br/>
                <w:t xml:space="preserve">Available at: </w:t>
              </w:r>
              <w:r>
                <w:rPr>
                  <w:noProof/>
                  <w:u w:val="single"/>
                </w:rPr>
                <w:t>https://www.howdenjoinerygroupplc.com/media-centre/archive/2024/290224</w:t>
              </w:r>
              <w:r>
                <w:rPr>
                  <w:noProof/>
                </w:rPr>
                <w:br/>
                <w:t>[Accessed 29 07 2024].</w:t>
              </w:r>
            </w:p>
            <w:p w14:paraId="14FE39F3" w14:textId="77777777" w:rsidR="00E63F6D" w:rsidRDefault="00E63F6D" w:rsidP="00E63F6D">
              <w:pPr>
                <w:pStyle w:val="Bibliography"/>
                <w:rPr>
                  <w:noProof/>
                </w:rPr>
              </w:pPr>
              <w:r>
                <w:rPr>
                  <w:noProof/>
                </w:rPr>
                <w:t xml:space="preserve">investopedia, 2024. </w:t>
              </w:r>
              <w:r>
                <w:rPr>
                  <w:i/>
                  <w:iCs/>
                  <w:noProof/>
                </w:rPr>
                <w:t xml:space="preserve">Gross Margin: Definition, Example, Formula, and How to Calculate. </w:t>
              </w:r>
              <w:r>
                <w:rPr>
                  <w:noProof/>
                </w:rPr>
                <w:t xml:space="preserve">[Online] </w:t>
              </w:r>
              <w:r>
                <w:rPr>
                  <w:noProof/>
                </w:rPr>
                <w:br/>
                <w:t xml:space="preserve">Available at: </w:t>
              </w:r>
              <w:r>
                <w:rPr>
                  <w:noProof/>
                  <w:u w:val="single"/>
                </w:rPr>
                <w:t>https://www.investopedia.com/terms/g/grossmargin.asp</w:t>
              </w:r>
              <w:r>
                <w:rPr>
                  <w:noProof/>
                </w:rPr>
                <w:br/>
                <w:t>[Accessed 27 7 2024].</w:t>
              </w:r>
            </w:p>
            <w:p w14:paraId="7801E927" w14:textId="77777777" w:rsidR="00E63F6D" w:rsidRDefault="00E63F6D" w:rsidP="00E63F6D">
              <w:pPr>
                <w:pStyle w:val="Bibliography"/>
                <w:rPr>
                  <w:noProof/>
                </w:rPr>
              </w:pPr>
              <w:r>
                <w:rPr>
                  <w:noProof/>
                </w:rPr>
                <w:t xml:space="preserve">Ltd, H. J., 2024. </w:t>
              </w:r>
              <w:r>
                <w:rPr>
                  <w:i/>
                  <w:iCs/>
                  <w:noProof/>
                </w:rPr>
                <w:t xml:space="preserve">HOWDENS Making space more valuable. </w:t>
              </w:r>
              <w:r>
                <w:rPr>
                  <w:noProof/>
                </w:rPr>
                <w:t xml:space="preserve">[Online] </w:t>
              </w:r>
              <w:r>
                <w:rPr>
                  <w:noProof/>
                </w:rPr>
                <w:br/>
                <w:t xml:space="preserve">Available at: </w:t>
              </w:r>
              <w:r>
                <w:rPr>
                  <w:noProof/>
                  <w:u w:val="single"/>
                </w:rPr>
                <w:t>https://www.howdenjoinerygroupplc.com/investors/results-reports-and-presentations/results-centre</w:t>
              </w:r>
              <w:r>
                <w:rPr>
                  <w:noProof/>
                </w:rPr>
                <w:br/>
                <w:t>[Accessed 29 07 2024].</w:t>
              </w:r>
            </w:p>
            <w:p w14:paraId="7C5A811D" w14:textId="77777777" w:rsidR="00E63F6D" w:rsidRDefault="00E63F6D" w:rsidP="00E63F6D">
              <w:pPr>
                <w:pStyle w:val="Bibliography"/>
                <w:rPr>
                  <w:noProof/>
                </w:rPr>
              </w:pPr>
              <w:r>
                <w:rPr>
                  <w:noProof/>
                </w:rPr>
                <w:t xml:space="preserve">Ltd, H. J., 2024. </w:t>
              </w:r>
              <w:r>
                <w:rPr>
                  <w:i/>
                  <w:iCs/>
                  <w:noProof/>
                </w:rPr>
                <w:t xml:space="preserve">Reports for each year back to 2006. </w:t>
              </w:r>
              <w:r>
                <w:rPr>
                  <w:noProof/>
                </w:rPr>
                <w:t xml:space="preserve">[Online] </w:t>
              </w:r>
              <w:r>
                <w:rPr>
                  <w:noProof/>
                </w:rPr>
                <w:br/>
                <w:t xml:space="preserve">Available at: </w:t>
              </w:r>
              <w:r>
                <w:rPr>
                  <w:noProof/>
                  <w:u w:val="single"/>
                </w:rPr>
                <w:t>https://www.howdenjoinerygroupplc.com/investors/results-reports-and-presentations/annual-reports</w:t>
              </w:r>
              <w:r>
                <w:rPr>
                  <w:noProof/>
                </w:rPr>
                <w:br/>
                <w:t>[Accessed 28 07 2024].</w:t>
              </w:r>
            </w:p>
            <w:p w14:paraId="371830CB" w14:textId="77777777" w:rsidR="00E63F6D" w:rsidRDefault="00E63F6D" w:rsidP="00E63F6D">
              <w:pPr>
                <w:pStyle w:val="Bibliography"/>
                <w:rPr>
                  <w:noProof/>
                </w:rPr>
              </w:pPr>
              <w:r>
                <w:rPr>
                  <w:noProof/>
                </w:rPr>
                <w:t xml:space="preserve">PLC, H. J. G., 2023. </w:t>
              </w:r>
              <w:r>
                <w:rPr>
                  <w:i/>
                  <w:iCs/>
                  <w:noProof/>
                </w:rPr>
                <w:t xml:space="preserve">Howden Joinery : 2022 Annual Report and Accounts. </w:t>
              </w:r>
              <w:r>
                <w:rPr>
                  <w:noProof/>
                </w:rPr>
                <w:t xml:space="preserve">[Online] </w:t>
              </w:r>
              <w:r>
                <w:rPr>
                  <w:noProof/>
                </w:rPr>
                <w:br/>
                <w:t xml:space="preserve">Available at: </w:t>
              </w:r>
              <w:r>
                <w:rPr>
                  <w:noProof/>
                  <w:u w:val="single"/>
                </w:rPr>
                <w:t>https://www.marketscreener.com/quote/stock/HOWDEN-JOINERY-GROUP-PLC-4002136/news/Howden-Joinery-2022-Annual-Report-and-Accounts-43363699/</w:t>
              </w:r>
              <w:r>
                <w:rPr>
                  <w:noProof/>
                </w:rPr>
                <w:br/>
                <w:t>[Accessed 28 07 2024].</w:t>
              </w:r>
            </w:p>
            <w:p w14:paraId="3614ADF2" w14:textId="77777777" w:rsidR="00E63F6D" w:rsidRDefault="00E63F6D" w:rsidP="00E63F6D">
              <w:pPr>
                <w:pStyle w:val="Bibliography"/>
                <w:rPr>
                  <w:noProof/>
                </w:rPr>
              </w:pPr>
              <w:r>
                <w:rPr>
                  <w:noProof/>
                </w:rPr>
                <w:t xml:space="preserve">screneer, m., 2023. </w:t>
              </w:r>
              <w:r>
                <w:rPr>
                  <w:i/>
                  <w:iCs/>
                  <w:noProof/>
                </w:rPr>
                <w:t xml:space="preserve">Further market share gains and on track for 2023. </w:t>
              </w:r>
              <w:r>
                <w:rPr>
                  <w:noProof/>
                </w:rPr>
                <w:t xml:space="preserve">[Online] </w:t>
              </w:r>
              <w:r>
                <w:rPr>
                  <w:noProof/>
                </w:rPr>
                <w:br/>
                <w:t xml:space="preserve">Available at: </w:t>
              </w:r>
              <w:r>
                <w:rPr>
                  <w:noProof/>
                  <w:u w:val="single"/>
                </w:rPr>
                <w:t>https://www.howdenjoinerygroupplc.com/investors/results-reports-and-presentations/latest-results-announcement</w:t>
              </w:r>
              <w:r>
                <w:rPr>
                  <w:noProof/>
                </w:rPr>
                <w:br/>
                <w:t>[Accessed 28 07 2024].</w:t>
              </w:r>
            </w:p>
            <w:p w14:paraId="5261DA5B" w14:textId="77777777" w:rsidR="00E63F6D" w:rsidRDefault="00E63F6D" w:rsidP="00E63F6D">
              <w:pPr>
                <w:pStyle w:val="Bibliography"/>
                <w:rPr>
                  <w:noProof/>
                </w:rPr>
              </w:pPr>
              <w:r>
                <w:rPr>
                  <w:noProof/>
                </w:rPr>
                <w:t xml:space="preserve">team, C., 2024. </w:t>
              </w:r>
              <w:r>
                <w:rPr>
                  <w:i/>
                  <w:iCs/>
                  <w:noProof/>
                </w:rPr>
                <w:t xml:space="preserve">Limitations of Ratio Analysis. </w:t>
              </w:r>
              <w:r>
                <w:rPr>
                  <w:noProof/>
                </w:rPr>
                <w:t xml:space="preserve">[Online] </w:t>
              </w:r>
              <w:r>
                <w:rPr>
                  <w:noProof/>
                </w:rPr>
                <w:br/>
                <w:t xml:space="preserve">Available at: </w:t>
              </w:r>
              <w:r>
                <w:rPr>
                  <w:noProof/>
                  <w:u w:val="single"/>
                </w:rPr>
                <w:t>https://corporatefinanceinstitute.com/resources/accounting/limitations-ratio-analysis/</w:t>
              </w:r>
              <w:r>
                <w:rPr>
                  <w:noProof/>
                </w:rPr>
                <w:br/>
                <w:t>[Accessed 27 07 2024].</w:t>
              </w:r>
            </w:p>
            <w:p w14:paraId="0F02ACCE" w14:textId="77777777" w:rsidR="00E63F6D" w:rsidRDefault="00E63F6D" w:rsidP="00E63F6D">
              <w:pPr>
                <w:pStyle w:val="Bibliography"/>
                <w:rPr>
                  <w:noProof/>
                </w:rPr>
              </w:pPr>
              <w:r>
                <w:rPr>
                  <w:noProof/>
                </w:rPr>
                <w:t xml:space="preserve">toppors from bujjus, 2023. </w:t>
              </w:r>
              <w:r>
                <w:rPr>
                  <w:i/>
                  <w:iCs/>
                  <w:noProof/>
                </w:rPr>
                <w:t xml:space="preserve">Accounting Ratios. </w:t>
              </w:r>
              <w:r>
                <w:rPr>
                  <w:noProof/>
                </w:rPr>
                <w:t xml:space="preserve">[Online] </w:t>
              </w:r>
              <w:r>
                <w:rPr>
                  <w:noProof/>
                </w:rPr>
                <w:br/>
                <w:t xml:space="preserve">Available at: </w:t>
              </w:r>
              <w:r>
                <w:rPr>
                  <w:noProof/>
                  <w:u w:val="single"/>
                </w:rPr>
                <w:t>https://toppr.com/guides/accountancy/accounting-ratios/meaning-objectives-advantages-and-limitations-of-ratio-analysis/</w:t>
              </w:r>
              <w:r>
                <w:rPr>
                  <w:noProof/>
                </w:rPr>
                <w:br/>
                <w:t>[Accessed 27 07 2024].</w:t>
              </w:r>
            </w:p>
            <w:p w14:paraId="74AC02D8" w14:textId="77777777" w:rsidR="00E63F6D" w:rsidRDefault="00E63F6D" w:rsidP="00E63F6D">
              <w:pPr>
                <w:pStyle w:val="Bibliography"/>
                <w:rPr>
                  <w:noProof/>
                </w:rPr>
              </w:pPr>
              <w:r>
                <w:rPr>
                  <w:noProof/>
                </w:rPr>
                <w:t xml:space="preserve">WSO, 2023. </w:t>
              </w:r>
              <w:r>
                <w:rPr>
                  <w:i/>
                  <w:iCs/>
                  <w:noProof/>
                </w:rPr>
                <w:t xml:space="preserve">Limitations of Ratio Analysis. </w:t>
              </w:r>
              <w:r>
                <w:rPr>
                  <w:noProof/>
                </w:rPr>
                <w:t xml:space="preserve">[Online] </w:t>
              </w:r>
              <w:r>
                <w:rPr>
                  <w:noProof/>
                </w:rPr>
                <w:br/>
                <w:t xml:space="preserve">Available at: </w:t>
              </w:r>
              <w:r>
                <w:rPr>
                  <w:noProof/>
                  <w:u w:val="single"/>
                </w:rPr>
                <w:t>https://www.wallstreetoasis.com/resources/skills/finance/limitations-ratio-analysis</w:t>
              </w:r>
              <w:r>
                <w:rPr>
                  <w:noProof/>
                </w:rPr>
                <w:br/>
                <w:t>[Accessed 26 7 2024 ].</w:t>
              </w:r>
            </w:p>
            <w:p w14:paraId="7B9B9390" w14:textId="70267C72" w:rsidR="00C62426" w:rsidRDefault="00C62426" w:rsidP="00E63F6D">
              <w:pPr>
                <w:spacing w:line="276" w:lineRule="auto"/>
              </w:pPr>
              <w:r>
                <w:rPr>
                  <w:b/>
                  <w:bCs/>
                  <w:noProof/>
                </w:rPr>
                <w:fldChar w:fldCharType="end"/>
              </w:r>
            </w:p>
          </w:sdtContent>
        </w:sdt>
      </w:sdtContent>
    </w:sdt>
    <w:p w14:paraId="7B04E6AA" w14:textId="77777777" w:rsidR="00C62426" w:rsidRPr="00C62426" w:rsidRDefault="00C62426" w:rsidP="001867BB">
      <w:pPr>
        <w:spacing w:line="276" w:lineRule="auto"/>
        <w:jc w:val="both"/>
        <w:rPr>
          <w:rFonts w:ascii="Times New Roman" w:hAnsi="Times New Roman" w:cs="Times New Roman"/>
          <w:sz w:val="24"/>
          <w:szCs w:val="24"/>
        </w:rPr>
      </w:pPr>
    </w:p>
    <w:sectPr w:rsidR="00C62426" w:rsidRPr="00C62426" w:rsidSect="00C6242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025"/>
    <w:multiLevelType w:val="hybridMultilevel"/>
    <w:tmpl w:val="B7DC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12AF7"/>
    <w:multiLevelType w:val="hybridMultilevel"/>
    <w:tmpl w:val="76C28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9101D"/>
    <w:multiLevelType w:val="hybridMultilevel"/>
    <w:tmpl w:val="C74433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03677B"/>
    <w:multiLevelType w:val="hybridMultilevel"/>
    <w:tmpl w:val="57F0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47CBD"/>
    <w:multiLevelType w:val="multilevel"/>
    <w:tmpl w:val="5454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A0E77"/>
    <w:multiLevelType w:val="hybridMultilevel"/>
    <w:tmpl w:val="5136E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67910"/>
    <w:multiLevelType w:val="hybridMultilevel"/>
    <w:tmpl w:val="395A8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2871E4"/>
    <w:multiLevelType w:val="multilevel"/>
    <w:tmpl w:val="F222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B2802"/>
    <w:multiLevelType w:val="hybridMultilevel"/>
    <w:tmpl w:val="60C4A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66FCB"/>
    <w:multiLevelType w:val="multilevel"/>
    <w:tmpl w:val="26C6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D4A5D"/>
    <w:multiLevelType w:val="hybridMultilevel"/>
    <w:tmpl w:val="B4E64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9491E"/>
    <w:multiLevelType w:val="hybridMultilevel"/>
    <w:tmpl w:val="81B47A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A682F"/>
    <w:multiLevelType w:val="hybridMultilevel"/>
    <w:tmpl w:val="1CD8E3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77A07"/>
    <w:multiLevelType w:val="hybridMultilevel"/>
    <w:tmpl w:val="E134270A"/>
    <w:lvl w:ilvl="0" w:tplc="2A5EA1F0">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43422"/>
    <w:multiLevelType w:val="hybridMultilevel"/>
    <w:tmpl w:val="6D20E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6C559C"/>
    <w:multiLevelType w:val="hybridMultilevel"/>
    <w:tmpl w:val="30848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644CD5"/>
    <w:multiLevelType w:val="hybridMultilevel"/>
    <w:tmpl w:val="3F7E4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31815">
    <w:abstractNumId w:val="10"/>
  </w:num>
  <w:num w:numId="2" w16cid:durableId="91558780">
    <w:abstractNumId w:val="8"/>
  </w:num>
  <w:num w:numId="3" w16cid:durableId="1817063035">
    <w:abstractNumId w:val="11"/>
  </w:num>
  <w:num w:numId="4" w16cid:durableId="167136537">
    <w:abstractNumId w:val="0"/>
  </w:num>
  <w:num w:numId="5" w16cid:durableId="1511603529">
    <w:abstractNumId w:val="14"/>
  </w:num>
  <w:num w:numId="6" w16cid:durableId="2017339642">
    <w:abstractNumId w:val="6"/>
  </w:num>
  <w:num w:numId="7" w16cid:durableId="1099062344">
    <w:abstractNumId w:val="2"/>
  </w:num>
  <w:num w:numId="8" w16cid:durableId="1959725683">
    <w:abstractNumId w:val="3"/>
  </w:num>
  <w:num w:numId="9" w16cid:durableId="1796828353">
    <w:abstractNumId w:val="15"/>
  </w:num>
  <w:num w:numId="10" w16cid:durableId="1100104810">
    <w:abstractNumId w:val="12"/>
  </w:num>
  <w:num w:numId="11" w16cid:durableId="616064408">
    <w:abstractNumId w:val="9"/>
  </w:num>
  <w:num w:numId="12" w16cid:durableId="825895244">
    <w:abstractNumId w:val="1"/>
  </w:num>
  <w:num w:numId="13" w16cid:durableId="1325938431">
    <w:abstractNumId w:val="13"/>
  </w:num>
  <w:num w:numId="14" w16cid:durableId="236404297">
    <w:abstractNumId w:val="5"/>
  </w:num>
  <w:num w:numId="15" w16cid:durableId="1454133781">
    <w:abstractNumId w:val="4"/>
  </w:num>
  <w:num w:numId="16" w16cid:durableId="1770391604">
    <w:abstractNumId w:val="7"/>
  </w:num>
  <w:num w:numId="17" w16cid:durableId="16759147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82"/>
    <w:rsid w:val="00024491"/>
    <w:rsid w:val="00033738"/>
    <w:rsid w:val="00070F5C"/>
    <w:rsid w:val="000765E6"/>
    <w:rsid w:val="00092790"/>
    <w:rsid w:val="00093EF8"/>
    <w:rsid w:val="000954FD"/>
    <w:rsid w:val="000B4056"/>
    <w:rsid w:val="00111182"/>
    <w:rsid w:val="00117C56"/>
    <w:rsid w:val="00132B71"/>
    <w:rsid w:val="001867BB"/>
    <w:rsid w:val="001B2E88"/>
    <w:rsid w:val="00234FB9"/>
    <w:rsid w:val="00272555"/>
    <w:rsid w:val="002C0A9A"/>
    <w:rsid w:val="002C7BC5"/>
    <w:rsid w:val="002F6F16"/>
    <w:rsid w:val="00335B63"/>
    <w:rsid w:val="0034442A"/>
    <w:rsid w:val="00356E61"/>
    <w:rsid w:val="003655D9"/>
    <w:rsid w:val="003745C9"/>
    <w:rsid w:val="003755A1"/>
    <w:rsid w:val="003B4216"/>
    <w:rsid w:val="00423557"/>
    <w:rsid w:val="00426549"/>
    <w:rsid w:val="004322EB"/>
    <w:rsid w:val="004348DA"/>
    <w:rsid w:val="00465E5F"/>
    <w:rsid w:val="00473245"/>
    <w:rsid w:val="0048251D"/>
    <w:rsid w:val="004A243C"/>
    <w:rsid w:val="00522575"/>
    <w:rsid w:val="00531046"/>
    <w:rsid w:val="0056303E"/>
    <w:rsid w:val="00566517"/>
    <w:rsid w:val="00593360"/>
    <w:rsid w:val="005B3C89"/>
    <w:rsid w:val="005E0521"/>
    <w:rsid w:val="006209A6"/>
    <w:rsid w:val="00652D38"/>
    <w:rsid w:val="00686562"/>
    <w:rsid w:val="006905D0"/>
    <w:rsid w:val="006A09FD"/>
    <w:rsid w:val="006A52DD"/>
    <w:rsid w:val="006C64C8"/>
    <w:rsid w:val="006D5BCD"/>
    <w:rsid w:val="007626A0"/>
    <w:rsid w:val="007766DA"/>
    <w:rsid w:val="007933DE"/>
    <w:rsid w:val="007B03D7"/>
    <w:rsid w:val="007C2B00"/>
    <w:rsid w:val="007D19A5"/>
    <w:rsid w:val="007F20FD"/>
    <w:rsid w:val="008206F7"/>
    <w:rsid w:val="008F5194"/>
    <w:rsid w:val="00913603"/>
    <w:rsid w:val="00914D78"/>
    <w:rsid w:val="00946B43"/>
    <w:rsid w:val="00964123"/>
    <w:rsid w:val="009802F6"/>
    <w:rsid w:val="009C3BDE"/>
    <w:rsid w:val="009E2A03"/>
    <w:rsid w:val="00A10E28"/>
    <w:rsid w:val="00A240B6"/>
    <w:rsid w:val="00A32F39"/>
    <w:rsid w:val="00A411A7"/>
    <w:rsid w:val="00A449EF"/>
    <w:rsid w:val="00A467AA"/>
    <w:rsid w:val="00A5389F"/>
    <w:rsid w:val="00A724DE"/>
    <w:rsid w:val="00A82B78"/>
    <w:rsid w:val="00AA1680"/>
    <w:rsid w:val="00AA6A9A"/>
    <w:rsid w:val="00AB0F2F"/>
    <w:rsid w:val="00AC1862"/>
    <w:rsid w:val="00AE00BF"/>
    <w:rsid w:val="00AE2DD5"/>
    <w:rsid w:val="00B015FB"/>
    <w:rsid w:val="00B06B8D"/>
    <w:rsid w:val="00B32EAC"/>
    <w:rsid w:val="00B61D38"/>
    <w:rsid w:val="00B641BA"/>
    <w:rsid w:val="00B71742"/>
    <w:rsid w:val="00BB55A3"/>
    <w:rsid w:val="00BD2FD6"/>
    <w:rsid w:val="00BD56FD"/>
    <w:rsid w:val="00BF797D"/>
    <w:rsid w:val="00C02907"/>
    <w:rsid w:val="00C62426"/>
    <w:rsid w:val="00C62D23"/>
    <w:rsid w:val="00C74A1C"/>
    <w:rsid w:val="00CE54F2"/>
    <w:rsid w:val="00CF05B6"/>
    <w:rsid w:val="00D0645A"/>
    <w:rsid w:val="00D20A5D"/>
    <w:rsid w:val="00D56247"/>
    <w:rsid w:val="00D84F95"/>
    <w:rsid w:val="00DA0FFF"/>
    <w:rsid w:val="00DB4839"/>
    <w:rsid w:val="00DC6756"/>
    <w:rsid w:val="00DF1F30"/>
    <w:rsid w:val="00E4646F"/>
    <w:rsid w:val="00E4761A"/>
    <w:rsid w:val="00E63F6D"/>
    <w:rsid w:val="00E65FFA"/>
    <w:rsid w:val="00EB6184"/>
    <w:rsid w:val="00ED0FA3"/>
    <w:rsid w:val="00EF5079"/>
    <w:rsid w:val="00F10275"/>
    <w:rsid w:val="00F72106"/>
    <w:rsid w:val="00F915D8"/>
    <w:rsid w:val="00F953EF"/>
    <w:rsid w:val="00FC1CAC"/>
    <w:rsid w:val="00FF2BF7"/>
    <w:rsid w:val="00FF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898C"/>
  <w15:chartTrackingRefBased/>
  <w15:docId w15:val="{DEC22A49-3598-44B7-AF45-E0055653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82"/>
  </w:style>
  <w:style w:type="paragraph" w:styleId="Heading1">
    <w:name w:val="heading 1"/>
    <w:basedOn w:val="Normal"/>
    <w:next w:val="Normal"/>
    <w:link w:val="Heading1Char"/>
    <w:uiPriority w:val="9"/>
    <w:qFormat/>
    <w:rsid w:val="009C3BD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70F5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C3BD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111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70F5C"/>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9C3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BDE"/>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link w:val="ListParagraphChar"/>
    <w:uiPriority w:val="34"/>
    <w:qFormat/>
    <w:rsid w:val="009C3BDE"/>
    <w:pPr>
      <w:ind w:left="720"/>
      <w:contextualSpacing/>
    </w:pPr>
  </w:style>
  <w:style w:type="character" w:customStyle="1" w:styleId="Heading4Char">
    <w:name w:val="Heading 4 Char"/>
    <w:basedOn w:val="DefaultParagraphFont"/>
    <w:link w:val="Heading4"/>
    <w:uiPriority w:val="9"/>
    <w:semiHidden/>
    <w:rsid w:val="00111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182"/>
    <w:rPr>
      <w:rFonts w:eastAsiaTheme="majorEastAsia" w:cstheme="majorBidi"/>
      <w:color w:val="272727" w:themeColor="text1" w:themeTint="D8"/>
    </w:rPr>
  </w:style>
  <w:style w:type="paragraph" w:styleId="Title">
    <w:name w:val="Title"/>
    <w:basedOn w:val="Normal"/>
    <w:next w:val="Normal"/>
    <w:link w:val="TitleChar"/>
    <w:uiPriority w:val="10"/>
    <w:qFormat/>
    <w:rsid w:val="00111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182"/>
    <w:pPr>
      <w:spacing w:before="160"/>
      <w:jc w:val="center"/>
    </w:pPr>
    <w:rPr>
      <w:i/>
      <w:iCs/>
      <w:color w:val="404040" w:themeColor="text1" w:themeTint="BF"/>
    </w:rPr>
  </w:style>
  <w:style w:type="character" w:customStyle="1" w:styleId="QuoteChar">
    <w:name w:val="Quote Char"/>
    <w:basedOn w:val="DefaultParagraphFont"/>
    <w:link w:val="Quote"/>
    <w:uiPriority w:val="29"/>
    <w:rsid w:val="00111182"/>
    <w:rPr>
      <w:i/>
      <w:iCs/>
      <w:color w:val="404040" w:themeColor="text1" w:themeTint="BF"/>
    </w:rPr>
  </w:style>
  <w:style w:type="character" w:styleId="IntenseEmphasis">
    <w:name w:val="Intense Emphasis"/>
    <w:basedOn w:val="DefaultParagraphFont"/>
    <w:uiPriority w:val="21"/>
    <w:qFormat/>
    <w:rsid w:val="00111182"/>
    <w:rPr>
      <w:i/>
      <w:iCs/>
      <w:color w:val="0F4761" w:themeColor="accent1" w:themeShade="BF"/>
    </w:rPr>
  </w:style>
  <w:style w:type="paragraph" w:styleId="IntenseQuote">
    <w:name w:val="Intense Quote"/>
    <w:basedOn w:val="Normal"/>
    <w:next w:val="Normal"/>
    <w:link w:val="IntenseQuoteChar"/>
    <w:uiPriority w:val="30"/>
    <w:qFormat/>
    <w:rsid w:val="00111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182"/>
    <w:rPr>
      <w:i/>
      <w:iCs/>
      <w:color w:val="0F4761" w:themeColor="accent1" w:themeShade="BF"/>
    </w:rPr>
  </w:style>
  <w:style w:type="character" w:styleId="IntenseReference">
    <w:name w:val="Intense Reference"/>
    <w:basedOn w:val="DefaultParagraphFont"/>
    <w:uiPriority w:val="32"/>
    <w:qFormat/>
    <w:rsid w:val="00111182"/>
    <w:rPr>
      <w:b/>
      <w:bCs/>
      <w:smallCaps/>
      <w:color w:val="0F4761" w:themeColor="accent1" w:themeShade="BF"/>
      <w:spacing w:val="5"/>
    </w:rPr>
  </w:style>
  <w:style w:type="character" w:customStyle="1" w:styleId="ListParagraphChar">
    <w:name w:val="List Paragraph Char"/>
    <w:basedOn w:val="DefaultParagraphFont"/>
    <w:link w:val="ListParagraph"/>
    <w:uiPriority w:val="34"/>
    <w:locked/>
    <w:rsid w:val="00ED0FA3"/>
  </w:style>
  <w:style w:type="character" w:styleId="Hyperlink">
    <w:name w:val="Hyperlink"/>
    <w:basedOn w:val="DefaultParagraphFont"/>
    <w:uiPriority w:val="99"/>
    <w:unhideWhenUsed/>
    <w:rsid w:val="007B03D7"/>
    <w:rPr>
      <w:color w:val="467886" w:themeColor="hyperlink"/>
      <w:u w:val="single"/>
    </w:rPr>
  </w:style>
  <w:style w:type="character" w:styleId="UnresolvedMention">
    <w:name w:val="Unresolved Mention"/>
    <w:basedOn w:val="DefaultParagraphFont"/>
    <w:uiPriority w:val="99"/>
    <w:semiHidden/>
    <w:unhideWhenUsed/>
    <w:rsid w:val="007B03D7"/>
    <w:rPr>
      <w:color w:val="605E5C"/>
      <w:shd w:val="clear" w:color="auto" w:fill="E1DFDD"/>
    </w:rPr>
  </w:style>
  <w:style w:type="paragraph" w:styleId="Bibliography">
    <w:name w:val="Bibliography"/>
    <w:basedOn w:val="Normal"/>
    <w:next w:val="Normal"/>
    <w:uiPriority w:val="37"/>
    <w:unhideWhenUsed/>
    <w:rsid w:val="00C62426"/>
  </w:style>
  <w:style w:type="character" w:styleId="PlaceholderText">
    <w:name w:val="Placeholder Text"/>
    <w:basedOn w:val="DefaultParagraphFont"/>
    <w:uiPriority w:val="99"/>
    <w:semiHidden/>
    <w:rsid w:val="003745C9"/>
    <w:rPr>
      <w:color w:val="666666"/>
    </w:rPr>
  </w:style>
  <w:style w:type="table" w:styleId="TableGrid">
    <w:name w:val="Table Grid"/>
    <w:basedOn w:val="TableNormal"/>
    <w:uiPriority w:val="39"/>
    <w:rsid w:val="0036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F05B6"/>
    <w:rPr>
      <w:sz w:val="16"/>
      <w:szCs w:val="16"/>
    </w:rPr>
  </w:style>
  <w:style w:type="paragraph" w:styleId="CommentText">
    <w:name w:val="annotation text"/>
    <w:basedOn w:val="Normal"/>
    <w:link w:val="CommentTextChar"/>
    <w:uiPriority w:val="99"/>
    <w:semiHidden/>
    <w:unhideWhenUsed/>
    <w:rsid w:val="00CF05B6"/>
    <w:pPr>
      <w:spacing w:line="240" w:lineRule="auto"/>
    </w:pPr>
    <w:rPr>
      <w:sz w:val="20"/>
      <w:szCs w:val="20"/>
    </w:rPr>
  </w:style>
  <w:style w:type="character" w:customStyle="1" w:styleId="CommentTextChar">
    <w:name w:val="Comment Text Char"/>
    <w:basedOn w:val="DefaultParagraphFont"/>
    <w:link w:val="CommentText"/>
    <w:uiPriority w:val="99"/>
    <w:semiHidden/>
    <w:rsid w:val="00CF05B6"/>
    <w:rPr>
      <w:sz w:val="20"/>
      <w:szCs w:val="20"/>
    </w:rPr>
  </w:style>
  <w:style w:type="paragraph" w:styleId="CommentSubject">
    <w:name w:val="annotation subject"/>
    <w:basedOn w:val="CommentText"/>
    <w:next w:val="CommentText"/>
    <w:link w:val="CommentSubjectChar"/>
    <w:uiPriority w:val="99"/>
    <w:semiHidden/>
    <w:unhideWhenUsed/>
    <w:rsid w:val="00CF05B6"/>
    <w:rPr>
      <w:b/>
      <w:bCs/>
    </w:rPr>
  </w:style>
  <w:style w:type="character" w:customStyle="1" w:styleId="CommentSubjectChar">
    <w:name w:val="Comment Subject Char"/>
    <w:basedOn w:val="CommentTextChar"/>
    <w:link w:val="CommentSubject"/>
    <w:uiPriority w:val="99"/>
    <w:semiHidden/>
    <w:rsid w:val="00CF05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51340">
      <w:bodyDiv w:val="1"/>
      <w:marLeft w:val="0"/>
      <w:marRight w:val="0"/>
      <w:marTop w:val="0"/>
      <w:marBottom w:val="0"/>
      <w:divBdr>
        <w:top w:val="none" w:sz="0" w:space="0" w:color="auto"/>
        <w:left w:val="none" w:sz="0" w:space="0" w:color="auto"/>
        <w:bottom w:val="none" w:sz="0" w:space="0" w:color="auto"/>
        <w:right w:val="none" w:sz="0" w:space="0" w:color="auto"/>
      </w:divBdr>
    </w:div>
    <w:div w:id="52850164">
      <w:bodyDiv w:val="1"/>
      <w:marLeft w:val="0"/>
      <w:marRight w:val="0"/>
      <w:marTop w:val="0"/>
      <w:marBottom w:val="0"/>
      <w:divBdr>
        <w:top w:val="none" w:sz="0" w:space="0" w:color="auto"/>
        <w:left w:val="none" w:sz="0" w:space="0" w:color="auto"/>
        <w:bottom w:val="none" w:sz="0" w:space="0" w:color="auto"/>
        <w:right w:val="none" w:sz="0" w:space="0" w:color="auto"/>
      </w:divBdr>
    </w:div>
    <w:div w:id="71007142">
      <w:bodyDiv w:val="1"/>
      <w:marLeft w:val="0"/>
      <w:marRight w:val="0"/>
      <w:marTop w:val="0"/>
      <w:marBottom w:val="0"/>
      <w:divBdr>
        <w:top w:val="none" w:sz="0" w:space="0" w:color="auto"/>
        <w:left w:val="none" w:sz="0" w:space="0" w:color="auto"/>
        <w:bottom w:val="none" w:sz="0" w:space="0" w:color="auto"/>
        <w:right w:val="none" w:sz="0" w:space="0" w:color="auto"/>
      </w:divBdr>
    </w:div>
    <w:div w:id="166987024">
      <w:bodyDiv w:val="1"/>
      <w:marLeft w:val="0"/>
      <w:marRight w:val="0"/>
      <w:marTop w:val="0"/>
      <w:marBottom w:val="0"/>
      <w:divBdr>
        <w:top w:val="none" w:sz="0" w:space="0" w:color="auto"/>
        <w:left w:val="none" w:sz="0" w:space="0" w:color="auto"/>
        <w:bottom w:val="none" w:sz="0" w:space="0" w:color="auto"/>
        <w:right w:val="none" w:sz="0" w:space="0" w:color="auto"/>
      </w:divBdr>
    </w:div>
    <w:div w:id="225383817">
      <w:bodyDiv w:val="1"/>
      <w:marLeft w:val="0"/>
      <w:marRight w:val="0"/>
      <w:marTop w:val="0"/>
      <w:marBottom w:val="0"/>
      <w:divBdr>
        <w:top w:val="none" w:sz="0" w:space="0" w:color="auto"/>
        <w:left w:val="none" w:sz="0" w:space="0" w:color="auto"/>
        <w:bottom w:val="none" w:sz="0" w:space="0" w:color="auto"/>
        <w:right w:val="none" w:sz="0" w:space="0" w:color="auto"/>
      </w:divBdr>
    </w:div>
    <w:div w:id="288517305">
      <w:bodyDiv w:val="1"/>
      <w:marLeft w:val="0"/>
      <w:marRight w:val="0"/>
      <w:marTop w:val="0"/>
      <w:marBottom w:val="0"/>
      <w:divBdr>
        <w:top w:val="none" w:sz="0" w:space="0" w:color="auto"/>
        <w:left w:val="none" w:sz="0" w:space="0" w:color="auto"/>
        <w:bottom w:val="none" w:sz="0" w:space="0" w:color="auto"/>
        <w:right w:val="none" w:sz="0" w:space="0" w:color="auto"/>
      </w:divBdr>
    </w:div>
    <w:div w:id="313294521">
      <w:bodyDiv w:val="1"/>
      <w:marLeft w:val="0"/>
      <w:marRight w:val="0"/>
      <w:marTop w:val="0"/>
      <w:marBottom w:val="0"/>
      <w:divBdr>
        <w:top w:val="none" w:sz="0" w:space="0" w:color="auto"/>
        <w:left w:val="none" w:sz="0" w:space="0" w:color="auto"/>
        <w:bottom w:val="none" w:sz="0" w:space="0" w:color="auto"/>
        <w:right w:val="none" w:sz="0" w:space="0" w:color="auto"/>
      </w:divBdr>
    </w:div>
    <w:div w:id="351106138">
      <w:bodyDiv w:val="1"/>
      <w:marLeft w:val="0"/>
      <w:marRight w:val="0"/>
      <w:marTop w:val="0"/>
      <w:marBottom w:val="0"/>
      <w:divBdr>
        <w:top w:val="none" w:sz="0" w:space="0" w:color="auto"/>
        <w:left w:val="none" w:sz="0" w:space="0" w:color="auto"/>
        <w:bottom w:val="none" w:sz="0" w:space="0" w:color="auto"/>
        <w:right w:val="none" w:sz="0" w:space="0" w:color="auto"/>
      </w:divBdr>
    </w:div>
    <w:div w:id="354157420">
      <w:bodyDiv w:val="1"/>
      <w:marLeft w:val="0"/>
      <w:marRight w:val="0"/>
      <w:marTop w:val="0"/>
      <w:marBottom w:val="0"/>
      <w:divBdr>
        <w:top w:val="none" w:sz="0" w:space="0" w:color="auto"/>
        <w:left w:val="none" w:sz="0" w:space="0" w:color="auto"/>
        <w:bottom w:val="none" w:sz="0" w:space="0" w:color="auto"/>
        <w:right w:val="none" w:sz="0" w:space="0" w:color="auto"/>
      </w:divBdr>
    </w:div>
    <w:div w:id="370612345">
      <w:bodyDiv w:val="1"/>
      <w:marLeft w:val="0"/>
      <w:marRight w:val="0"/>
      <w:marTop w:val="0"/>
      <w:marBottom w:val="0"/>
      <w:divBdr>
        <w:top w:val="none" w:sz="0" w:space="0" w:color="auto"/>
        <w:left w:val="none" w:sz="0" w:space="0" w:color="auto"/>
        <w:bottom w:val="none" w:sz="0" w:space="0" w:color="auto"/>
        <w:right w:val="none" w:sz="0" w:space="0" w:color="auto"/>
      </w:divBdr>
    </w:div>
    <w:div w:id="472062813">
      <w:bodyDiv w:val="1"/>
      <w:marLeft w:val="0"/>
      <w:marRight w:val="0"/>
      <w:marTop w:val="0"/>
      <w:marBottom w:val="0"/>
      <w:divBdr>
        <w:top w:val="none" w:sz="0" w:space="0" w:color="auto"/>
        <w:left w:val="none" w:sz="0" w:space="0" w:color="auto"/>
        <w:bottom w:val="none" w:sz="0" w:space="0" w:color="auto"/>
        <w:right w:val="none" w:sz="0" w:space="0" w:color="auto"/>
      </w:divBdr>
    </w:div>
    <w:div w:id="488594760">
      <w:bodyDiv w:val="1"/>
      <w:marLeft w:val="0"/>
      <w:marRight w:val="0"/>
      <w:marTop w:val="0"/>
      <w:marBottom w:val="0"/>
      <w:divBdr>
        <w:top w:val="none" w:sz="0" w:space="0" w:color="auto"/>
        <w:left w:val="none" w:sz="0" w:space="0" w:color="auto"/>
        <w:bottom w:val="none" w:sz="0" w:space="0" w:color="auto"/>
        <w:right w:val="none" w:sz="0" w:space="0" w:color="auto"/>
      </w:divBdr>
    </w:div>
    <w:div w:id="507329193">
      <w:bodyDiv w:val="1"/>
      <w:marLeft w:val="0"/>
      <w:marRight w:val="0"/>
      <w:marTop w:val="0"/>
      <w:marBottom w:val="0"/>
      <w:divBdr>
        <w:top w:val="none" w:sz="0" w:space="0" w:color="auto"/>
        <w:left w:val="none" w:sz="0" w:space="0" w:color="auto"/>
        <w:bottom w:val="none" w:sz="0" w:space="0" w:color="auto"/>
        <w:right w:val="none" w:sz="0" w:space="0" w:color="auto"/>
      </w:divBdr>
    </w:div>
    <w:div w:id="544833084">
      <w:bodyDiv w:val="1"/>
      <w:marLeft w:val="0"/>
      <w:marRight w:val="0"/>
      <w:marTop w:val="0"/>
      <w:marBottom w:val="0"/>
      <w:divBdr>
        <w:top w:val="none" w:sz="0" w:space="0" w:color="auto"/>
        <w:left w:val="none" w:sz="0" w:space="0" w:color="auto"/>
        <w:bottom w:val="none" w:sz="0" w:space="0" w:color="auto"/>
        <w:right w:val="none" w:sz="0" w:space="0" w:color="auto"/>
      </w:divBdr>
    </w:div>
    <w:div w:id="548496462">
      <w:bodyDiv w:val="1"/>
      <w:marLeft w:val="0"/>
      <w:marRight w:val="0"/>
      <w:marTop w:val="0"/>
      <w:marBottom w:val="0"/>
      <w:divBdr>
        <w:top w:val="none" w:sz="0" w:space="0" w:color="auto"/>
        <w:left w:val="none" w:sz="0" w:space="0" w:color="auto"/>
        <w:bottom w:val="none" w:sz="0" w:space="0" w:color="auto"/>
        <w:right w:val="none" w:sz="0" w:space="0" w:color="auto"/>
      </w:divBdr>
    </w:div>
    <w:div w:id="549919618">
      <w:bodyDiv w:val="1"/>
      <w:marLeft w:val="0"/>
      <w:marRight w:val="0"/>
      <w:marTop w:val="0"/>
      <w:marBottom w:val="0"/>
      <w:divBdr>
        <w:top w:val="none" w:sz="0" w:space="0" w:color="auto"/>
        <w:left w:val="none" w:sz="0" w:space="0" w:color="auto"/>
        <w:bottom w:val="none" w:sz="0" w:space="0" w:color="auto"/>
        <w:right w:val="none" w:sz="0" w:space="0" w:color="auto"/>
      </w:divBdr>
    </w:div>
    <w:div w:id="602882830">
      <w:bodyDiv w:val="1"/>
      <w:marLeft w:val="0"/>
      <w:marRight w:val="0"/>
      <w:marTop w:val="0"/>
      <w:marBottom w:val="0"/>
      <w:divBdr>
        <w:top w:val="none" w:sz="0" w:space="0" w:color="auto"/>
        <w:left w:val="none" w:sz="0" w:space="0" w:color="auto"/>
        <w:bottom w:val="none" w:sz="0" w:space="0" w:color="auto"/>
        <w:right w:val="none" w:sz="0" w:space="0" w:color="auto"/>
      </w:divBdr>
    </w:div>
    <w:div w:id="608440183">
      <w:bodyDiv w:val="1"/>
      <w:marLeft w:val="0"/>
      <w:marRight w:val="0"/>
      <w:marTop w:val="0"/>
      <w:marBottom w:val="0"/>
      <w:divBdr>
        <w:top w:val="none" w:sz="0" w:space="0" w:color="auto"/>
        <w:left w:val="none" w:sz="0" w:space="0" w:color="auto"/>
        <w:bottom w:val="none" w:sz="0" w:space="0" w:color="auto"/>
        <w:right w:val="none" w:sz="0" w:space="0" w:color="auto"/>
      </w:divBdr>
    </w:div>
    <w:div w:id="611128571">
      <w:bodyDiv w:val="1"/>
      <w:marLeft w:val="0"/>
      <w:marRight w:val="0"/>
      <w:marTop w:val="0"/>
      <w:marBottom w:val="0"/>
      <w:divBdr>
        <w:top w:val="none" w:sz="0" w:space="0" w:color="auto"/>
        <w:left w:val="none" w:sz="0" w:space="0" w:color="auto"/>
        <w:bottom w:val="none" w:sz="0" w:space="0" w:color="auto"/>
        <w:right w:val="none" w:sz="0" w:space="0" w:color="auto"/>
      </w:divBdr>
    </w:div>
    <w:div w:id="678969110">
      <w:bodyDiv w:val="1"/>
      <w:marLeft w:val="0"/>
      <w:marRight w:val="0"/>
      <w:marTop w:val="0"/>
      <w:marBottom w:val="0"/>
      <w:divBdr>
        <w:top w:val="none" w:sz="0" w:space="0" w:color="auto"/>
        <w:left w:val="none" w:sz="0" w:space="0" w:color="auto"/>
        <w:bottom w:val="none" w:sz="0" w:space="0" w:color="auto"/>
        <w:right w:val="none" w:sz="0" w:space="0" w:color="auto"/>
      </w:divBdr>
    </w:div>
    <w:div w:id="681316622">
      <w:bodyDiv w:val="1"/>
      <w:marLeft w:val="0"/>
      <w:marRight w:val="0"/>
      <w:marTop w:val="0"/>
      <w:marBottom w:val="0"/>
      <w:divBdr>
        <w:top w:val="none" w:sz="0" w:space="0" w:color="auto"/>
        <w:left w:val="none" w:sz="0" w:space="0" w:color="auto"/>
        <w:bottom w:val="none" w:sz="0" w:space="0" w:color="auto"/>
        <w:right w:val="none" w:sz="0" w:space="0" w:color="auto"/>
      </w:divBdr>
    </w:div>
    <w:div w:id="736588791">
      <w:bodyDiv w:val="1"/>
      <w:marLeft w:val="0"/>
      <w:marRight w:val="0"/>
      <w:marTop w:val="0"/>
      <w:marBottom w:val="0"/>
      <w:divBdr>
        <w:top w:val="none" w:sz="0" w:space="0" w:color="auto"/>
        <w:left w:val="none" w:sz="0" w:space="0" w:color="auto"/>
        <w:bottom w:val="none" w:sz="0" w:space="0" w:color="auto"/>
        <w:right w:val="none" w:sz="0" w:space="0" w:color="auto"/>
      </w:divBdr>
    </w:div>
    <w:div w:id="743726991">
      <w:bodyDiv w:val="1"/>
      <w:marLeft w:val="0"/>
      <w:marRight w:val="0"/>
      <w:marTop w:val="0"/>
      <w:marBottom w:val="0"/>
      <w:divBdr>
        <w:top w:val="none" w:sz="0" w:space="0" w:color="auto"/>
        <w:left w:val="none" w:sz="0" w:space="0" w:color="auto"/>
        <w:bottom w:val="none" w:sz="0" w:space="0" w:color="auto"/>
        <w:right w:val="none" w:sz="0" w:space="0" w:color="auto"/>
      </w:divBdr>
    </w:div>
    <w:div w:id="751314065">
      <w:bodyDiv w:val="1"/>
      <w:marLeft w:val="0"/>
      <w:marRight w:val="0"/>
      <w:marTop w:val="0"/>
      <w:marBottom w:val="0"/>
      <w:divBdr>
        <w:top w:val="none" w:sz="0" w:space="0" w:color="auto"/>
        <w:left w:val="none" w:sz="0" w:space="0" w:color="auto"/>
        <w:bottom w:val="none" w:sz="0" w:space="0" w:color="auto"/>
        <w:right w:val="none" w:sz="0" w:space="0" w:color="auto"/>
      </w:divBdr>
    </w:div>
    <w:div w:id="754009066">
      <w:bodyDiv w:val="1"/>
      <w:marLeft w:val="0"/>
      <w:marRight w:val="0"/>
      <w:marTop w:val="0"/>
      <w:marBottom w:val="0"/>
      <w:divBdr>
        <w:top w:val="none" w:sz="0" w:space="0" w:color="auto"/>
        <w:left w:val="none" w:sz="0" w:space="0" w:color="auto"/>
        <w:bottom w:val="none" w:sz="0" w:space="0" w:color="auto"/>
        <w:right w:val="none" w:sz="0" w:space="0" w:color="auto"/>
      </w:divBdr>
    </w:div>
    <w:div w:id="757334414">
      <w:bodyDiv w:val="1"/>
      <w:marLeft w:val="0"/>
      <w:marRight w:val="0"/>
      <w:marTop w:val="0"/>
      <w:marBottom w:val="0"/>
      <w:divBdr>
        <w:top w:val="none" w:sz="0" w:space="0" w:color="auto"/>
        <w:left w:val="none" w:sz="0" w:space="0" w:color="auto"/>
        <w:bottom w:val="none" w:sz="0" w:space="0" w:color="auto"/>
        <w:right w:val="none" w:sz="0" w:space="0" w:color="auto"/>
      </w:divBdr>
    </w:div>
    <w:div w:id="826701595">
      <w:bodyDiv w:val="1"/>
      <w:marLeft w:val="0"/>
      <w:marRight w:val="0"/>
      <w:marTop w:val="0"/>
      <w:marBottom w:val="0"/>
      <w:divBdr>
        <w:top w:val="none" w:sz="0" w:space="0" w:color="auto"/>
        <w:left w:val="none" w:sz="0" w:space="0" w:color="auto"/>
        <w:bottom w:val="none" w:sz="0" w:space="0" w:color="auto"/>
        <w:right w:val="none" w:sz="0" w:space="0" w:color="auto"/>
      </w:divBdr>
    </w:div>
    <w:div w:id="851341355">
      <w:bodyDiv w:val="1"/>
      <w:marLeft w:val="0"/>
      <w:marRight w:val="0"/>
      <w:marTop w:val="0"/>
      <w:marBottom w:val="0"/>
      <w:divBdr>
        <w:top w:val="none" w:sz="0" w:space="0" w:color="auto"/>
        <w:left w:val="none" w:sz="0" w:space="0" w:color="auto"/>
        <w:bottom w:val="none" w:sz="0" w:space="0" w:color="auto"/>
        <w:right w:val="none" w:sz="0" w:space="0" w:color="auto"/>
      </w:divBdr>
    </w:div>
    <w:div w:id="866337938">
      <w:bodyDiv w:val="1"/>
      <w:marLeft w:val="0"/>
      <w:marRight w:val="0"/>
      <w:marTop w:val="0"/>
      <w:marBottom w:val="0"/>
      <w:divBdr>
        <w:top w:val="none" w:sz="0" w:space="0" w:color="auto"/>
        <w:left w:val="none" w:sz="0" w:space="0" w:color="auto"/>
        <w:bottom w:val="none" w:sz="0" w:space="0" w:color="auto"/>
        <w:right w:val="none" w:sz="0" w:space="0" w:color="auto"/>
      </w:divBdr>
    </w:div>
    <w:div w:id="973603127">
      <w:bodyDiv w:val="1"/>
      <w:marLeft w:val="0"/>
      <w:marRight w:val="0"/>
      <w:marTop w:val="0"/>
      <w:marBottom w:val="0"/>
      <w:divBdr>
        <w:top w:val="none" w:sz="0" w:space="0" w:color="auto"/>
        <w:left w:val="none" w:sz="0" w:space="0" w:color="auto"/>
        <w:bottom w:val="none" w:sz="0" w:space="0" w:color="auto"/>
        <w:right w:val="none" w:sz="0" w:space="0" w:color="auto"/>
      </w:divBdr>
    </w:div>
    <w:div w:id="994530718">
      <w:bodyDiv w:val="1"/>
      <w:marLeft w:val="0"/>
      <w:marRight w:val="0"/>
      <w:marTop w:val="0"/>
      <w:marBottom w:val="0"/>
      <w:divBdr>
        <w:top w:val="none" w:sz="0" w:space="0" w:color="auto"/>
        <w:left w:val="none" w:sz="0" w:space="0" w:color="auto"/>
        <w:bottom w:val="none" w:sz="0" w:space="0" w:color="auto"/>
        <w:right w:val="none" w:sz="0" w:space="0" w:color="auto"/>
      </w:divBdr>
    </w:div>
    <w:div w:id="1000739952">
      <w:bodyDiv w:val="1"/>
      <w:marLeft w:val="0"/>
      <w:marRight w:val="0"/>
      <w:marTop w:val="0"/>
      <w:marBottom w:val="0"/>
      <w:divBdr>
        <w:top w:val="none" w:sz="0" w:space="0" w:color="auto"/>
        <w:left w:val="none" w:sz="0" w:space="0" w:color="auto"/>
        <w:bottom w:val="none" w:sz="0" w:space="0" w:color="auto"/>
        <w:right w:val="none" w:sz="0" w:space="0" w:color="auto"/>
      </w:divBdr>
    </w:div>
    <w:div w:id="1041591298">
      <w:bodyDiv w:val="1"/>
      <w:marLeft w:val="0"/>
      <w:marRight w:val="0"/>
      <w:marTop w:val="0"/>
      <w:marBottom w:val="0"/>
      <w:divBdr>
        <w:top w:val="none" w:sz="0" w:space="0" w:color="auto"/>
        <w:left w:val="none" w:sz="0" w:space="0" w:color="auto"/>
        <w:bottom w:val="none" w:sz="0" w:space="0" w:color="auto"/>
        <w:right w:val="none" w:sz="0" w:space="0" w:color="auto"/>
      </w:divBdr>
    </w:div>
    <w:div w:id="1116409741">
      <w:bodyDiv w:val="1"/>
      <w:marLeft w:val="0"/>
      <w:marRight w:val="0"/>
      <w:marTop w:val="0"/>
      <w:marBottom w:val="0"/>
      <w:divBdr>
        <w:top w:val="none" w:sz="0" w:space="0" w:color="auto"/>
        <w:left w:val="none" w:sz="0" w:space="0" w:color="auto"/>
        <w:bottom w:val="none" w:sz="0" w:space="0" w:color="auto"/>
        <w:right w:val="none" w:sz="0" w:space="0" w:color="auto"/>
      </w:divBdr>
    </w:div>
    <w:div w:id="1135416902">
      <w:bodyDiv w:val="1"/>
      <w:marLeft w:val="0"/>
      <w:marRight w:val="0"/>
      <w:marTop w:val="0"/>
      <w:marBottom w:val="0"/>
      <w:divBdr>
        <w:top w:val="none" w:sz="0" w:space="0" w:color="auto"/>
        <w:left w:val="none" w:sz="0" w:space="0" w:color="auto"/>
        <w:bottom w:val="none" w:sz="0" w:space="0" w:color="auto"/>
        <w:right w:val="none" w:sz="0" w:space="0" w:color="auto"/>
      </w:divBdr>
    </w:div>
    <w:div w:id="1136722264">
      <w:bodyDiv w:val="1"/>
      <w:marLeft w:val="0"/>
      <w:marRight w:val="0"/>
      <w:marTop w:val="0"/>
      <w:marBottom w:val="0"/>
      <w:divBdr>
        <w:top w:val="none" w:sz="0" w:space="0" w:color="auto"/>
        <w:left w:val="none" w:sz="0" w:space="0" w:color="auto"/>
        <w:bottom w:val="none" w:sz="0" w:space="0" w:color="auto"/>
        <w:right w:val="none" w:sz="0" w:space="0" w:color="auto"/>
      </w:divBdr>
    </w:div>
    <w:div w:id="1140460293">
      <w:bodyDiv w:val="1"/>
      <w:marLeft w:val="0"/>
      <w:marRight w:val="0"/>
      <w:marTop w:val="0"/>
      <w:marBottom w:val="0"/>
      <w:divBdr>
        <w:top w:val="none" w:sz="0" w:space="0" w:color="auto"/>
        <w:left w:val="none" w:sz="0" w:space="0" w:color="auto"/>
        <w:bottom w:val="none" w:sz="0" w:space="0" w:color="auto"/>
        <w:right w:val="none" w:sz="0" w:space="0" w:color="auto"/>
      </w:divBdr>
    </w:div>
    <w:div w:id="1145784035">
      <w:bodyDiv w:val="1"/>
      <w:marLeft w:val="0"/>
      <w:marRight w:val="0"/>
      <w:marTop w:val="0"/>
      <w:marBottom w:val="0"/>
      <w:divBdr>
        <w:top w:val="none" w:sz="0" w:space="0" w:color="auto"/>
        <w:left w:val="none" w:sz="0" w:space="0" w:color="auto"/>
        <w:bottom w:val="none" w:sz="0" w:space="0" w:color="auto"/>
        <w:right w:val="none" w:sz="0" w:space="0" w:color="auto"/>
      </w:divBdr>
    </w:div>
    <w:div w:id="1151411726">
      <w:bodyDiv w:val="1"/>
      <w:marLeft w:val="0"/>
      <w:marRight w:val="0"/>
      <w:marTop w:val="0"/>
      <w:marBottom w:val="0"/>
      <w:divBdr>
        <w:top w:val="none" w:sz="0" w:space="0" w:color="auto"/>
        <w:left w:val="none" w:sz="0" w:space="0" w:color="auto"/>
        <w:bottom w:val="none" w:sz="0" w:space="0" w:color="auto"/>
        <w:right w:val="none" w:sz="0" w:space="0" w:color="auto"/>
      </w:divBdr>
    </w:div>
    <w:div w:id="1159543309">
      <w:bodyDiv w:val="1"/>
      <w:marLeft w:val="0"/>
      <w:marRight w:val="0"/>
      <w:marTop w:val="0"/>
      <w:marBottom w:val="0"/>
      <w:divBdr>
        <w:top w:val="none" w:sz="0" w:space="0" w:color="auto"/>
        <w:left w:val="none" w:sz="0" w:space="0" w:color="auto"/>
        <w:bottom w:val="none" w:sz="0" w:space="0" w:color="auto"/>
        <w:right w:val="none" w:sz="0" w:space="0" w:color="auto"/>
      </w:divBdr>
    </w:div>
    <w:div w:id="1160728763">
      <w:bodyDiv w:val="1"/>
      <w:marLeft w:val="0"/>
      <w:marRight w:val="0"/>
      <w:marTop w:val="0"/>
      <w:marBottom w:val="0"/>
      <w:divBdr>
        <w:top w:val="none" w:sz="0" w:space="0" w:color="auto"/>
        <w:left w:val="none" w:sz="0" w:space="0" w:color="auto"/>
        <w:bottom w:val="none" w:sz="0" w:space="0" w:color="auto"/>
        <w:right w:val="none" w:sz="0" w:space="0" w:color="auto"/>
      </w:divBdr>
    </w:div>
    <w:div w:id="1162890378">
      <w:bodyDiv w:val="1"/>
      <w:marLeft w:val="0"/>
      <w:marRight w:val="0"/>
      <w:marTop w:val="0"/>
      <w:marBottom w:val="0"/>
      <w:divBdr>
        <w:top w:val="none" w:sz="0" w:space="0" w:color="auto"/>
        <w:left w:val="none" w:sz="0" w:space="0" w:color="auto"/>
        <w:bottom w:val="none" w:sz="0" w:space="0" w:color="auto"/>
        <w:right w:val="none" w:sz="0" w:space="0" w:color="auto"/>
      </w:divBdr>
    </w:div>
    <w:div w:id="1228298813">
      <w:bodyDiv w:val="1"/>
      <w:marLeft w:val="0"/>
      <w:marRight w:val="0"/>
      <w:marTop w:val="0"/>
      <w:marBottom w:val="0"/>
      <w:divBdr>
        <w:top w:val="none" w:sz="0" w:space="0" w:color="auto"/>
        <w:left w:val="none" w:sz="0" w:space="0" w:color="auto"/>
        <w:bottom w:val="none" w:sz="0" w:space="0" w:color="auto"/>
        <w:right w:val="none" w:sz="0" w:space="0" w:color="auto"/>
      </w:divBdr>
    </w:div>
    <w:div w:id="1231772219">
      <w:bodyDiv w:val="1"/>
      <w:marLeft w:val="0"/>
      <w:marRight w:val="0"/>
      <w:marTop w:val="0"/>
      <w:marBottom w:val="0"/>
      <w:divBdr>
        <w:top w:val="none" w:sz="0" w:space="0" w:color="auto"/>
        <w:left w:val="none" w:sz="0" w:space="0" w:color="auto"/>
        <w:bottom w:val="none" w:sz="0" w:space="0" w:color="auto"/>
        <w:right w:val="none" w:sz="0" w:space="0" w:color="auto"/>
      </w:divBdr>
    </w:div>
    <w:div w:id="1246111359">
      <w:bodyDiv w:val="1"/>
      <w:marLeft w:val="0"/>
      <w:marRight w:val="0"/>
      <w:marTop w:val="0"/>
      <w:marBottom w:val="0"/>
      <w:divBdr>
        <w:top w:val="none" w:sz="0" w:space="0" w:color="auto"/>
        <w:left w:val="none" w:sz="0" w:space="0" w:color="auto"/>
        <w:bottom w:val="none" w:sz="0" w:space="0" w:color="auto"/>
        <w:right w:val="none" w:sz="0" w:space="0" w:color="auto"/>
      </w:divBdr>
    </w:div>
    <w:div w:id="1270702593">
      <w:bodyDiv w:val="1"/>
      <w:marLeft w:val="0"/>
      <w:marRight w:val="0"/>
      <w:marTop w:val="0"/>
      <w:marBottom w:val="0"/>
      <w:divBdr>
        <w:top w:val="none" w:sz="0" w:space="0" w:color="auto"/>
        <w:left w:val="none" w:sz="0" w:space="0" w:color="auto"/>
        <w:bottom w:val="none" w:sz="0" w:space="0" w:color="auto"/>
        <w:right w:val="none" w:sz="0" w:space="0" w:color="auto"/>
      </w:divBdr>
    </w:div>
    <w:div w:id="1278104319">
      <w:bodyDiv w:val="1"/>
      <w:marLeft w:val="0"/>
      <w:marRight w:val="0"/>
      <w:marTop w:val="0"/>
      <w:marBottom w:val="0"/>
      <w:divBdr>
        <w:top w:val="none" w:sz="0" w:space="0" w:color="auto"/>
        <w:left w:val="none" w:sz="0" w:space="0" w:color="auto"/>
        <w:bottom w:val="none" w:sz="0" w:space="0" w:color="auto"/>
        <w:right w:val="none" w:sz="0" w:space="0" w:color="auto"/>
      </w:divBdr>
    </w:div>
    <w:div w:id="1304195793">
      <w:bodyDiv w:val="1"/>
      <w:marLeft w:val="0"/>
      <w:marRight w:val="0"/>
      <w:marTop w:val="0"/>
      <w:marBottom w:val="0"/>
      <w:divBdr>
        <w:top w:val="none" w:sz="0" w:space="0" w:color="auto"/>
        <w:left w:val="none" w:sz="0" w:space="0" w:color="auto"/>
        <w:bottom w:val="none" w:sz="0" w:space="0" w:color="auto"/>
        <w:right w:val="none" w:sz="0" w:space="0" w:color="auto"/>
      </w:divBdr>
    </w:div>
    <w:div w:id="1335185281">
      <w:bodyDiv w:val="1"/>
      <w:marLeft w:val="0"/>
      <w:marRight w:val="0"/>
      <w:marTop w:val="0"/>
      <w:marBottom w:val="0"/>
      <w:divBdr>
        <w:top w:val="none" w:sz="0" w:space="0" w:color="auto"/>
        <w:left w:val="none" w:sz="0" w:space="0" w:color="auto"/>
        <w:bottom w:val="none" w:sz="0" w:space="0" w:color="auto"/>
        <w:right w:val="none" w:sz="0" w:space="0" w:color="auto"/>
      </w:divBdr>
    </w:div>
    <w:div w:id="1345087212">
      <w:bodyDiv w:val="1"/>
      <w:marLeft w:val="0"/>
      <w:marRight w:val="0"/>
      <w:marTop w:val="0"/>
      <w:marBottom w:val="0"/>
      <w:divBdr>
        <w:top w:val="none" w:sz="0" w:space="0" w:color="auto"/>
        <w:left w:val="none" w:sz="0" w:space="0" w:color="auto"/>
        <w:bottom w:val="none" w:sz="0" w:space="0" w:color="auto"/>
        <w:right w:val="none" w:sz="0" w:space="0" w:color="auto"/>
      </w:divBdr>
    </w:div>
    <w:div w:id="1389495986">
      <w:bodyDiv w:val="1"/>
      <w:marLeft w:val="0"/>
      <w:marRight w:val="0"/>
      <w:marTop w:val="0"/>
      <w:marBottom w:val="0"/>
      <w:divBdr>
        <w:top w:val="none" w:sz="0" w:space="0" w:color="auto"/>
        <w:left w:val="none" w:sz="0" w:space="0" w:color="auto"/>
        <w:bottom w:val="none" w:sz="0" w:space="0" w:color="auto"/>
        <w:right w:val="none" w:sz="0" w:space="0" w:color="auto"/>
      </w:divBdr>
    </w:div>
    <w:div w:id="1390808102">
      <w:bodyDiv w:val="1"/>
      <w:marLeft w:val="0"/>
      <w:marRight w:val="0"/>
      <w:marTop w:val="0"/>
      <w:marBottom w:val="0"/>
      <w:divBdr>
        <w:top w:val="none" w:sz="0" w:space="0" w:color="auto"/>
        <w:left w:val="none" w:sz="0" w:space="0" w:color="auto"/>
        <w:bottom w:val="none" w:sz="0" w:space="0" w:color="auto"/>
        <w:right w:val="none" w:sz="0" w:space="0" w:color="auto"/>
      </w:divBdr>
    </w:div>
    <w:div w:id="1408646105">
      <w:bodyDiv w:val="1"/>
      <w:marLeft w:val="0"/>
      <w:marRight w:val="0"/>
      <w:marTop w:val="0"/>
      <w:marBottom w:val="0"/>
      <w:divBdr>
        <w:top w:val="none" w:sz="0" w:space="0" w:color="auto"/>
        <w:left w:val="none" w:sz="0" w:space="0" w:color="auto"/>
        <w:bottom w:val="none" w:sz="0" w:space="0" w:color="auto"/>
        <w:right w:val="none" w:sz="0" w:space="0" w:color="auto"/>
      </w:divBdr>
    </w:div>
    <w:div w:id="1418867904">
      <w:bodyDiv w:val="1"/>
      <w:marLeft w:val="0"/>
      <w:marRight w:val="0"/>
      <w:marTop w:val="0"/>
      <w:marBottom w:val="0"/>
      <w:divBdr>
        <w:top w:val="none" w:sz="0" w:space="0" w:color="auto"/>
        <w:left w:val="none" w:sz="0" w:space="0" w:color="auto"/>
        <w:bottom w:val="none" w:sz="0" w:space="0" w:color="auto"/>
        <w:right w:val="none" w:sz="0" w:space="0" w:color="auto"/>
      </w:divBdr>
    </w:div>
    <w:div w:id="1432355376">
      <w:bodyDiv w:val="1"/>
      <w:marLeft w:val="0"/>
      <w:marRight w:val="0"/>
      <w:marTop w:val="0"/>
      <w:marBottom w:val="0"/>
      <w:divBdr>
        <w:top w:val="none" w:sz="0" w:space="0" w:color="auto"/>
        <w:left w:val="none" w:sz="0" w:space="0" w:color="auto"/>
        <w:bottom w:val="none" w:sz="0" w:space="0" w:color="auto"/>
        <w:right w:val="none" w:sz="0" w:space="0" w:color="auto"/>
      </w:divBdr>
    </w:div>
    <w:div w:id="1491209841">
      <w:bodyDiv w:val="1"/>
      <w:marLeft w:val="0"/>
      <w:marRight w:val="0"/>
      <w:marTop w:val="0"/>
      <w:marBottom w:val="0"/>
      <w:divBdr>
        <w:top w:val="none" w:sz="0" w:space="0" w:color="auto"/>
        <w:left w:val="none" w:sz="0" w:space="0" w:color="auto"/>
        <w:bottom w:val="none" w:sz="0" w:space="0" w:color="auto"/>
        <w:right w:val="none" w:sz="0" w:space="0" w:color="auto"/>
      </w:divBdr>
    </w:div>
    <w:div w:id="1499731900">
      <w:bodyDiv w:val="1"/>
      <w:marLeft w:val="0"/>
      <w:marRight w:val="0"/>
      <w:marTop w:val="0"/>
      <w:marBottom w:val="0"/>
      <w:divBdr>
        <w:top w:val="none" w:sz="0" w:space="0" w:color="auto"/>
        <w:left w:val="none" w:sz="0" w:space="0" w:color="auto"/>
        <w:bottom w:val="none" w:sz="0" w:space="0" w:color="auto"/>
        <w:right w:val="none" w:sz="0" w:space="0" w:color="auto"/>
      </w:divBdr>
    </w:div>
    <w:div w:id="1555117289">
      <w:bodyDiv w:val="1"/>
      <w:marLeft w:val="0"/>
      <w:marRight w:val="0"/>
      <w:marTop w:val="0"/>
      <w:marBottom w:val="0"/>
      <w:divBdr>
        <w:top w:val="none" w:sz="0" w:space="0" w:color="auto"/>
        <w:left w:val="none" w:sz="0" w:space="0" w:color="auto"/>
        <w:bottom w:val="none" w:sz="0" w:space="0" w:color="auto"/>
        <w:right w:val="none" w:sz="0" w:space="0" w:color="auto"/>
      </w:divBdr>
    </w:div>
    <w:div w:id="1566914575">
      <w:bodyDiv w:val="1"/>
      <w:marLeft w:val="0"/>
      <w:marRight w:val="0"/>
      <w:marTop w:val="0"/>
      <w:marBottom w:val="0"/>
      <w:divBdr>
        <w:top w:val="none" w:sz="0" w:space="0" w:color="auto"/>
        <w:left w:val="none" w:sz="0" w:space="0" w:color="auto"/>
        <w:bottom w:val="none" w:sz="0" w:space="0" w:color="auto"/>
        <w:right w:val="none" w:sz="0" w:space="0" w:color="auto"/>
      </w:divBdr>
    </w:div>
    <w:div w:id="1575318013">
      <w:bodyDiv w:val="1"/>
      <w:marLeft w:val="0"/>
      <w:marRight w:val="0"/>
      <w:marTop w:val="0"/>
      <w:marBottom w:val="0"/>
      <w:divBdr>
        <w:top w:val="none" w:sz="0" w:space="0" w:color="auto"/>
        <w:left w:val="none" w:sz="0" w:space="0" w:color="auto"/>
        <w:bottom w:val="none" w:sz="0" w:space="0" w:color="auto"/>
        <w:right w:val="none" w:sz="0" w:space="0" w:color="auto"/>
      </w:divBdr>
    </w:div>
    <w:div w:id="1579250246">
      <w:bodyDiv w:val="1"/>
      <w:marLeft w:val="0"/>
      <w:marRight w:val="0"/>
      <w:marTop w:val="0"/>
      <w:marBottom w:val="0"/>
      <w:divBdr>
        <w:top w:val="none" w:sz="0" w:space="0" w:color="auto"/>
        <w:left w:val="none" w:sz="0" w:space="0" w:color="auto"/>
        <w:bottom w:val="none" w:sz="0" w:space="0" w:color="auto"/>
        <w:right w:val="none" w:sz="0" w:space="0" w:color="auto"/>
      </w:divBdr>
    </w:div>
    <w:div w:id="1605184720">
      <w:bodyDiv w:val="1"/>
      <w:marLeft w:val="0"/>
      <w:marRight w:val="0"/>
      <w:marTop w:val="0"/>
      <w:marBottom w:val="0"/>
      <w:divBdr>
        <w:top w:val="none" w:sz="0" w:space="0" w:color="auto"/>
        <w:left w:val="none" w:sz="0" w:space="0" w:color="auto"/>
        <w:bottom w:val="none" w:sz="0" w:space="0" w:color="auto"/>
        <w:right w:val="none" w:sz="0" w:space="0" w:color="auto"/>
      </w:divBdr>
    </w:div>
    <w:div w:id="1609967734">
      <w:bodyDiv w:val="1"/>
      <w:marLeft w:val="0"/>
      <w:marRight w:val="0"/>
      <w:marTop w:val="0"/>
      <w:marBottom w:val="0"/>
      <w:divBdr>
        <w:top w:val="none" w:sz="0" w:space="0" w:color="auto"/>
        <w:left w:val="none" w:sz="0" w:space="0" w:color="auto"/>
        <w:bottom w:val="none" w:sz="0" w:space="0" w:color="auto"/>
        <w:right w:val="none" w:sz="0" w:space="0" w:color="auto"/>
      </w:divBdr>
    </w:div>
    <w:div w:id="1669403475">
      <w:bodyDiv w:val="1"/>
      <w:marLeft w:val="0"/>
      <w:marRight w:val="0"/>
      <w:marTop w:val="0"/>
      <w:marBottom w:val="0"/>
      <w:divBdr>
        <w:top w:val="none" w:sz="0" w:space="0" w:color="auto"/>
        <w:left w:val="none" w:sz="0" w:space="0" w:color="auto"/>
        <w:bottom w:val="none" w:sz="0" w:space="0" w:color="auto"/>
        <w:right w:val="none" w:sz="0" w:space="0" w:color="auto"/>
      </w:divBdr>
    </w:div>
    <w:div w:id="1673996330">
      <w:bodyDiv w:val="1"/>
      <w:marLeft w:val="0"/>
      <w:marRight w:val="0"/>
      <w:marTop w:val="0"/>
      <w:marBottom w:val="0"/>
      <w:divBdr>
        <w:top w:val="none" w:sz="0" w:space="0" w:color="auto"/>
        <w:left w:val="none" w:sz="0" w:space="0" w:color="auto"/>
        <w:bottom w:val="none" w:sz="0" w:space="0" w:color="auto"/>
        <w:right w:val="none" w:sz="0" w:space="0" w:color="auto"/>
      </w:divBdr>
    </w:div>
    <w:div w:id="1705204635">
      <w:bodyDiv w:val="1"/>
      <w:marLeft w:val="0"/>
      <w:marRight w:val="0"/>
      <w:marTop w:val="0"/>
      <w:marBottom w:val="0"/>
      <w:divBdr>
        <w:top w:val="none" w:sz="0" w:space="0" w:color="auto"/>
        <w:left w:val="none" w:sz="0" w:space="0" w:color="auto"/>
        <w:bottom w:val="none" w:sz="0" w:space="0" w:color="auto"/>
        <w:right w:val="none" w:sz="0" w:space="0" w:color="auto"/>
      </w:divBdr>
    </w:div>
    <w:div w:id="1756441024">
      <w:bodyDiv w:val="1"/>
      <w:marLeft w:val="0"/>
      <w:marRight w:val="0"/>
      <w:marTop w:val="0"/>
      <w:marBottom w:val="0"/>
      <w:divBdr>
        <w:top w:val="none" w:sz="0" w:space="0" w:color="auto"/>
        <w:left w:val="none" w:sz="0" w:space="0" w:color="auto"/>
        <w:bottom w:val="none" w:sz="0" w:space="0" w:color="auto"/>
        <w:right w:val="none" w:sz="0" w:space="0" w:color="auto"/>
      </w:divBdr>
    </w:div>
    <w:div w:id="1834755257">
      <w:bodyDiv w:val="1"/>
      <w:marLeft w:val="0"/>
      <w:marRight w:val="0"/>
      <w:marTop w:val="0"/>
      <w:marBottom w:val="0"/>
      <w:divBdr>
        <w:top w:val="none" w:sz="0" w:space="0" w:color="auto"/>
        <w:left w:val="none" w:sz="0" w:space="0" w:color="auto"/>
        <w:bottom w:val="none" w:sz="0" w:space="0" w:color="auto"/>
        <w:right w:val="none" w:sz="0" w:space="0" w:color="auto"/>
      </w:divBdr>
    </w:div>
    <w:div w:id="1862164231">
      <w:bodyDiv w:val="1"/>
      <w:marLeft w:val="0"/>
      <w:marRight w:val="0"/>
      <w:marTop w:val="0"/>
      <w:marBottom w:val="0"/>
      <w:divBdr>
        <w:top w:val="none" w:sz="0" w:space="0" w:color="auto"/>
        <w:left w:val="none" w:sz="0" w:space="0" w:color="auto"/>
        <w:bottom w:val="none" w:sz="0" w:space="0" w:color="auto"/>
        <w:right w:val="none" w:sz="0" w:space="0" w:color="auto"/>
      </w:divBdr>
    </w:div>
    <w:div w:id="1892157716">
      <w:bodyDiv w:val="1"/>
      <w:marLeft w:val="0"/>
      <w:marRight w:val="0"/>
      <w:marTop w:val="0"/>
      <w:marBottom w:val="0"/>
      <w:divBdr>
        <w:top w:val="none" w:sz="0" w:space="0" w:color="auto"/>
        <w:left w:val="none" w:sz="0" w:space="0" w:color="auto"/>
        <w:bottom w:val="none" w:sz="0" w:space="0" w:color="auto"/>
        <w:right w:val="none" w:sz="0" w:space="0" w:color="auto"/>
      </w:divBdr>
    </w:div>
    <w:div w:id="1930037710">
      <w:bodyDiv w:val="1"/>
      <w:marLeft w:val="0"/>
      <w:marRight w:val="0"/>
      <w:marTop w:val="0"/>
      <w:marBottom w:val="0"/>
      <w:divBdr>
        <w:top w:val="none" w:sz="0" w:space="0" w:color="auto"/>
        <w:left w:val="none" w:sz="0" w:space="0" w:color="auto"/>
        <w:bottom w:val="none" w:sz="0" w:space="0" w:color="auto"/>
        <w:right w:val="none" w:sz="0" w:space="0" w:color="auto"/>
      </w:divBdr>
    </w:div>
    <w:div w:id="2017418211">
      <w:bodyDiv w:val="1"/>
      <w:marLeft w:val="0"/>
      <w:marRight w:val="0"/>
      <w:marTop w:val="0"/>
      <w:marBottom w:val="0"/>
      <w:divBdr>
        <w:top w:val="none" w:sz="0" w:space="0" w:color="auto"/>
        <w:left w:val="none" w:sz="0" w:space="0" w:color="auto"/>
        <w:bottom w:val="none" w:sz="0" w:space="0" w:color="auto"/>
        <w:right w:val="none" w:sz="0" w:space="0" w:color="auto"/>
      </w:divBdr>
    </w:div>
    <w:div w:id="2039038982">
      <w:bodyDiv w:val="1"/>
      <w:marLeft w:val="0"/>
      <w:marRight w:val="0"/>
      <w:marTop w:val="0"/>
      <w:marBottom w:val="0"/>
      <w:divBdr>
        <w:top w:val="none" w:sz="0" w:space="0" w:color="auto"/>
        <w:left w:val="none" w:sz="0" w:space="0" w:color="auto"/>
        <w:bottom w:val="none" w:sz="0" w:space="0" w:color="auto"/>
        <w:right w:val="none" w:sz="0" w:space="0" w:color="auto"/>
      </w:divBdr>
    </w:div>
    <w:div w:id="2039771014">
      <w:bodyDiv w:val="1"/>
      <w:marLeft w:val="0"/>
      <w:marRight w:val="0"/>
      <w:marTop w:val="0"/>
      <w:marBottom w:val="0"/>
      <w:divBdr>
        <w:top w:val="none" w:sz="0" w:space="0" w:color="auto"/>
        <w:left w:val="none" w:sz="0" w:space="0" w:color="auto"/>
        <w:bottom w:val="none" w:sz="0" w:space="0" w:color="auto"/>
        <w:right w:val="none" w:sz="0" w:space="0" w:color="auto"/>
      </w:divBdr>
    </w:div>
    <w:div w:id="2052412766">
      <w:bodyDiv w:val="1"/>
      <w:marLeft w:val="0"/>
      <w:marRight w:val="0"/>
      <w:marTop w:val="0"/>
      <w:marBottom w:val="0"/>
      <w:divBdr>
        <w:top w:val="none" w:sz="0" w:space="0" w:color="auto"/>
        <w:left w:val="none" w:sz="0" w:space="0" w:color="auto"/>
        <w:bottom w:val="none" w:sz="0" w:space="0" w:color="auto"/>
        <w:right w:val="none" w:sz="0" w:space="0" w:color="auto"/>
      </w:divBdr>
    </w:div>
    <w:div w:id="2073964260">
      <w:bodyDiv w:val="1"/>
      <w:marLeft w:val="0"/>
      <w:marRight w:val="0"/>
      <w:marTop w:val="0"/>
      <w:marBottom w:val="0"/>
      <w:divBdr>
        <w:top w:val="none" w:sz="0" w:space="0" w:color="auto"/>
        <w:left w:val="none" w:sz="0" w:space="0" w:color="auto"/>
        <w:bottom w:val="none" w:sz="0" w:space="0" w:color="auto"/>
        <w:right w:val="none" w:sz="0" w:space="0" w:color="auto"/>
      </w:divBdr>
    </w:div>
    <w:div w:id="2091195424">
      <w:bodyDiv w:val="1"/>
      <w:marLeft w:val="0"/>
      <w:marRight w:val="0"/>
      <w:marTop w:val="0"/>
      <w:marBottom w:val="0"/>
      <w:divBdr>
        <w:top w:val="none" w:sz="0" w:space="0" w:color="auto"/>
        <w:left w:val="none" w:sz="0" w:space="0" w:color="auto"/>
        <w:bottom w:val="none" w:sz="0" w:space="0" w:color="auto"/>
        <w:right w:val="none" w:sz="0" w:space="0" w:color="auto"/>
      </w:divBdr>
    </w:div>
    <w:div w:id="214233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How24</b:Tag>
    <b:SourceType>InternetSite</b:SourceType>
    <b:Guid>{C7C30800-008B-4892-9C32-D779A1740FF6}</b:Guid>
    <b:Author>
      <b:Author>
        <b:NameList>
          <b:Person>
            <b:Last>Ltd</b:Last>
            <b:First>Howden</b:First>
            <b:Middle>Joinery</b:Middle>
          </b:Person>
        </b:NameList>
      </b:Author>
    </b:Author>
    <b:Title>Reports for each year back to 2006</b:Title>
    <b:Year>2024</b:Year>
    <b:YearAccessed>2024</b:YearAccessed>
    <b:MonthAccessed>07</b:MonthAccessed>
    <b:DayAccessed>28</b:DayAccessed>
    <b:URL>https://www.howdenjoinerygroupplc.com/investors/results-reports-and-presentations/annual-reports</b:URL>
    <b:RefOrder>7</b:RefOrder>
  </b:Source>
  <b:Source>
    <b:Tag>HOW23</b:Tag>
    <b:SourceType>InternetSite</b:SourceType>
    <b:Guid>{DAE2F935-454D-41E0-BA16-ADCDEB297034}</b:Guid>
    <b:Author>
      <b:Author>
        <b:NameList>
          <b:Person>
            <b:Last>PLC</b:Last>
            <b:First>HOWDEN</b:First>
            <b:Middle>JOINERY GROUP</b:Middle>
          </b:Person>
        </b:NameList>
      </b:Author>
    </b:Author>
    <b:Title>Howden Joinery : 2022 Annual Report and Accounts</b:Title>
    <b:Year>2023</b:Year>
    <b:YearAccessed>2024</b:YearAccessed>
    <b:MonthAccessed>07</b:MonthAccessed>
    <b:DayAccessed>28</b:DayAccessed>
    <b:URL>https://www.marketscreener.com/quote/stock/HOWDEN-JOINERY-GROUP-PLC-4002136/news/Howden-Joinery-2022-Annual-Report-and-Accounts-43363699/</b:URL>
    <b:RefOrder>8</b:RefOrder>
  </b:Source>
  <b:Source>
    <b:Tag>mar23</b:Tag>
    <b:SourceType>InternetSite</b:SourceType>
    <b:Guid>{19259088-D8E5-4661-AADE-AAFBA5DDBBDA}</b:Guid>
    <b:Author>
      <b:Author>
        <b:NameList>
          <b:Person>
            <b:Last>screneer</b:Last>
            <b:First>market</b:First>
          </b:Person>
        </b:NameList>
      </b:Author>
    </b:Author>
    <b:Title>Further market share gains and on track for 2023</b:Title>
    <b:Year>2023</b:Year>
    <b:YearAccessed>2024</b:YearAccessed>
    <b:MonthAccessed>07</b:MonthAccessed>
    <b:DayAccessed>28</b:DayAccessed>
    <b:URL>https://www.howdenjoinerygroupplc.com/investors/results-reports-and-presentations/latest-results-announcement</b:URL>
    <b:RefOrder>9</b:RefOrder>
  </b:Source>
  <b:Source>
    <b:Tag>inv24</b:Tag>
    <b:SourceType>InternetSite</b:SourceType>
    <b:Guid>{196435F8-DEFC-4771-B05F-496989C9770A}</b:Guid>
    <b:Author>
      <b:Author>
        <b:NameList>
          <b:Person>
            <b:Last>investopedia</b:Last>
          </b:Person>
        </b:NameList>
      </b:Author>
    </b:Author>
    <b:Title>Gross Margin: Definition, Example, Formula, and How to Calculate</b:Title>
    <b:Year>2024</b:Year>
    <b:YearAccessed>2024</b:YearAccessed>
    <b:MonthAccessed>7</b:MonthAccessed>
    <b:DayAccessed>27</b:DayAccessed>
    <b:URL>https://www.investopedia.com/terms/g/grossmargin.asp</b:URL>
    <b:RefOrder>10</b:RefOrder>
  </b:Source>
  <b:Source>
    <b:Tag>CFI241</b:Tag>
    <b:SourceType>InternetSite</b:SourceType>
    <b:Guid>{551C8680-2D46-4D1C-9C84-E2C5BC1D368E}</b:Guid>
    <b:Author>
      <b:Author>
        <b:NameList>
          <b:Person>
            <b:Last>team</b:Last>
            <b:First>CFI</b:First>
          </b:Person>
        </b:NameList>
      </b:Author>
    </b:Author>
    <b:Title>Limitations of Ratio Analysis</b:Title>
    <b:Year>2024</b:Year>
    <b:YearAccessed>2024</b:YearAccessed>
    <b:MonthAccessed>07</b:MonthAccessed>
    <b:DayAccessed>27</b:DayAccessed>
    <b:URL>https://corporatefinanceinstitute.com/resources/accounting/limitations-ratio-analysis/</b:URL>
    <b:RefOrder>4</b:RefOrder>
  </b:Source>
  <b:Source>
    <b:Tag>top23</b:Tag>
    <b:SourceType>InternetSite</b:SourceType>
    <b:Guid>{451EC45A-DD97-41A8-A7E7-47D4BE52703F}</b:Guid>
    <b:Author>
      <b:Author>
        <b:Corporate>toppors from bujjus</b:Corporate>
      </b:Author>
    </b:Author>
    <b:Title>Accounting Ratios</b:Title>
    <b:Year>2023</b:Year>
    <b:YearAccessed>2024</b:YearAccessed>
    <b:MonthAccessed>07</b:MonthAccessed>
    <b:DayAccessed>27</b:DayAccessed>
    <b:URL>https://toppr.com/guides/accountancy/accounting-ratios/meaning-objectives-advantages-and-limitations-of-ratio-analysis/</b:URL>
    <b:RefOrder>5</b:RefOrder>
  </b:Source>
  <b:Source>
    <b:Tag>WSO23</b:Tag>
    <b:SourceType>InternetSite</b:SourceType>
    <b:Guid>{EF530A17-24C2-41C1-96D8-8702D742043B}</b:Guid>
    <b:Author>
      <b:Author>
        <b:NameList>
          <b:Person>
            <b:Last>WSO</b:Last>
          </b:Person>
        </b:NameList>
      </b:Author>
    </b:Author>
    <b:Title>Limitations of Ratio Analysis</b:Title>
    <b:Year>2023</b:Year>
    <b:YearAccessed>2024 </b:YearAccessed>
    <b:MonthAccessed>7</b:MonthAccessed>
    <b:DayAccessed>26</b:DayAccessed>
    <b:URL>https://www.wallstreetoasis.com/resources/skills/finance/limitations-ratio-analysis</b:URL>
    <b:RefOrder>6</b:RefOrder>
  </b:Source>
  <b:Source>
    <b:Tag>How241</b:Tag>
    <b:SourceType>InternetSite</b:SourceType>
    <b:Guid>{E9596A4F-38AF-43D0-9518-98C6E847C9C7}</b:Guid>
    <b:Author>
      <b:Author>
        <b:NameList>
          <b:Person>
            <b:Last>Ltd</b:Last>
            <b:First>Howden</b:First>
            <b:Middle>Joinery</b:Middle>
          </b:Person>
        </b:NameList>
      </b:Author>
    </b:Author>
    <b:Title>HOWDENS Making space more valuable</b:Title>
    <b:Year>2024</b:Year>
    <b:YearAccessed>2024</b:YearAccessed>
    <b:MonthAccessed>07</b:MonthAccessed>
    <b:DayAccessed>29</b:DayAccessed>
    <b:URL>https://www.howdenjoinerygroupplc.com/investors/results-reports-and-presentations/results-centre</b:URL>
    <b:RefOrder>1</b:RefOrder>
  </b:Source>
  <b:Source>
    <b:Tag>ANi24</b:Tag>
    <b:SourceType>InternetSite</b:SourceType>
    <b:Guid>{AAFE05DC-C0A4-4F57-B5CE-AC16EBB7163D}</b:Guid>
    <b:Author>
      <b:Author>
        <b:Corporate>A Nikkei Company</b:Corporate>
      </b:Author>
    </b:Author>
    <b:Title>Financial Times</b:Title>
    <b:Year>2024</b:Year>
    <b:YearAccessed>2024</b:YearAccessed>
    <b:MonthAccessed>07</b:MonthAccessed>
    <b:DayAccessed>29</b:DayAccessed>
    <b:URL>https://markets.ft.com/data/equities/tearsheet/financials?s=HWDN:LSE</b:URL>
    <b:RefOrder>2</b:RefOrder>
  </b:Source>
  <b:Source>
    <b:Tag>how24</b:Tag>
    <b:SourceType>InternetSite</b:SourceType>
    <b:Guid>{7ACFA975-A9D7-4668-B250-053CCA8F6CD2}</b:Guid>
    <b:Author>
      <b:Author>
        <b:NameList>
          <b:Person>
            <b:Last>howdens</b:Last>
          </b:Person>
        </b:NameList>
      </b:Author>
    </b:Author>
    <b:Title>2023 Full Year Results</b:Title>
    <b:Year>2024</b:Year>
    <b:YearAccessed>2024</b:YearAccessed>
    <b:MonthAccessed>07</b:MonthAccessed>
    <b:DayAccessed>29</b:DayAccessed>
    <b:URL>https://www.howdenjoinerygroupplc.com/media-centre/archive/2024/290224</b:URL>
    <b:RefOrder>3</b:RefOrder>
  </b:Source>
</b:Sources>
</file>

<file path=customXml/itemProps1.xml><?xml version="1.0" encoding="utf-8"?>
<ds:datastoreItem xmlns:ds="http://schemas.openxmlformats.org/officeDocument/2006/customXml" ds:itemID="{DADDD545-6E89-4B83-AFF1-54643DFC8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sajina shrestha</dc:creator>
  <cp:keywords/>
  <dc:description/>
  <cp:lastModifiedBy>sajina shrestha</cp:lastModifiedBy>
  <cp:revision>106</cp:revision>
  <dcterms:created xsi:type="dcterms:W3CDTF">2024-07-27T16:36:00Z</dcterms:created>
  <dcterms:modified xsi:type="dcterms:W3CDTF">2024-07-30T02:19:00Z</dcterms:modified>
</cp:coreProperties>
</file>