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omfortaa" w:cs="Comfortaa" w:eastAsia="Comfortaa" w:hAnsi="Comforta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Department of Computer  Science and Engineering, University of Dhak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5334000</wp:posOffset>
            </wp:positionH>
            <wp:positionV relativeFrom="paragraph">
              <wp:posOffset>295275</wp:posOffset>
            </wp:positionV>
            <wp:extent cx="1374621" cy="17335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4621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20" w:lineRule="auto"/>
        <w:rPr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50"/>
          <w:szCs w:val="50"/>
          <w:rtl w:val="0"/>
        </w:rPr>
        <w:t xml:space="preserve">Lab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Rule="auto"/>
        <w:jc w:val="left"/>
        <w:rPr>
          <w:rFonts w:ascii="Merriweather" w:cs="Merriweather" w:eastAsia="Merriweather" w:hAnsi="Merriweather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sz w:val="40"/>
          <w:szCs w:val="40"/>
          <w:rtl w:val="0"/>
        </w:rPr>
        <w:t xml:space="preserve">Digital Logic Design Lab-1212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Rule="auto"/>
        <w:jc w:val="left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Experiment No. - 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Rule="auto"/>
        <w:jc w:val="left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Experiment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Rule="auto"/>
        <w:jc w:val="left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Course Code - ( EEE-1212 )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320"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320" w:line="167.99999999999997" w:lineRule="auto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0C">
      <w:pPr>
        <w:spacing w:before="320" w:line="167.99999999999997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0D">
      <w:pPr>
        <w:spacing w:before="320" w:line="167.99999999999997" w:lineRule="auto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Team Name: B09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Submitted to:</w:t>
      </w:r>
    </w:p>
    <w:p w:rsidR="00000000" w:rsidDel="00000000" w:rsidP="00000000" w:rsidRDefault="00000000" w:rsidRPr="00000000" w14:paraId="0000000E">
      <w:pPr>
        <w:spacing w:before="320" w:line="96.00000000000001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Md. Emon Khan-30                       Dr. Md. Mustafizur Rahman </w:t>
      </w:r>
    </w:p>
    <w:p w:rsidR="00000000" w:rsidDel="00000000" w:rsidP="00000000" w:rsidRDefault="00000000" w:rsidRPr="00000000" w14:paraId="0000000F">
      <w:pPr>
        <w:spacing w:before="320" w:line="96.00000000000001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                                                       Professor, Dept. of CSE,University of Dhaka</w:t>
      </w:r>
    </w:p>
    <w:p w:rsidR="00000000" w:rsidDel="00000000" w:rsidP="00000000" w:rsidRDefault="00000000" w:rsidRPr="00000000" w14:paraId="00000010">
      <w:pPr>
        <w:spacing w:before="320" w:line="96.00000000000001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Abdullah Ashik-32                        Dr. Md. Abdur Razzaque</w:t>
      </w:r>
    </w:p>
    <w:p w:rsidR="00000000" w:rsidDel="00000000" w:rsidP="00000000" w:rsidRDefault="00000000" w:rsidRPr="00000000" w14:paraId="00000011">
      <w:pPr>
        <w:spacing w:before="320" w:line="96.00000000000001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                                                       Professor, Dept. of CSE,University of Dhaka</w:t>
      </w:r>
    </w:p>
    <w:p w:rsidR="00000000" w:rsidDel="00000000" w:rsidP="00000000" w:rsidRDefault="00000000" w:rsidRPr="00000000" w14:paraId="00000012">
      <w:pPr>
        <w:spacing w:before="320" w:line="96.00000000000001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Mahmudul Hasan-60                   Dr. Ismat Rahman </w:t>
      </w:r>
    </w:p>
    <w:p w:rsidR="00000000" w:rsidDel="00000000" w:rsidP="00000000" w:rsidRDefault="00000000" w:rsidRPr="00000000" w14:paraId="00000013">
      <w:pPr>
        <w:spacing w:before="320" w:line="96.00000000000001" w:lineRule="auto"/>
        <w:rPr>
          <w:rFonts w:ascii="Comfortaa" w:cs="Comfortaa" w:eastAsia="Comfortaa" w:hAnsi="Comfortaa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                                                          Associate Professor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CSE,University of Dhaka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chitects Daughter">
    <w:embedRegular w:fontKey="{00000000-0000-0000-0000-000000000000}" r:id="rId1" w:subsetted="0"/>
  </w:font>
  <w:font w:name="Lor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Quicksand">
    <w:embedRegular w:fontKey="{00000000-0000-0000-0000-000000000000}" r:id="rId6" w:subsetted="0"/>
    <w:embedBold w:fontKey="{00000000-0000-0000-0000-000000000000}" r:id="rId7" w:subsetted="0"/>
  </w:font>
  <w:font w:name="Merriweather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  <w:font w:name="Comfortaa">
    <w:embedRegular w:fontKey="{00000000-0000-0000-0000-000000000000}" r:id="rId12" w:subsetted="0"/>
    <w:embedBold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="240" w:lineRule="auto"/>
      <w:jc w:val="center"/>
    </w:pPr>
    <w:rPr>
      <w:color w:val="000000"/>
      <w:sz w:val="72"/>
      <w:szCs w:val="72"/>
    </w:rPr>
  </w:style>
  <w:style w:type="paragraph" w:styleId="Heading2">
    <w:name w:val="heading 2"/>
    <w:basedOn w:val="Normal"/>
    <w:next w:val="Normal"/>
    <w:pPr>
      <w:pageBreakBefore w:val="0"/>
      <w:spacing w:before="480" w:lineRule="auto"/>
    </w:pPr>
    <w:rPr>
      <w:color w:val="000000"/>
      <w:sz w:val="40"/>
      <w:szCs w:val="40"/>
    </w:rPr>
  </w:style>
  <w:style w:type="paragraph" w:styleId="Heading3">
    <w:name w:val="heading 3"/>
    <w:basedOn w:val="Normal"/>
    <w:next w:val="Normal"/>
    <w:pPr>
      <w:pageBreakBefore w:val="0"/>
      <w:spacing w:after="120" w:before="120" w:line="312" w:lineRule="auto"/>
    </w:pPr>
    <w:rPr>
      <w:color w:val="999999"/>
    </w:rPr>
  </w:style>
  <w:style w:type="paragraph" w:styleId="Heading4">
    <w:name w:val="heading 4"/>
    <w:basedOn w:val="Normal"/>
    <w:next w:val="Normal"/>
    <w:pPr>
      <w:pageBreakBefore w:val="0"/>
      <w:spacing w:before="0" w:line="240" w:lineRule="auto"/>
      <w:jc w:val="center"/>
    </w:pPr>
    <w:rPr>
      <w:rFonts w:ascii="Quicksand" w:cs="Quicksand" w:eastAsia="Quicksand" w:hAnsi="Quicksand"/>
      <w:color w:val="434343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200" w:line="240" w:lineRule="auto"/>
      <w:jc w:val="center"/>
    </w:pPr>
    <w:rPr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="240" w:lineRule="auto"/>
      <w:jc w:val="center"/>
    </w:pPr>
    <w:rPr>
      <w:color w:val="000000"/>
      <w:sz w:val="72"/>
      <w:szCs w:val="72"/>
    </w:rPr>
  </w:style>
  <w:style w:type="paragraph" w:styleId="Heading2">
    <w:name w:val="heading 2"/>
    <w:basedOn w:val="Normal"/>
    <w:next w:val="Normal"/>
    <w:pPr>
      <w:pageBreakBefore w:val="0"/>
      <w:spacing w:before="480" w:lineRule="auto"/>
    </w:pPr>
    <w:rPr>
      <w:color w:val="000000"/>
      <w:sz w:val="40"/>
      <w:szCs w:val="40"/>
    </w:rPr>
  </w:style>
  <w:style w:type="paragraph" w:styleId="Heading3">
    <w:name w:val="heading 3"/>
    <w:basedOn w:val="Normal"/>
    <w:next w:val="Normal"/>
    <w:pPr>
      <w:pageBreakBefore w:val="0"/>
      <w:spacing w:after="120" w:before="120" w:line="312" w:lineRule="auto"/>
    </w:pPr>
    <w:rPr>
      <w:color w:val="999999"/>
    </w:rPr>
  </w:style>
  <w:style w:type="paragraph" w:styleId="Heading4">
    <w:name w:val="heading 4"/>
    <w:basedOn w:val="Normal"/>
    <w:next w:val="Normal"/>
    <w:pPr>
      <w:pageBreakBefore w:val="0"/>
      <w:spacing w:before="0" w:line="240" w:lineRule="auto"/>
      <w:jc w:val="center"/>
    </w:pPr>
    <w:rPr>
      <w:rFonts w:ascii="Quicksand" w:cs="Quicksand" w:eastAsia="Quicksand" w:hAnsi="Quicksand"/>
      <w:color w:val="434343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200" w:line="240" w:lineRule="auto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  <w:jc w:val="center"/>
    </w:pPr>
    <w:rPr>
      <w:rFonts w:ascii="Quicksand" w:cs="Quicksand" w:eastAsia="Quicksand" w:hAnsi="Quicksand"/>
      <w:color w:val="666666"/>
      <w:sz w:val="20"/>
      <w:szCs w:val="2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  <w:jc w:val="center"/>
    </w:pPr>
    <w:rPr>
      <w:rFonts w:ascii="Quicksand" w:cs="Quicksand" w:eastAsia="Quicksand" w:hAnsi="Quicksan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erriweather-boldItalic.ttf"/><Relationship Id="rId10" Type="http://schemas.openxmlformats.org/officeDocument/2006/relationships/font" Target="fonts/Merriweather-italic.ttf"/><Relationship Id="rId13" Type="http://schemas.openxmlformats.org/officeDocument/2006/relationships/font" Target="fonts/Comfortaa-bold.ttf"/><Relationship Id="rId12" Type="http://schemas.openxmlformats.org/officeDocument/2006/relationships/font" Target="fonts/Comfortaa-regular.ttf"/><Relationship Id="rId1" Type="http://schemas.openxmlformats.org/officeDocument/2006/relationships/font" Target="fonts/ArchitectsDaughter-regular.ttf"/><Relationship Id="rId2" Type="http://schemas.openxmlformats.org/officeDocument/2006/relationships/font" Target="fonts/Lora-regular.ttf"/><Relationship Id="rId3" Type="http://schemas.openxmlformats.org/officeDocument/2006/relationships/font" Target="fonts/Lora-bold.ttf"/><Relationship Id="rId4" Type="http://schemas.openxmlformats.org/officeDocument/2006/relationships/font" Target="fonts/Lora-italic.ttf"/><Relationship Id="rId9" Type="http://schemas.openxmlformats.org/officeDocument/2006/relationships/font" Target="fonts/Merriweather-bold.ttf"/><Relationship Id="rId5" Type="http://schemas.openxmlformats.org/officeDocument/2006/relationships/font" Target="fonts/Lora-boldItalic.ttf"/><Relationship Id="rId6" Type="http://schemas.openxmlformats.org/officeDocument/2006/relationships/font" Target="fonts/Quicksand-regular.ttf"/><Relationship Id="rId7" Type="http://schemas.openxmlformats.org/officeDocument/2006/relationships/font" Target="fonts/Quicksand-bold.ttf"/><Relationship Id="rId8" Type="http://schemas.openxmlformats.org/officeDocument/2006/relationships/font" Target="fonts/Merriweath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DxHmc7qwS5y7AwNtwC+dTuEQnw==">AMUW2mVzSLBaO3c5YlvE16LxEvR72RmN5vMxK6YsgPutoQjlPkvRR/7AQJe0GAOcoF+zFDCt+ZnQ+UQ9bVAdwy/kXSOo0VCjyNV5UL8CFMgRjsd6SSzR7X0VYgILaIYbhY+SFAiSFVji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