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文档版本：V1.3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修订：统一浅色二次元可爱主题、多 AI 模型切换、自定义存储路径、性能适配，并修复上传/背景问题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ListNumber"/>
      </w:pPr>
      <w:r>
        <w:t>10. 界面统一采用浅色二次元可爱风格，所有页面和对话框保持视觉一致，自定义背景图可全窗口覆盖且不影响文字阅读。</w:t>
      </w:r>
    </w:p>
    <w:p>
      <w:pPr>
        <w:pStyle w:val="ListNumber"/>
      </w:pPr>
      <w:r>
        <w:t>11. 支持在 DeepSeek、OpenAI、Moonshot、智谱等 OpenAI 兼容 AI 服务间切换，并在右上角显示当前 AI 与模型名称。</w:t>
      </w:r>
    </w:p>
    <w:p>
      <w:pPr>
        <w:pStyle w:val="ListNumber"/>
      </w:pPr>
      <w:r>
        <w:t>12. 数据存储目录可由用户自定义，文档、向量库、模型、背景图片等统一迁移到指定位置。</w:t>
      </w:r>
    </w:p>
    <w:p>
      <w:pPr>
        <w:pStyle w:val="ListNumber"/>
      </w:pPr>
      <w:r>
        <w:t>13. 在批量上传、大文档处理和多任务场景下保持界面响应，避免卡顿与任务堆叠。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多 AI 供应商切换、当前模型名称显示、自定义数据存储路径、统一浅色二次元主题。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模型切换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多供应商切换、模型名称显示、按供应商保存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浅色二次元可爱风格全应用统一、背景全屏覆盖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自定义本地数据目录，避免固定位置或 C 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性能与稳定性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分批向量化、任务互斥、大文件防卡顿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/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spacing w:after="40"/>
      </w:pPr>
    </w:p>
    <w:p/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……</w:t>
      </w:r>
    </w:p>
    <w:p>
      <w:pPr>
        <w:spacing w:after="40"/>
      </w:pPr>
    </w:p>
    <w:p/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四、参考资料</w:t>
      </w:r>
    </w:p>
    <w:p>
      <w:pPr>
        <w:spacing w:after="40"/>
      </w:pPr>
    </w:p>
    <w:p/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建议主窗口采用“全局导航 + 文件侧栏 + 工作区 + 上下文栏”的四栏式布局：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spacing w:after="40"/>
      </w:pPr>
    </w:p>
    <w:p/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spacing w:line="336" w:lineRule="auto"/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3"/>
      </w:pPr>
      <w:r>
        <w:t>5.11 统一主题、AI 切换、存储路径与性能适配</w:t>
      </w:r>
    </w:p>
    <w:p>
      <w:pPr>
        <w:spacing w:line="336" w:lineRule="auto"/>
        <w:ind w:firstLine="420"/>
      </w:pPr>
      <w:r>
        <w:t>需求编号：SYS-01 ~ SYS-08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统一主题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应用、对话框、菜单、表格、阅读器、聊天区全部采用浅色二次元可爱风格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自定义背景图片按比例铺满整个窗口，不因窗口缩放出现空白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背景不影响控件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文件树、正文、按钮、菜单等关键内容使用半透明白底，保证可读性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服务切换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 DeepSeek、OpenAI、Moonshot/Kimi、智谱及自定义 OpenAI 兼容服务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模型名称显示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连接 AI 后右上角显示“供应商 · 模型名”，点击可切换模型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用户可选择数据目录；知识库、文档、向量库、模型、背景图统一迁移到该目录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文档向量化按批次执行；上传期间禁止重复任务；大文件分页加载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并发保护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批量上传、重新处理、删除和生成文档互斥，避免线程竞争与界面卡死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所有页面使用同一套全局样式变量和组件样式，不允许局部页面使用不同主题。</w:t>
      </w:r>
    </w:p>
    <w:p>
      <w:pPr>
        <w:pStyle w:val="ListBullet"/>
      </w:pPr>
      <w:r>
        <w:t>背景文件与当前数据目录相同路径时不重复复制。</w:t>
      </w:r>
    </w:p>
    <w:p>
      <w:pPr>
        <w:pStyle w:val="ListBullet"/>
      </w:pPr>
      <w:r>
        <w:t>更改存储目录后明确提示重启，应用启动时优先读取用户自定义路径。</w:t>
      </w:r>
    </w:p>
    <w:p>
      <w:pPr>
        <w:pStyle w:val="ListBullet"/>
      </w:pPr>
      <w:r>
        <w:t>AI 供应商切换后自动填充默认 Base URL 和模型，支持手动修改。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key, value</w:t>
      </w:r>
    </w:p>
    <w:p>
      <w:pPr>
        <w:spacing w:after="40"/>
      </w:pPr>
    </w:p>
    <w:p/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spacing w:after="40"/>
      </w:pPr>
    </w:p>
    <w:p/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spacing w:after="40"/>
      </w:pPr>
    </w:p>
    <w:p/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spacing w:after="40"/>
      </w:pPr>
    </w:p>
    <w:p/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spacing w:after="40"/>
      </w:pPr>
    </w:p>
    <w:p/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spacing w:after="40"/>
      </w:pPr>
    </w:p>
    <w:p/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spacing w:after="40"/>
      </w:pPr>
    </w:p>
    <w:p/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spacing w:after="40"/>
      </w:pPr>
    </w:p>
    <w:p/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71 人日，合理范围为 65~80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Markdown、背景图片、视觉模型、主题、AI 切换、存储路径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单测、集成、可用性、性能与并发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spacing w:line="336" w:lineRule="auto"/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pStyle w:val="ListBullet"/>
      </w:pPr>
      <w:r>
        <w:t>P5-09 实现浅色二次元可爱主题全局 QSS 与全屏背景绘制层（1.5 人日）。</w:t>
      </w:r>
    </w:p>
    <w:p>
      <w:pPr>
        <w:pStyle w:val="ListBullet"/>
      </w:pPr>
      <w:r>
        <w:t>P5-10 实现多 AI 供应商切换、右上角模型显示与按供应商保存 Key（1.5 人日）。</w:t>
      </w:r>
    </w:p>
    <w:p>
      <w:pPr>
        <w:pStyle w:val="ListBullet"/>
      </w:pPr>
      <w:r>
        <w:t>P5-11 实现自定义数据存储路径、覆盖文件与重启提示（1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pStyle w:val="ListBullet"/>
      </w:pPr>
      <w:r>
        <w:t>P6-06 验证分批向量化、上传互斥、后台线程与长任务界面响应（1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3"/>
      </w:pPr>
      <w:r>
        <w:t>9.7 系统体验与性能验收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主题统一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主窗口、设置、菜单、对话框、阅读器、聊天区均使用同一套浅色二次元可爱风格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自定义背景图铺满窗口，缩放窗口不出现空白区域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重复保存背景、背景路径与数据目录相同路径时不报错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设置中切换 AI 服务后，Base URL、模型名和 Key 正确更新，右上角显示当前模型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选择新目录并重启后，知识库、文档、向量、模型和背景图使用该目录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上传互斥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文档处理期间再次点击上传会被阻止，不会造成任务堆叠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大文件响应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向量化按批次执行，处理大文档时界面仍可交互或给出清晰进度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增值功能版：Markdown、背景、视觉模型、统一主题、AI 切换、存储路径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ACC-MD1~MD7、ACC-BG1~BG6、ACC-IMG5~IMG7、ACC-SYS1~SYS7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