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Campus Hub — 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40"/>
        <w:gridCol w:w="5100"/>
        <w:gridCol w:w="5070"/>
        <w:tblGridChange w:id="0">
          <w:tblGrid>
            <w:gridCol w:w="600"/>
            <w:gridCol w:w="2040"/>
            <w:gridCol w:w="5100"/>
            <w:gridCol w:w="5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register a new account, login with email and password, and logout.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account (Register), Read session (Login), Delete session (Logout)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view any profile on the platform and update their own personal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profile, Update profile info (name, bio, department)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create text posts visible on the campus-wide feed, browse all posts, and delete their 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post, Read </w:t>
            </w:r>
            <w:r w:rsidDel="00000000" w:rsidR="00000000" w:rsidRPr="00000000">
              <w:rPr>
                <w:rtl w:val="0"/>
              </w:rPr>
              <w:t xml:space="preserve">posts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Delete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add comments to any post, view all comments under a post, and delete their own comments.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comment, Read comments on post, Delete 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reply directly to an existing comment, forming a nested thread. Replies can be viewed and deleted.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reply, Read replies under comment, Delete reply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upvote or downvote any post. A user can change or remove their vote at any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vote, Update vote type (up/down), Delete vote, Read vote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Follow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follow or unfollow other users and view their own followers and following lists.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follow, Delete follow (unfollow), Read followers and following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send real-time direct messages to any other user and view their full conversation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message, Read conversation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 can search for other users by name or department to find and visit their profiles.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users by search 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