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before="240" w:lineRule="auto"/>
        <w:jc w:val="center"/>
        <w:rPr/>
      </w:pPr>
      <w:r w:rsidDel="00000000" w:rsidR="00000000" w:rsidRPr="00000000">
        <w:rPr>
          <w:rtl w:val="0"/>
        </w:rPr>
        <w:t xml:space="preserve">Arrows Tab Q509</w:t>
      </w:r>
    </w:p>
    <w:p w:rsidR="00000000" w:rsidDel="00000000" w:rsidP="00000000" w:rsidRDefault="00000000" w:rsidRPr="00000000" w14:paraId="00000002">
      <w:pPr>
        <w:pStyle w:val="Heading1"/>
        <w:numPr>
          <w:ilvl w:val="0"/>
          <w:numId w:val="1"/>
        </w:numPr>
        <w:ind w:left="0" w:firstLine="0"/>
        <w:jc w:val="left"/>
        <w:rPr/>
      </w:pPr>
      <w:r w:rsidDel="00000000" w:rsidR="00000000" w:rsidRPr="00000000">
        <w:rPr>
          <w:rFonts w:ascii="Liberation Sans" w:cs="Liberation Sans" w:eastAsia="Liberation Sans" w:hAnsi="Liberation Sans"/>
          <w:b w:val="1"/>
          <w:bCs w:val="1"/>
          <w:sz w:val="36"/>
          <w:szCs w:val="36"/>
          <w:rtl w:val="0"/>
        </w:rPr>
        <w:t xml:space="preserve">購入</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ans" w:cs="Liberation Sans" w:eastAsia="Liberation Sans" w:hAnsi="Liberation Sans"/>
          <w:b w:val="1"/>
          <w:bCs w:val="1"/>
          <w:i w:val="0"/>
          <w:iCs w:val="0"/>
          <w:smallCaps w:val="0"/>
          <w:strike w:val="0"/>
          <w:color w:val="000000"/>
          <w:sz w:val="36"/>
          <w:szCs w:val="36"/>
          <w:u w:val="none"/>
          <w:shd w:fill="auto" w:val="clear"/>
          <w:vertAlign w:val="baseline"/>
          <w:rtl w:val="0"/>
        </w:rPr>
        <w:t xml:space="preserve">仕様</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6120130" cy="1894205"/>
            <wp:effectExtent b="0" l="0" r="0" t="0"/>
            <wp:wrapSquare wrapText="bothSides" distB="0" distT="0" distL="0" distR="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120130" cy="1894205"/>
                    </a:xfrm>
                    <a:prstGeom prst="rect"/>
                    <a:ln/>
                  </pic:spPr>
                </pic:pic>
              </a:graphicData>
            </a:graphic>
          </wp:anchor>
        </w:drawing>
      </w:r>
    </w:p>
    <w:p w:rsidR="00000000" w:rsidDel="00000000" w:rsidP="00000000" w:rsidRDefault="00000000" w:rsidRPr="00000000" w14:paraId="00000004">
      <w:pPr>
        <w:jc w:val="left"/>
        <w:rPr/>
      </w:pPr>
      <w:r w:rsidDel="00000000" w:rsidR="00000000" w:rsidRPr="00000000">
        <w:rPr>
          <w:rtl w:val="0"/>
        </w:rPr>
        <w:t xml:space="preserve">8GB通常モデル</w:t>
      </w:r>
    </w:p>
    <w:p w:rsidR="00000000" w:rsidDel="00000000" w:rsidP="00000000" w:rsidRDefault="00000000" w:rsidRPr="00000000" w14:paraId="00000005">
      <w:pPr>
        <w:jc w:val="left"/>
        <w:rPr/>
      </w:pPr>
      <w:r w:rsidDel="00000000" w:rsidR="00000000" w:rsidRPr="00000000">
        <w:rPr>
          <w:rtl w:val="0"/>
        </w:rPr>
        <w:t xml:space="preserve">2019年1月発売らしい。</w:t>
      </w:r>
    </w:p>
    <w:tbl>
      <w:tblPr>
        <w:tblStyle w:val="Table1"/>
        <w:tblW w:w="9638.0" w:type="dxa"/>
        <w:jc w:val="left"/>
        <w:tblInd w:w="-75.0" w:type="dxa"/>
        <w:tblLayout w:type="fixed"/>
        <w:tblLook w:val="0000"/>
      </w:tblPr>
      <w:tblGrid>
        <w:gridCol w:w="1927"/>
        <w:gridCol w:w="1883"/>
        <w:gridCol w:w="1324"/>
        <w:gridCol w:w="2240"/>
        <w:gridCol w:w="2264"/>
        <w:tblGridChange w:id="0">
          <w:tblGrid>
            <w:gridCol w:w="1927"/>
            <w:gridCol w:w="1883"/>
            <w:gridCol w:w="1324"/>
            <w:gridCol w:w="2240"/>
            <w:gridCol w:w="2264"/>
          </w:tblGrid>
        </w:tblGridChange>
      </w:tblGrid>
      <w:tr>
        <w:trPr>
          <w:cantSplit w:val="0"/>
          <w:tblHeader w:val="0"/>
        </w:trPr>
        <w:tc>
          <w:tcPr>
            <w:gridSpan w:val="3"/>
            <w:vMerge w:val="restart"/>
            <w:vAlign w:val="cente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シリーズ名 / 品名</w:t>
            </w:r>
          </w:p>
        </w:tc>
        <w:tc>
          <w:tcPr>
            <w:gridSpan w:val="2"/>
            <w:vAlign w:val="cente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Qシリーズ（10.1型ワイド液晶モデル）</w:t>
            </w:r>
          </w:p>
        </w:tc>
      </w:tr>
      <w:tr>
        <w:trPr>
          <w:cantSplit w:val="0"/>
          <w:tblHeader w:val="0"/>
        </w:trPr>
        <w:tc>
          <w:tcPr>
            <w:gridSpan w:val="3"/>
            <w:vMerge w:val="continue"/>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ARROWS Tab Q509/VE</w:t>
            </w:r>
          </w:p>
        </w:tc>
      </w:tr>
      <w:tr>
        <w:trPr>
          <w:cantSplit w:val="0"/>
          <w:tblHeader w:val="0"/>
        </w:trPr>
        <w:tc>
          <w:tcPr>
            <w:gridSpan w:val="3"/>
            <w:vAlign w:val="cente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プリインストールOS</w:t>
            </w:r>
          </w:p>
        </w:tc>
        <w:tc>
          <w:tcPr>
            <w:gridSpan w:val="2"/>
            <w:vAlign w:val="cente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Windows 10 Pro（64bit）（</w:t>
            </w:r>
            <w:hyperlink r:id="rId7">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29）</w:t>
            </w:r>
          </w:p>
        </w:tc>
      </w:tr>
      <w:tr>
        <w:trPr>
          <w:cantSplit w:val="0"/>
          <w:tblHeader w:val="0"/>
        </w:trPr>
        <w:tc>
          <w:tcPr>
            <w:gridSpan w:val="3"/>
            <w:vAlign w:val="center"/>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選択可能OS</w:t>
            </w:r>
          </w:p>
        </w:tc>
        <w:tc>
          <w:tcPr>
            <w:gridSpan w:val="2"/>
            <w:vAlign w:val="cente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Windows 10 Pro（64bit）（</w:t>
            </w:r>
            <w:hyperlink r:id="rId8">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29）</w:t>
            </w:r>
          </w:p>
        </w:tc>
      </w:tr>
      <w:tr>
        <w:trPr>
          <w:cantSplit w:val="0"/>
          <w:tblHeader w:val="0"/>
        </w:trPr>
        <w:tc>
          <w:tcPr>
            <w:vMerge w:val="restart"/>
            <w:vAlign w:val="cente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CPU</w:t>
            </w:r>
          </w:p>
        </w:tc>
        <w:tc>
          <w:tcPr>
            <w:gridSpan w:val="2"/>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インテル® Celeron® プロセッサー N4100</w:t>
            </w:r>
          </w:p>
        </w:tc>
        <w:tc>
          <w:tcP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インテル® Celeron® プロセッサー N4000</w:t>
            </w:r>
          </w:p>
        </w:tc>
      </w:tr>
      <w:tr>
        <w:trPr>
          <w:cantSplit w:val="0"/>
          <w:tblHeader w:val="0"/>
        </w:trPr>
        <w:tc>
          <w:tcPr>
            <w:vMerge w:val="continue"/>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動作周波数</w:t>
            </w:r>
          </w:p>
        </w:tc>
        <w:tc>
          <w:tcPr>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1.10GHz</w:t>
              <w:br w:type="textWrapping"/>
              <w:t xml:space="preserve">（インテル®ターボ・ブースト・テクノロジー対応：最大 2.40GHz）</w:t>
            </w:r>
          </w:p>
        </w:tc>
        <w:tc>
          <w:tcPr>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1.10GHz</w:t>
              <w:br w:type="textWrapping"/>
              <w:t xml:space="preserve">（インテル®ターボ・ブースト・テクノロジー対応：最大 2.60GHz）</w:t>
            </w:r>
          </w:p>
        </w:tc>
      </w:tr>
      <w:tr>
        <w:trPr>
          <w:cantSplit w:val="0"/>
          <w:tblHeader w:val="0"/>
        </w:trPr>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コア数 / スレッド数</w:t>
            </w:r>
          </w:p>
        </w:tc>
        <w:tc>
          <w:tcP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 4</w:t>
            </w:r>
          </w:p>
        </w:tc>
        <w:tc>
          <w:tcP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 2</w:t>
            </w:r>
          </w:p>
        </w:tc>
      </w:tr>
      <w:tr>
        <w:trPr>
          <w:cantSplit w:val="0"/>
          <w:tblHeader w:val="0"/>
        </w:trPr>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キャッシュメモリ</w:t>
            </w:r>
          </w:p>
        </w:tc>
        <w:tc>
          <w:tcPr>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2次</w:t>
            </w:r>
          </w:p>
        </w:tc>
        <w:tc>
          <w:tcPr>
            <w:gridSpan w:val="2"/>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4MB</w:t>
            </w:r>
          </w:p>
        </w:tc>
      </w:tr>
      <w:tr>
        <w:trPr>
          <w:cantSplit w:val="0"/>
          <w:tblHeader w:val="0"/>
        </w:trPr>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3次</w:t>
            </w:r>
          </w:p>
        </w:tc>
        <w:tc>
          <w:tcPr>
            <w:gridSpan w:val="2"/>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gridSpan w:val="3"/>
            <w:vAlign w:val="cente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チップセット</w:t>
            </w:r>
          </w:p>
        </w:tc>
        <w:tc>
          <w:tcPr>
            <w:gridSpan w:val="2"/>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CPUと一体</w:t>
            </w:r>
          </w:p>
        </w:tc>
      </w:tr>
      <w:tr>
        <w:trPr>
          <w:cantSplit w:val="0"/>
          <w:tblHeader w:val="0"/>
        </w:trPr>
        <w:tc>
          <w:tcPr>
            <w:vMerge w:val="restart"/>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メインメモリ</w:t>
            </w:r>
          </w:p>
        </w:tc>
        <w:tc>
          <w:tcPr>
            <w:vMerge w:val="restart"/>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標準 / 最大</w:t>
            </w:r>
          </w:p>
        </w:tc>
        <w:tc>
          <w:tcP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32bit</w:t>
            </w:r>
          </w:p>
        </w:tc>
        <w:tc>
          <w:tcPr>
            <w:gridSpan w:val="2"/>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continue"/>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64bit</w:t>
            </w:r>
          </w:p>
        </w:tc>
        <w:tc>
          <w:tcPr>
            <w:vAlign w:val="cente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8GB（オンボード）（LPDDR4-2400）（</w:t>
            </w:r>
            <w:hyperlink r:id="rId9">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24）</w:t>
            </w:r>
          </w:p>
        </w:tc>
        <w:tc>
          <w:tcPr>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4GB（オンボード）（LPDDR4-2400）（</w:t>
            </w:r>
            <w:hyperlink r:id="rId10">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24）</w:t>
            </w:r>
          </w:p>
        </w:tc>
      </w:tr>
      <w:tr>
        <w:trPr>
          <w:cantSplit w:val="0"/>
          <w:tblHeader w:val="0"/>
        </w:trPr>
        <w:tc>
          <w:tcPr>
            <w:vMerge w:val="continue"/>
            <w:vAlign w:val="cente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メモリスロット（空き）（</w:t>
            </w:r>
            <w:hyperlink r:id="rId11">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1）</w:t>
            </w:r>
          </w:p>
        </w:tc>
        <w:tc>
          <w:tcPr>
            <w:gridSpan w:val="2"/>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0（0）</w:t>
            </w:r>
          </w:p>
        </w:tc>
      </w:tr>
      <w:tr>
        <w:trPr>
          <w:cantSplit w:val="0"/>
          <w:tblHeader w:val="0"/>
        </w:trPr>
        <w:tc>
          <w:tcPr>
            <w:vMerge w:val="restart"/>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表示機能</w:t>
            </w:r>
          </w:p>
        </w:tc>
        <w:tc>
          <w:tcPr>
            <w:gridSpan w:val="2"/>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グラフィックスアクセラレータ</w:t>
            </w:r>
          </w:p>
        </w:tc>
        <w:tc>
          <w:tcPr>
            <w:gridSpan w:val="2"/>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Intel® UHD Graphics 600（CPUに内蔵）</w:t>
            </w:r>
          </w:p>
        </w:tc>
      </w:tr>
      <w:tr>
        <w:trPr>
          <w:cantSplit w:val="0"/>
          <w:tblHeader w:val="0"/>
        </w:trPr>
        <w:tc>
          <w:tcPr>
            <w:vMerge w:val="continue"/>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ビデオメモリ</w:t>
            </w:r>
          </w:p>
        </w:tc>
        <w:tc>
          <w:tcPr>
            <w:gridSpan w:val="2"/>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メインメモリと共有</w:t>
            </w:r>
          </w:p>
        </w:tc>
      </w:tr>
      <w:tr>
        <w:trPr>
          <w:cantSplit w:val="0"/>
          <w:tblHeader w:val="0"/>
        </w:trPr>
        <w:tc>
          <w:tcPr>
            <w:vMerge w:val="continue"/>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内蔵ディスプレイ</w:t>
              <w:br w:type="textWrapping"/>
              <w:t xml:space="preserve">（解像度、表示色数）（</w:t>
            </w:r>
            <w:hyperlink r:id="rId12">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2）</w:t>
            </w:r>
          </w:p>
        </w:tc>
        <w:tc>
          <w:tcPr>
            <w:gridSpan w:val="2"/>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LEDバックライト付カラーLCD（WUXGA（1920×1200ドット））/1677万色（</w:t>
            </w:r>
            <w:hyperlink r:id="rId13">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15）</w:t>
              <w:br w:type="textWrapping"/>
              <w:t xml:space="preserve">IPS Alpha液晶（アンチグレア処理）</w:t>
            </w:r>
          </w:p>
        </w:tc>
      </w:tr>
      <w:tr>
        <w:trPr>
          <w:cantSplit w:val="0"/>
          <w:tblHeader w:val="0"/>
        </w:trPr>
        <w:tc>
          <w:tcPr>
            <w:vMerge w:val="continue"/>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パネルサイズ</w:t>
            </w:r>
          </w:p>
        </w:tc>
        <w:tc>
          <w:tcPr>
            <w:gridSpan w:val="2"/>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10.1型ワイド</w:t>
            </w:r>
          </w:p>
        </w:tc>
      </w:tr>
      <w:tr>
        <w:trPr>
          <w:cantSplit w:val="0"/>
          <w:tblHeader w:val="0"/>
        </w:trPr>
        <w:tc>
          <w:tcPr>
            <w:vMerge w:val="continue"/>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ドットピッチ</w:t>
            </w:r>
          </w:p>
        </w:tc>
        <w:tc>
          <w:tcPr>
            <w:gridSpan w:val="2"/>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0.1128mm</w:t>
            </w:r>
          </w:p>
        </w:tc>
      </w:tr>
      <w:tr>
        <w:trPr>
          <w:cantSplit w:val="0"/>
          <w:tblHeader w:val="0"/>
        </w:trPr>
        <w:tc>
          <w:tcPr>
            <w:vMerge w:val="continue"/>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入力方式</w:t>
            </w:r>
          </w:p>
        </w:tc>
        <w:tc>
          <w:tcPr>
            <w:gridSpan w:val="2"/>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電磁誘導方式（専用スタイラスペン×1付属）/</w:t>
              <w:br w:type="textWrapping"/>
              <w:t xml:space="preserve">静電容量方式タッチパネル（10点マルチタッチ）</w:t>
            </w:r>
          </w:p>
        </w:tc>
      </w:tr>
      <w:tr>
        <w:trPr>
          <w:cantSplit w:val="0"/>
          <w:tblHeader w:val="0"/>
        </w:trPr>
        <w:tc>
          <w:tcPr>
            <w:vMerge w:val="continue"/>
            <w:vAlign w:val="cente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外部ディスプレイ表示（</w:t>
            </w:r>
            <w:hyperlink r:id="rId14">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3）</w:t>
            </w:r>
          </w:p>
        </w:tc>
        <w:tc>
          <w:tcPr>
            <w:gridSpan w:val="2"/>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最大1920×1080ドット/1677万色</w:t>
            </w:r>
          </w:p>
        </w:tc>
      </w:tr>
      <w:tr>
        <w:trPr>
          <w:cantSplit w:val="0"/>
          <w:tblHeader w:val="0"/>
        </w:trPr>
        <w:tc>
          <w:tcPr>
            <w:gridSpan w:val="3"/>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ハードディスクドライブ / </w:t>
              <w:br w:type="textWrapping"/>
              <w:t xml:space="preserve">フラッシュメモリディスクドライブ（</w:t>
            </w:r>
            <w:hyperlink r:id="rId15">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16）</w:t>
            </w:r>
          </w:p>
        </w:tc>
        <w:tc>
          <w:tcPr>
            <w:gridSpan w:val="2"/>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標準 フラッシュメモリ（eMMC）64GB </w:t>
              <w:br w:type="textWrapping"/>
              <w:t xml:space="preserve">※64GBの場合、Microsoft Officeは選択できません。/ </w:t>
              <w:br w:type="textWrapping"/>
              <w:t xml:space="preserve">フラッシュメモリ（eMMC）128GB</w:t>
            </w:r>
          </w:p>
        </w:tc>
      </w:tr>
      <w:tr>
        <w:trPr>
          <w:cantSplit w:val="0"/>
          <w:tblHeader w:val="0"/>
        </w:trPr>
        <w:tc>
          <w:tcPr>
            <w:gridSpan w:val="3"/>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光学ドライブ</w:t>
            </w:r>
          </w:p>
        </w:tc>
        <w:tc>
          <w:tcPr>
            <w:gridSpan w:val="2"/>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restart"/>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モバイルマルチベイ</w:t>
            </w:r>
          </w:p>
        </w:tc>
        <w:tc>
          <w:tcPr>
            <w:gridSpan w:val="2"/>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スロット数</w:t>
            </w:r>
          </w:p>
        </w:tc>
        <w:tc>
          <w:tcPr>
            <w:gridSpan w:val="2"/>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continue"/>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内蔵可能なユニット</w:t>
            </w:r>
          </w:p>
        </w:tc>
        <w:tc>
          <w:tcPr>
            <w:gridSpan w:val="2"/>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gridSpan w:val="3"/>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オーディオ機能</w:t>
            </w:r>
          </w:p>
        </w:tc>
        <w:tc>
          <w:tcPr>
            <w:gridSpan w:val="2"/>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チップセット内蔵+High Definition Audioコーデック（最大192KHz/24ビット）（</w:t>
            </w:r>
            <w:hyperlink r:id="rId16">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28）</w:t>
              <w:br w:type="textWrapping"/>
              <w:t xml:space="preserve">ステレオPCM同時録音再生機能、MIDI再生機能［OS標準］、</w:t>
              <w:br w:type="textWrapping"/>
              <w:t xml:space="preserve">ステレオスピーカー内蔵、デジタルステレオマイク内蔵</w:t>
            </w:r>
          </w:p>
        </w:tc>
      </w:tr>
      <w:tr>
        <w:trPr>
          <w:cantSplit w:val="0"/>
          <w:tblHeader w:val="0"/>
        </w:trPr>
        <w:tc>
          <w:tcPr>
            <w:gridSpan w:val="3"/>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Webカメラ</w:t>
            </w:r>
          </w:p>
        </w:tc>
        <w:tc>
          <w:tcPr>
            <w:gridSpan w:val="2"/>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内蔵</w:t>
              <w:br w:type="textWrapping"/>
              <w:t xml:space="preserve">（有効画素数約200万画素（フロント）+約800万画素（リア/モバイルライト付） ）</w:t>
            </w:r>
          </w:p>
        </w:tc>
      </w:tr>
      <w:tr>
        <w:trPr>
          <w:cantSplit w:val="0"/>
          <w:tblHeader w:val="0"/>
        </w:trPr>
        <w:tc>
          <w:tcPr>
            <w:vMerge w:val="restart"/>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センサー</w:t>
            </w:r>
          </w:p>
        </w:tc>
        <w:tc>
          <w:tcPr>
            <w:gridSpan w:val="2"/>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通常モデル</w:t>
            </w:r>
          </w:p>
        </w:tc>
        <w:tc>
          <w:tcPr>
            <w:gridSpan w:val="2"/>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加速度センサー、</w:t>
              <w:br w:type="textWrapping"/>
              <w:t xml:space="preserve">地磁気センサー、照度センサー、ジャイロセンサー</w:t>
            </w:r>
          </w:p>
        </w:tc>
      </w:tr>
      <w:tr>
        <w:trPr>
          <w:cantSplit w:val="0"/>
          <w:tblHeader w:val="0"/>
        </w:trPr>
        <w:tc>
          <w:tcPr>
            <w:vMerge w:val="continue"/>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drawing>
                <wp:inline distB="0" distT="0" distL="0" distR="0">
                  <wp:extent cx="723900" cy="304800"/>
                  <wp:effectExtent b="0" l="0" r="0" t="0"/>
                  <wp:docPr id="3"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723900" cy="304800"/>
                          </a:xfrm>
                          <a:prstGeom prst="rect"/>
                          <a:ln/>
                        </pic:spPr>
                      </pic:pic>
                    </a:graphicData>
                  </a:graphic>
                </wp:inline>
              </w:drawing>
            </w:r>
            <w:r w:rsidDel="00000000" w:rsidR="00000000" w:rsidRPr="00000000">
              <w:rPr>
                <w:rtl w:val="0"/>
              </w:rPr>
            </w:r>
          </w:p>
        </w:tc>
        <w:tc>
          <w:tcPr>
            <w:gridSpan w:val="2"/>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GPS（</w:t>
            </w:r>
            <w:hyperlink r:id="rId18">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30）、加速度センサー、地磁気センサー、</w:t>
              <w:br w:type="textWrapping"/>
              <w:t xml:space="preserve">照度センサー、ジャイロセンサー</w:t>
            </w:r>
          </w:p>
        </w:tc>
      </w:tr>
      <w:tr>
        <w:trPr>
          <w:cantSplit w:val="0"/>
          <w:tblHeader w:val="0"/>
        </w:trPr>
        <w:tc>
          <w:tcPr>
            <w:gridSpan w:val="3"/>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キーボード</w:t>
            </w:r>
          </w:p>
        </w:tc>
        <w:tc>
          <w:tcPr>
            <w:gridSpan w:val="2"/>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なし / 86キー（カスタムメイド）</w:t>
            </w:r>
          </w:p>
        </w:tc>
      </w:tr>
      <w:tr>
        <w:trPr>
          <w:cantSplit w:val="0"/>
          <w:tblHeader w:val="0"/>
        </w:trPr>
        <w:tc>
          <w:tcPr>
            <w:gridSpan w:val="3"/>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ポインティングデバイス</w:t>
            </w:r>
          </w:p>
        </w:tc>
        <w:tc>
          <w:tcPr>
            <w:gridSpan w:val="2"/>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なし / あり（カスタムメイドでLAN付軽量スリムキーボード、軽量スリムキーボード選択時）</w:t>
            </w:r>
          </w:p>
        </w:tc>
      </w:tr>
      <w:tr>
        <w:trPr>
          <w:cantSplit w:val="0"/>
          <w:tblHeader w:val="0"/>
        </w:trPr>
        <w:tc>
          <w:tcPr>
            <w:vMerge w:val="restart"/>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通信</w:t>
            </w:r>
          </w:p>
        </w:tc>
        <w:tc>
          <w:tcPr>
            <w:gridSpan w:val="2"/>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LAN（</w:t>
            </w:r>
            <w:hyperlink r:id="rId19">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4）</w:t>
            </w:r>
          </w:p>
        </w:tc>
        <w:tc>
          <w:tcPr>
            <w:gridSpan w:val="2"/>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なし / </w:t>
              <w:br w:type="textWrapping"/>
              <w:t xml:space="preserve">あり（カスタムメイドで拡張クレードルまたはLAN変換ケーブル、LAN付軽量スリムキーボード選択時）</w:t>
              <w:br w:type="textWrapping"/>
              <w:t xml:space="preserve">1000BASE-T / 100BASE-TX / 10BASE-T準拠</w:t>
              <w:br w:type="textWrapping"/>
              <w:t xml:space="preserve">※Wake up on LAN機能をサポート（拡張クレードルLAN付軽量スリムキーボードのみ）</w:t>
            </w:r>
          </w:p>
        </w:tc>
      </w:tr>
      <w:tr>
        <w:trPr>
          <w:cantSplit w:val="0"/>
          <w:tblHeader w:val="0"/>
        </w:trPr>
        <w:tc>
          <w:tcPr>
            <w:vMerge w:val="continue"/>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無線WAN</w:t>
            </w:r>
          </w:p>
        </w:tc>
        <w:tc>
          <w:tcP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通常モデル</w:t>
            </w:r>
          </w:p>
        </w:tc>
        <w:tc>
          <w:tcPr>
            <w:gridSpan w:val="2"/>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continue"/>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drawing>
                <wp:inline distB="0" distT="0" distL="0" distR="0">
                  <wp:extent cx="723900" cy="304800"/>
                  <wp:effectExtent b="0" l="0" r="0" t="0"/>
                  <wp:docPr id="2"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723900" cy="304800"/>
                          </a:xfrm>
                          <a:prstGeom prst="rect"/>
                          <a:ln/>
                        </pic:spPr>
                      </pic:pic>
                    </a:graphicData>
                  </a:graphic>
                </wp:inline>
              </w:drawing>
            </w:r>
            <w:r w:rsidDel="00000000" w:rsidR="00000000" w:rsidRPr="00000000">
              <w:rPr>
                <w:rtl w:val="0"/>
              </w:rPr>
            </w:r>
          </w:p>
        </w:tc>
        <w:tc>
          <w:tcPr>
            <w:gridSpan w:val="2"/>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無線WAN（LTE）（</w:t>
            </w:r>
            <w:hyperlink r:id="rId20">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13）</w:t>
            </w:r>
          </w:p>
        </w:tc>
      </w:tr>
      <w:tr>
        <w:trPr>
          <w:cantSplit w:val="0"/>
          <w:tblHeader w:val="0"/>
        </w:trPr>
        <w:tc>
          <w:tcPr>
            <w:vMerge w:val="continue"/>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無線LAN（</w:t>
            </w:r>
            <w:hyperlink r:id="rId21">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20）</w:t>
            </w:r>
          </w:p>
        </w:tc>
        <w:tc>
          <w:tcPr>
            <w:gridSpan w:val="2"/>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IEEE 802.11a/b/g/n/ac準拠（5GHz帯チャンネル:W52/W53/W56）、</w:t>
              <w:br w:type="textWrapping"/>
              <w:t xml:space="preserve">Wi-Fi®準拠</w:t>
            </w:r>
          </w:p>
        </w:tc>
      </w:tr>
      <w:tr>
        <w:trPr>
          <w:cantSplit w:val="0"/>
          <w:tblHeader w:val="0"/>
        </w:trPr>
        <w:tc>
          <w:tcPr>
            <w:vMerge w:val="continue"/>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Bluetooth®（</w:t>
            </w:r>
            <w:hyperlink r:id="rId22">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7）</w:t>
            </w:r>
          </w:p>
        </w:tc>
        <w:tc>
          <w:tcPr>
            <w:gridSpan w:val="2"/>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Bluetooth V5.0準拠（</w:t>
            </w:r>
            <w:hyperlink r:id="rId23">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27）</w:t>
            </w:r>
          </w:p>
        </w:tc>
      </w:tr>
      <w:tr>
        <w:trPr>
          <w:cantSplit w:val="0"/>
          <w:tblHeader w:val="0"/>
        </w:trPr>
        <w:tc>
          <w:tcPr>
            <w:gridSpan w:val="3"/>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インテル® vPro™ テクノロジー / AMT</w:t>
            </w:r>
          </w:p>
        </w:tc>
        <w:tc>
          <w:tcPr>
            <w:gridSpan w:val="2"/>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restart"/>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セキュリティ（</w:t>
            </w:r>
            <w:hyperlink r:id="rId24">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6）</w:t>
            </w:r>
          </w:p>
        </w:tc>
        <w:tc>
          <w:tcPr>
            <w:gridSpan w:val="2"/>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NFC</w:t>
            </w:r>
          </w:p>
        </w:tc>
        <w:tc>
          <w:tcPr>
            <w:gridSpan w:val="2"/>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continue"/>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セキュリティチップ（TPM）</w:t>
            </w:r>
          </w:p>
        </w:tc>
        <w:tc>
          <w:tcPr>
            <w:gridSpan w:val="2"/>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Intel® PTT</w:t>
            </w:r>
          </w:p>
        </w:tc>
      </w:tr>
      <w:tr>
        <w:trPr>
          <w:cantSplit w:val="0"/>
          <w:tblHeader w:val="0"/>
        </w:trPr>
        <w:tc>
          <w:tcPr>
            <w:vMerge w:val="continue"/>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指紋センサー（</w:t>
            </w:r>
            <w:hyperlink r:id="rId25">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22）</w:t>
            </w:r>
          </w:p>
        </w:tc>
        <w:tc>
          <w:tcPr>
            <w:gridSpan w:val="2"/>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continue"/>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手のひら静脈センサー（</w:t>
            </w:r>
            <w:hyperlink r:id="rId26">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23）</w:t>
            </w:r>
          </w:p>
        </w:tc>
        <w:tc>
          <w:tcPr>
            <w:gridSpan w:val="2"/>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continue"/>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スマートカード</w:t>
            </w:r>
          </w:p>
        </w:tc>
        <w:tc>
          <w:tcPr>
            <w:gridSpan w:val="2"/>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continue"/>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CLEARSURE </w:t>
              <w:br w:type="textWrapping"/>
              <w:t xml:space="preserve">3G / LTE</w:t>
            </w:r>
          </w:p>
        </w:tc>
        <w:tc>
          <w:tcP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通常モデル</w:t>
            </w:r>
          </w:p>
        </w:tc>
        <w:tc>
          <w:tcPr>
            <w:gridSpan w:val="2"/>
            <w:vAlign w:val="cente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continue"/>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drawing>
                <wp:inline distB="0" distT="0" distL="0" distR="0">
                  <wp:extent cx="723900" cy="304800"/>
                  <wp:effectExtent b="0" l="0" r="0" t="0"/>
                  <wp:docPr id="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723900" cy="304800"/>
                          </a:xfrm>
                          <a:prstGeom prst="rect"/>
                          <a:ln/>
                        </pic:spPr>
                      </pic:pic>
                    </a:graphicData>
                  </a:graphic>
                </wp:inline>
              </w:drawing>
            </w:r>
            <w:r w:rsidDel="00000000" w:rsidR="00000000" w:rsidRPr="00000000">
              <w:rPr>
                <w:rtl w:val="0"/>
              </w:rPr>
            </w:r>
          </w:p>
        </w:tc>
        <w:tc>
          <w:tcPr>
            <w:gridSpan w:val="2"/>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対応（詳しくは「</w:t>
            </w:r>
            <w:hyperlink r:id="rId27">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CLEARSUREご紹介</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」をご覧ください。</w:t>
            </w:r>
          </w:p>
        </w:tc>
      </w:tr>
      <w:tr>
        <w:trPr>
          <w:cantSplit w:val="0"/>
          <w:tblHeader w:val="0"/>
        </w:trPr>
        <w:tc>
          <w:tcPr>
            <w:gridSpan w:val="3"/>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ダイレクト・メモリースロット</w:t>
            </w:r>
          </w:p>
        </w:tc>
        <w:tc>
          <w:tcPr>
            <w:gridSpan w:val="2"/>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microSDメモリーカード×1スロット（</w:t>
            </w:r>
            <w:hyperlink r:id="rId28">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21）</w:t>
            </w:r>
          </w:p>
        </w:tc>
      </w:tr>
      <w:tr>
        <w:trPr>
          <w:cantSplit w:val="0"/>
          <w:tblHeader w:val="0"/>
        </w:trPr>
        <w:tc>
          <w:tcPr>
            <w:vMerge w:val="restart"/>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インターフェース</w:t>
            </w:r>
          </w:p>
        </w:tc>
        <w:tc>
          <w:tcPr>
            <w:gridSpan w:val="2"/>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外部ディスプレイ</w:t>
            </w:r>
          </w:p>
        </w:tc>
        <w:tc>
          <w:tcPr>
            <w:gridSpan w:val="2"/>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HDMI: なし/あり（カスタムメイドで拡張クレードル★、 HDMI変換アダプタ★、microHDMI変換アダプタ選択時）、</w:t>
              <w:br w:type="textWrapping"/>
              <w:t xml:space="preserve">VGA: なし/あり（カスタムメイドで拡張クレードル選択時）、USB（Type-C）×1</w:t>
            </w:r>
          </w:p>
        </w:tc>
      </w:tr>
      <w:tr>
        <w:trPr>
          <w:cantSplit w:val="0"/>
          <w:tblHeader w:val="0"/>
        </w:trPr>
        <w:tc>
          <w:tcPr>
            <w:vMerge w:val="continue"/>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LAN</w:t>
            </w:r>
          </w:p>
        </w:tc>
        <w:tc>
          <w:tcPr>
            <w:gridSpan w:val="2"/>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なし / あり（カスタムメイドで拡張クレードル、LAN付軽量スリムキーボードまたはLAN変換アダプタ選択時）</w:t>
            </w:r>
          </w:p>
        </w:tc>
      </w:tr>
      <w:tr>
        <w:trPr>
          <w:cantSplit w:val="0"/>
          <w:tblHeader w:val="0"/>
        </w:trPr>
        <w:tc>
          <w:tcPr>
            <w:vMerge w:val="continue"/>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ヘッドホン・ラインアウト端子</w:t>
              <w:br w:type="textWrapping"/>
              <w:t xml:space="preserve">マイクイン・ラインイン端子</w:t>
            </w:r>
          </w:p>
        </w:tc>
        <w:tc>
          <w:tcPr>
            <w:gridSpan w:val="2"/>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φ3.5mmステレオ・ミニジャック</w:t>
              <w:br w:type="textWrapping"/>
              <w:t xml:space="preserve">（ヘッドホン・ヘッドセット兼用端子）</w:t>
            </w:r>
          </w:p>
        </w:tc>
      </w:tr>
      <w:tr>
        <w:trPr>
          <w:cantSplit w:val="0"/>
          <w:tblHeader w:val="0"/>
        </w:trPr>
        <w:tc>
          <w:tcPr>
            <w:vMerge w:val="continue"/>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USB（</w:t>
            </w:r>
            <w:hyperlink r:id="rId29">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10）</w:t>
            </w:r>
          </w:p>
        </w:tc>
        <w:tc>
          <w:tcP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Type-A</w:t>
            </w:r>
          </w:p>
        </w:tc>
        <w:tc>
          <w:tcPr>
            <w:gridSpan w:val="2"/>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USB3.0×1</w:t>
            </w:r>
          </w:p>
        </w:tc>
      </w:tr>
      <w:tr>
        <w:trPr>
          <w:cantSplit w:val="0"/>
          <w:tblHeader w:val="0"/>
        </w:trPr>
        <w:tc>
          <w:tcPr>
            <w:vMerge w:val="continue"/>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Type-C</w:t>
            </w:r>
          </w:p>
        </w:tc>
        <w:tc>
          <w:tcPr>
            <w:gridSpan w:val="2"/>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USB3.1（Gen1）（Display Port Alternate Mode対応）×1（</w:t>
            </w:r>
            <w:hyperlink r:id="rId30">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34）</w:t>
            </w:r>
          </w:p>
        </w:tc>
      </w:tr>
      <w:tr>
        <w:trPr>
          <w:cantSplit w:val="0"/>
          <w:tblHeader w:val="0"/>
        </w:trPr>
        <w:tc>
          <w:tcPr>
            <w:gridSpan w:val="3"/>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ポートリプリケータ / クレードル</w:t>
            </w:r>
          </w:p>
        </w:tc>
        <w:tc>
          <w:tcPr>
            <w:gridSpan w:val="2"/>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なし / 拡張クレードル（カスタムメイド）（</w:t>
            </w:r>
            <w:hyperlink r:id="rId31">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26）</w:t>
              <w:br w:type="textWrapping"/>
              <w:t xml:space="preserve">・外部ディスプレイ（アナログRGB Mini D-SUB 15ピン）・HDMI・USB×3</w:t>
              <w:br w:type="textWrapping"/>
              <w:t xml:space="preserve">・LAN（RJ-45）・DC-IN・盗難防止用ロック取り付け穴</w:t>
            </w:r>
          </w:p>
        </w:tc>
      </w:tr>
      <w:tr>
        <w:trPr>
          <w:cantSplit w:val="0"/>
          <w:tblHeader w:val="0"/>
        </w:trPr>
        <w:tc>
          <w:tcPr>
            <w:gridSpan w:val="3"/>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電源供給方式</w:t>
            </w:r>
          </w:p>
        </w:tc>
        <w:tc>
          <w:tcPr>
            <w:gridSpan w:val="2"/>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ACアダプタ（入力波形は正弦波のみサポート、本体接続または、</w:t>
              <w:br w:type="textWrapping"/>
              <w:t xml:space="preserve">拡張クレードル（別売）経由）または、リチウムポリマーバッテリー</w:t>
            </w:r>
          </w:p>
        </w:tc>
      </w:tr>
      <w:tr>
        <w:trPr>
          <w:cantSplit w:val="0"/>
          <w:tblHeader w:val="0"/>
        </w:trPr>
        <w:tc>
          <w:tcPr>
            <w:gridSpan w:val="3"/>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バッテリー</w:t>
            </w:r>
          </w:p>
        </w:tc>
        <w:tc>
          <w:tcPr>
            <w:gridSpan w:val="2"/>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リチウムポリマーバッテリー 31Wh 取り出し不可（</w:t>
            </w:r>
            <w:hyperlink r:id="rId32">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25）</w:t>
            </w:r>
          </w:p>
        </w:tc>
      </w:tr>
      <w:tr>
        <w:trPr>
          <w:cantSplit w:val="0"/>
          <w:tblHeader w:val="0"/>
        </w:trPr>
        <w:tc>
          <w:tcPr>
            <w:vMerge w:val="restart"/>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バッテリー</w:t>
              <w:br w:type="textWrapping"/>
              <w:t xml:space="preserve">駆動時間</w:t>
              <w:br w:type="textWrapping"/>
              <w:t xml:space="preserve">（</w:t>
            </w:r>
            <w:hyperlink r:id="rId33">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11）</w:t>
              <w:br w:type="textWrapping"/>
              <w:t xml:space="preserve">（JEITA2.0</w:t>
              <w:br w:type="textWrapping"/>
              <w:t xml:space="preserve">（</w:t>
            </w:r>
            <w:hyperlink r:id="rId34">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5））</w:t>
            </w:r>
          </w:p>
        </w:tc>
        <w:tc>
          <w:tcPr>
            <w:vMerge w:val="restart"/>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通常モデル</w:t>
            </w:r>
          </w:p>
        </w:tc>
        <w:tc>
          <w:tcP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Windows 10</w:t>
            </w:r>
          </w:p>
        </w:tc>
        <w:tc>
          <w:tcPr>
            <w:gridSpan w:val="2"/>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約12.8時間（</w:t>
            </w:r>
            <w:hyperlink r:id="rId35">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31）</w:t>
            </w:r>
          </w:p>
        </w:tc>
      </w:tr>
      <w:tr>
        <w:trPr>
          <w:cantSplit w:val="0"/>
          <w:tblHeader w:val="0"/>
        </w:trPr>
        <w:tc>
          <w:tcPr>
            <w:vMerge w:val="continue"/>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Windows 8.1</w:t>
            </w:r>
          </w:p>
        </w:tc>
        <w:tc>
          <w:tcPr>
            <w:gridSpan w:val="2"/>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vMerge w:val="continue"/>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drawing>
                <wp:inline distB="0" distT="0" distL="0" distR="0">
                  <wp:extent cx="723900" cy="304800"/>
                  <wp:effectExtent b="0" l="0" r="0" t="0"/>
                  <wp:docPr id="4"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723900" cy="3048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Windows 10</w:t>
            </w:r>
          </w:p>
        </w:tc>
        <w:tc>
          <w:tcPr>
            <w:gridSpan w:val="2"/>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約12.8時間（</w:t>
            </w:r>
            <w:hyperlink r:id="rId36">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31）</w:t>
            </w:r>
          </w:p>
        </w:tc>
      </w:tr>
      <w:tr>
        <w:trPr>
          <w:cantSplit w:val="0"/>
          <w:tblHeader w:val="0"/>
        </w:trPr>
        <w:tc>
          <w:tcPr>
            <w:vMerge w:val="continue"/>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Windows 8.1</w:t>
            </w:r>
          </w:p>
        </w:tc>
        <w:tc>
          <w:tcPr>
            <w:gridSpan w:val="2"/>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gridSpan w:val="3"/>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バッテリー充電時間（</w:t>
            </w:r>
            <w:hyperlink r:id="rId37">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12）</w:t>
            </w:r>
          </w:p>
        </w:tc>
        <w:tc>
          <w:tcPr>
            <w:gridSpan w:val="2"/>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約2.3時間</w:t>
            </w:r>
          </w:p>
        </w:tc>
      </w:tr>
      <w:tr>
        <w:trPr>
          <w:cantSplit w:val="0"/>
          <w:tblHeader w:val="0"/>
        </w:trPr>
        <w:tc>
          <w:tcPr>
            <w:vMerge w:val="restart"/>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消費電力</w:t>
              <w:br w:type="textWrapping"/>
              <w:t xml:space="preserve">（</w:t>
            </w:r>
            <w:hyperlink r:id="rId38">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17）</w:t>
              <w:br w:type="textWrapping"/>
              <w:t xml:space="preserve">（最大時）</w:t>
            </w:r>
          </w:p>
        </w:tc>
        <w:tc>
          <w:tcPr>
            <w:gridSpan w:val="2"/>
            <w:vAlign w:val="cente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Windows 10</w:t>
            </w:r>
          </w:p>
        </w:tc>
        <w:tc>
          <w:tcP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約6.0W（約40W）（</w:t>
            </w:r>
            <w:hyperlink r:id="rId39">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33）</w:t>
            </w:r>
          </w:p>
        </w:tc>
        <w:tc>
          <w:tcP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約5.9W（約40W）（</w:t>
            </w:r>
            <w:hyperlink r:id="rId40">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33）</w:t>
            </w:r>
          </w:p>
        </w:tc>
      </w:tr>
      <w:tr>
        <w:trPr>
          <w:cantSplit w:val="0"/>
          <w:tblHeader w:val="0"/>
        </w:trPr>
        <w:tc>
          <w:tcPr>
            <w:vMerge w:val="continue"/>
            <w:vAlign w:val="center"/>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Windows 8.1</w:t>
            </w:r>
          </w:p>
        </w:tc>
        <w:tc>
          <w:tcPr>
            <w:gridSpan w:val="2"/>
            <w:vAlign w:val="center"/>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gridSpan w:val="3"/>
            <w:vAlign w:val="cente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電波障害対策</w:t>
            </w:r>
          </w:p>
        </w:tc>
        <w:tc>
          <w:tcPr>
            <w:gridSpan w:val="2"/>
            <w:vAlign w:val="center"/>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VCCI Class B</w:t>
            </w:r>
          </w:p>
        </w:tc>
      </w:tr>
      <w:tr>
        <w:trPr>
          <w:cantSplit w:val="0"/>
          <w:tblHeader w:val="0"/>
        </w:trPr>
        <w:tc>
          <w:tcPr>
            <w:gridSpan w:val="2"/>
            <w:vMerge w:val="restart"/>
            <w:vAlign w:val="cente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省エネ法に基づくエネルギー消費効率（</w:t>
            </w:r>
            <w:hyperlink r:id="rId41">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14）</w:t>
              <w:br w:type="textWrapping"/>
              <w:t xml:space="preserve">（2011年度基準）</w:t>
            </w:r>
          </w:p>
        </w:tc>
        <w:tc>
          <w:tcPr>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通常モデル</w:t>
            </w:r>
          </w:p>
        </w:tc>
        <w:tc>
          <w:tcPr>
            <w:vAlign w:val="cente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N区分0.068（AAA）</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42875" cy="142875"/>
                  <wp:effectExtent b="0" l="0" r="0" t="0"/>
                  <wp:docPr id="7"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142875" cy="142875"/>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S区分0.13（A）</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42875" cy="142875"/>
                  <wp:effectExtent b="0" l="0" r="0" t="0"/>
                  <wp:docPr id="6"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142875" cy="142875"/>
                          </a:xfrm>
                          <a:prstGeom prst="rect"/>
                          <a:ln/>
                        </pic:spPr>
                      </pic:pic>
                    </a:graphicData>
                  </a:graphic>
                </wp:inline>
              </w:drawing>
            </w:r>
            <w:r w:rsidDel="00000000" w:rsidR="00000000" w:rsidRPr="00000000">
              <w:rPr>
                <w:rtl w:val="0"/>
              </w:rPr>
            </w:r>
          </w:p>
        </w:tc>
      </w:tr>
      <w:tr>
        <w:trPr>
          <w:cantSplit w:val="0"/>
          <w:tblHeader w:val="0"/>
        </w:trPr>
        <w:tc>
          <w:tcPr>
            <w:gridSpan w:val="2"/>
            <w:vMerge w:val="continue"/>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drawing>
                <wp:inline distB="0" distT="0" distL="0" distR="0">
                  <wp:extent cx="723900" cy="304800"/>
                  <wp:effectExtent b="0" l="0" r="0" t="0"/>
                  <wp:docPr id="9"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723900" cy="3048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N区分0.069（AA）</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42875" cy="142875"/>
                  <wp:effectExtent b="0" l="0" r="0" t="0"/>
                  <wp:docPr id="8"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142875" cy="142875"/>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S区分0.13（A）</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42875" cy="142875"/>
                  <wp:effectExtent b="0" l="0" r="0" t="0"/>
                  <wp:docPr id="12"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142875" cy="142875"/>
                          </a:xfrm>
                          <a:prstGeom prst="rect"/>
                          <a:ln/>
                        </pic:spPr>
                      </pic:pic>
                    </a:graphicData>
                  </a:graphic>
                </wp:inline>
              </w:drawing>
            </w:r>
            <w:r w:rsidDel="00000000" w:rsidR="00000000" w:rsidRPr="00000000">
              <w:rPr>
                <w:rtl w:val="0"/>
              </w:rPr>
            </w:r>
          </w:p>
        </w:tc>
      </w:tr>
      <w:tr>
        <w:trPr>
          <w:cantSplit w:val="0"/>
          <w:tblHeader w:val="0"/>
        </w:trPr>
        <w:tc>
          <w:tcPr>
            <w:gridSpan w:val="3"/>
            <w:vAlign w:val="center"/>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外形寸法（W×D×H）（注：突起部含まず）</w:t>
            </w:r>
          </w:p>
        </w:tc>
        <w:tc>
          <w:tcPr>
            <w:gridSpan w:val="2"/>
            <w:vAlign w:val="cente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263×168.9×12.4mm</w:t>
            </w:r>
          </w:p>
        </w:tc>
      </w:tr>
      <w:tr>
        <w:trPr>
          <w:cantSplit w:val="0"/>
          <w:tblHeader w:val="0"/>
        </w:trPr>
        <w:tc>
          <w:tcPr>
            <w:gridSpan w:val="2"/>
            <w:vMerge w:val="restart"/>
            <w:vAlign w:val="cente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質量（</w:t>
            </w:r>
            <w:hyperlink r:id="rId43">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9）</w:t>
            </w:r>
          </w:p>
        </w:tc>
        <w:tc>
          <w:tcPr>
            <w:vAlign w:val="cente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通常モデル</w:t>
            </w:r>
          </w:p>
        </w:tc>
        <w:tc>
          <w:tcPr>
            <w:gridSpan w:val="2"/>
            <w:vAlign w:val="center"/>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約620g</w:t>
            </w:r>
          </w:p>
        </w:tc>
      </w:tr>
      <w:tr>
        <w:trPr>
          <w:cantSplit w:val="0"/>
          <w:tblHeader w:val="0"/>
        </w:trPr>
        <w:tc>
          <w:tcPr>
            <w:gridSpan w:val="2"/>
            <w:vMerge w:val="continue"/>
            <w:vAlign w:val="center"/>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drawing>
                <wp:inline distB="0" distT="0" distL="0" distR="0">
                  <wp:extent cx="723900" cy="304800"/>
                  <wp:effectExtent b="0" l="0" r="0" t="0"/>
                  <wp:docPr id="10"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723900" cy="304800"/>
                          </a:xfrm>
                          <a:prstGeom prst="rect"/>
                          <a:ln/>
                        </pic:spPr>
                      </pic:pic>
                    </a:graphicData>
                  </a:graphic>
                </wp:inline>
              </w:drawing>
            </w:r>
            <w:r w:rsidDel="00000000" w:rsidR="00000000" w:rsidRPr="00000000">
              <w:rPr>
                <w:rtl w:val="0"/>
              </w:rPr>
            </w:r>
          </w:p>
        </w:tc>
        <w:tc>
          <w:tcPr>
            <w:gridSpan w:val="2"/>
            <w:vAlign w:val="cente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約635g</w:t>
            </w:r>
          </w:p>
        </w:tc>
      </w:tr>
      <w:tr>
        <w:trPr>
          <w:cantSplit w:val="0"/>
          <w:tblHeader w:val="0"/>
        </w:trPr>
        <w:tc>
          <w:tcPr>
            <w:gridSpan w:val="3"/>
            <w:vAlign w:val="center"/>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状態表示</w:t>
            </w:r>
          </w:p>
        </w:tc>
        <w:tc>
          <w:tcPr>
            <w:gridSpan w:val="2"/>
            <w:vAlign w:val="center"/>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LED</w:t>
            </w:r>
          </w:p>
        </w:tc>
      </w:tr>
      <w:tr>
        <w:trPr>
          <w:cantSplit w:val="0"/>
          <w:tblHeader w:val="0"/>
        </w:trPr>
        <w:tc>
          <w:tcPr>
            <w:gridSpan w:val="3"/>
            <w:vAlign w:val="cente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温湿度条件</w:t>
            </w:r>
          </w:p>
        </w:tc>
        <w:tc>
          <w:tcPr>
            <w:gridSpan w:val="2"/>
            <w:vAlign w:val="cente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温度5～35℃ / 湿度20～80%RH（動作時）、</w:t>
              <w:br w:type="textWrapping"/>
              <w:t xml:space="preserve">温度-10～60℃ / 湿度20～80%RH（非動作時）、ただし、結露しないこと</w:t>
            </w:r>
          </w:p>
        </w:tc>
      </w:tr>
      <w:tr>
        <w:trPr>
          <w:cantSplit w:val="0"/>
          <w:tblHeader w:val="0"/>
        </w:trPr>
        <w:tc>
          <w:tcPr>
            <w:gridSpan w:val="3"/>
            <w:vAlign w:val="center"/>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防水・防塵</w:t>
            </w:r>
          </w:p>
        </w:tc>
        <w:tc>
          <w:tcPr>
            <w:gridSpan w:val="2"/>
            <w:vAlign w:val="cente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IPX5/IPX7/IPX8/IP5X</w:t>
            </w:r>
          </w:p>
        </w:tc>
      </w:tr>
      <w:tr>
        <w:trPr>
          <w:cantSplit w:val="0"/>
          <w:tblHeader w:val="0"/>
        </w:trPr>
        <w:tc>
          <w:tcPr>
            <w:gridSpan w:val="3"/>
            <w:vAlign w:val="cente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耐薬品（</w:t>
            </w:r>
            <w:hyperlink r:id="rId44">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8）</w:t>
            </w:r>
          </w:p>
        </w:tc>
        <w:tc>
          <w:tcPr>
            <w:gridSpan w:val="2"/>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対応薬品（エタノール、IPA、次亜塩素酸ナトリウム）</w:t>
            </w:r>
          </w:p>
        </w:tc>
      </w:tr>
      <w:tr>
        <w:trPr>
          <w:cantSplit w:val="0"/>
          <w:tblHeader w:val="0"/>
        </w:trPr>
        <w:tc>
          <w:tcPr>
            <w:gridSpan w:val="3"/>
            <w:vAlign w:val="cente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サポートOS（</w:t>
            </w:r>
            <w:hyperlink r:id="rId45">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18）（</w:t>
            </w:r>
            <w:hyperlink r:id="rId46">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19）（</w:t>
            </w:r>
            <w:hyperlink r:id="rId47">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32）</w:t>
            </w:r>
          </w:p>
        </w:tc>
        <w:tc>
          <w:tcPr>
            <w:gridSpan w:val="2"/>
            <w:vAlign w:val="cente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Windows 10 Pro （64bit）（</w:t>
            </w:r>
            <w:hyperlink r:id="rId48">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29）</w:t>
              <w:br w:type="textWrapping"/>
              <w:t xml:space="preserve">Windows 10 Enterprise （64bit）（</w:t>
            </w:r>
            <w:hyperlink r:id="rId49">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29）</w:t>
              <w:br w:type="textWrapping"/>
              <w:t xml:space="preserve">Windows 10 Enterprise LTSC 2019 （64bit）</w:t>
            </w:r>
          </w:p>
        </w:tc>
      </w:tr>
    </w:tbl>
    <w:p w:rsidR="00000000" w:rsidDel="00000000" w:rsidP="00000000" w:rsidRDefault="00000000" w:rsidRPr="00000000" w14:paraId="00000164">
      <w:pPr>
        <w:jc w:val="left"/>
        <w:rPr/>
      </w:pPr>
      <w:r w:rsidDel="00000000" w:rsidR="00000000" w:rsidRPr="00000000">
        <w:rPr>
          <w:rtl w:val="0"/>
        </w:rPr>
      </w:r>
    </w:p>
    <w:tbl>
      <w:tblPr>
        <w:tblStyle w:val="Table2"/>
        <w:tblW w:w="9637.0" w:type="dxa"/>
        <w:jc w:val="left"/>
        <w:tblLayout w:type="fixed"/>
        <w:tblLook w:val="0000"/>
      </w:tblPr>
      <w:tblGrid>
        <w:gridCol w:w="679"/>
        <w:gridCol w:w="8958"/>
        <w:tblGridChange w:id="0">
          <w:tblGrid>
            <w:gridCol w:w="679"/>
            <w:gridCol w:w="8958"/>
          </w:tblGrid>
        </w:tblGridChange>
      </w:tblGrid>
      <w:tr>
        <w:trPr>
          <w:cantSplit w:val="0"/>
          <w:tblHeader w:val="0"/>
        </w:trPr>
        <w:tc>
          <w:tcPr>
            <w:vAlign w:val="center"/>
          </w:tcPr>
          <w:bookmarkStart w:colFirst="0" w:colLast="0" w:name="nlhtstgei3w" w:id="0"/>
          <w:bookmarkEnd w:id="0"/>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w:t>
            </w:r>
          </w:p>
        </w:tc>
        <w:tc>
          <w:tcPr>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搭載メモリの構成によっては、出荷時に空きスロット数が変わる場合があります。</w:t>
            </w:r>
            <w:bookmarkStart w:colFirst="0" w:colLast="0" w:name="kpq3c0redj2j" w:id="1"/>
            <w:bookmarkEnd w:id="1"/>
            <w:r w:rsidDel="00000000" w:rsidR="00000000" w:rsidRPr="00000000">
              <w:rPr>
                <w:rtl w:val="0"/>
              </w:rPr>
            </w:r>
          </w:p>
        </w:tc>
      </w:tr>
      <w:tr>
        <w:trPr>
          <w:cantSplit w:val="0"/>
          <w:tblHeader w:val="0"/>
        </w:trPr>
        <w:tc>
          <w:tcPr>
            <w:vAlign w:val="cente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w:t>
            </w:r>
          </w:p>
        </w:tc>
        <w:tc>
          <w:tcPr>
            <w:vAlign w:val="cente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既定以下の解像度設定の場合、表示領域部が画面中央に小さくなったり、にじむような表示になる場合があります。</w:t>
            </w:r>
            <w:bookmarkStart w:colFirst="0" w:colLast="0" w:name="x3n1dlixtxbv" w:id="2"/>
            <w:bookmarkEnd w:id="2"/>
            <w:r w:rsidDel="00000000" w:rsidR="00000000" w:rsidRPr="00000000">
              <w:rPr>
                <w:rtl w:val="0"/>
              </w:rPr>
            </w:r>
          </w:p>
        </w:tc>
      </w:tr>
      <w:tr>
        <w:trPr>
          <w:cantSplit w:val="0"/>
          <w:tblHeader w:val="0"/>
        </w:trPr>
        <w:tc>
          <w:tcPr>
            <w:vAlign w:val="cente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注3：</w:t>
            </w:r>
          </w:p>
        </w:tc>
        <w:tc>
          <w:tcPr>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内蔵ディスプレイと外部ディスプレイで同時表示する場合に設定可能な解像度は、外部ディスプレイの仕様により異なります。</w:t>
            </w:r>
            <w:bookmarkStart w:colFirst="0" w:colLast="0" w:name="udt1ntj65gne" w:id="3"/>
            <w:bookmarkEnd w:id="3"/>
            <w:r w:rsidDel="00000000" w:rsidR="00000000" w:rsidRPr="00000000">
              <w:rPr>
                <w:rtl w:val="0"/>
              </w:rPr>
            </w:r>
          </w:p>
        </w:tc>
      </w:tr>
      <w:tr>
        <w:trPr>
          <w:cantSplit w:val="0"/>
          <w:tblHeader w:val="0"/>
        </w:trPr>
        <w:tc>
          <w:tcPr>
            <w:vAlign w:val="cente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注4：</w:t>
            </w:r>
          </w:p>
        </w:tc>
        <w:tc>
          <w:tcPr>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1000Mbpsは1000BASE-Tの理論上の最高速度であり、実際の通信速度はお使いの機器やネットワーク環境により異なります。必ず1000BASE-Tに対応したHUBとケーブルをご使用ください。また、1000Mbpsの速度しかサポートしていないHUBでは、Wakeup On LAN機能はご使用になれません。</w:t>
            </w:r>
            <w:bookmarkStart w:colFirst="0" w:colLast="0" w:name="rdn7bw4n8fby" w:id="4"/>
            <w:bookmarkEnd w:id="4"/>
            <w:r w:rsidDel="00000000" w:rsidR="00000000" w:rsidRPr="00000000">
              <w:rPr>
                <w:rtl w:val="0"/>
              </w:rPr>
            </w:r>
          </w:p>
        </w:tc>
      </w:tr>
      <w:tr>
        <w:trPr>
          <w:cantSplit w:val="0"/>
          <w:tblHeader w:val="0"/>
        </w:trPr>
        <w:tc>
          <w:tcPr>
            <w:vAlign w:val="cente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注5：</w:t>
            </w:r>
          </w:p>
        </w:tc>
        <w:tc>
          <w:tcPr>
            <w:vAlign w:val="cente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一般社団法人電子情報技術産業協会の「</w:t>
            </w:r>
            <w:hyperlink r:id="rId50">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JEITAバッテリー動作時間測定法（Ver2. 0）</w:t>
              </w:r>
            </w:hyperlink>
            <w:hyperlink r:id="rId51">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71450" cy="171450"/>
                    <wp:effectExtent b="9525" l="9525" r="9525" t="9525"/>
                    <wp:docPr id="11"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171450" cy="171450"/>
                            </a:xfrm>
                            <a:prstGeom prst="rect"/>
                            <a:ln w="9525">
                              <a:solidFill>
                                <a:srgbClr val="000080"/>
                              </a:solidFill>
                              <a:prstDash val="solid"/>
                            </a:ln>
                          </pic:spPr>
                        </pic:pic>
                      </a:graphicData>
                    </a:graphic>
                  </wp:inline>
                </w:drawing>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」に基づいて測定。</w:t>
              <w:br w:type="textWrapping"/>
              <w:t xml:space="preserve">詳細な設定内容は</w:t>
            </w:r>
            <w:hyperlink r:id="rId53">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≪こちら≫</w:t>
              </w:r>
            </w:hyperlink>
            <w:r w:rsidDel="00000000" w:rsidR="00000000" w:rsidRPr="00000000">
              <w:rPr>
                <w:rtl w:val="0"/>
              </w:rPr>
            </w:r>
          </w:p>
        </w:tc>
      </w:tr>
      <w:tr>
        <w:trPr>
          <w:cantSplit w:val="0"/>
          <w:tblHeader w:val="0"/>
        </w:trPr>
        <w:tc>
          <w:tcPr>
            <w:vAlign w:val="cente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注6：</w:t>
            </w:r>
          </w:p>
        </w:tc>
        <w:tc>
          <w:tcPr>
            <w:vAlign w:val="center"/>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ご利用可能な組み合わせには制限がある場合がございます。必ずカスタムメイド型名・価格一覧表などでご確認ください。</w:t>
            </w:r>
            <w:bookmarkStart w:colFirst="0" w:colLast="0" w:name="m3il2uoo37t7" w:id="5"/>
            <w:bookmarkEnd w:id="5"/>
            <w:r w:rsidDel="00000000" w:rsidR="00000000" w:rsidRPr="00000000">
              <w:rPr>
                <w:rtl w:val="0"/>
              </w:rPr>
            </w:r>
          </w:p>
        </w:tc>
      </w:tr>
      <w:tr>
        <w:trPr>
          <w:cantSplit w:val="0"/>
          <w:tblHeader w:val="0"/>
        </w:trPr>
        <w:tc>
          <w:tcPr>
            <w:vAlign w:val="center"/>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注7：</w:t>
            </w:r>
          </w:p>
        </w:tc>
        <w:tc>
          <w:tcPr>
            <w:vAlign w:val="cente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全てのBluetooth® ワイヤレステクノロジー規格対応機器に接続可能なことを保証するものではありません。</w:t>
            </w:r>
            <w:bookmarkStart w:colFirst="0" w:colLast="0" w:name="93v5il9oztli" w:id="6"/>
            <w:bookmarkEnd w:id="6"/>
            <w:r w:rsidDel="00000000" w:rsidR="00000000" w:rsidRPr="00000000">
              <w:rPr>
                <w:rtl w:val="0"/>
              </w:rPr>
            </w:r>
          </w:p>
        </w:tc>
      </w:tr>
      <w:tr>
        <w:trPr>
          <w:cantSplit w:val="0"/>
          <w:tblHeader w:val="0"/>
        </w:trPr>
        <w:tc>
          <w:tcPr>
            <w:vAlign w:val="cente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注8：</w:t>
            </w:r>
          </w:p>
        </w:tc>
        <w:tc>
          <w:tcPr>
            <w:vAlign w:val="cente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耐薬品機能はカスタムメイドです。</w:t>
            </w:r>
            <w:bookmarkStart w:colFirst="0" w:colLast="0" w:name="wjz37dljmcg" w:id="7"/>
            <w:bookmarkEnd w:id="7"/>
            <w:r w:rsidDel="00000000" w:rsidR="00000000" w:rsidRPr="00000000">
              <w:rPr>
                <w:rtl w:val="0"/>
              </w:rPr>
            </w:r>
          </w:p>
        </w:tc>
      </w:tr>
      <w:tr>
        <w:trPr>
          <w:cantSplit w:val="0"/>
          <w:tblHeader w:val="0"/>
        </w:trPr>
        <w:tc>
          <w:tcPr>
            <w:vAlign w:val="cente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注9：</w:t>
            </w:r>
          </w:p>
        </w:tc>
        <w:tc>
          <w:tcP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各製品で質量が異なる場合があります。</w:t>
            </w:r>
            <w:bookmarkStart w:colFirst="0" w:colLast="0" w:name="xqg90dt3w5x0" w:id="8"/>
            <w:bookmarkEnd w:id="8"/>
            <w:r w:rsidDel="00000000" w:rsidR="00000000" w:rsidRPr="00000000">
              <w:rPr>
                <w:rtl w:val="0"/>
              </w:rPr>
            </w:r>
          </w:p>
        </w:tc>
      </w:tr>
      <w:tr>
        <w:trPr>
          <w:cantSplit w:val="0"/>
          <w:tblHeader w:val="0"/>
        </w:trPr>
        <w:tc>
          <w:tcPr>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注10：</w:t>
            </w:r>
          </w:p>
        </w:tc>
        <w:tc>
          <w:tcPr>
            <w:vAlign w:val="cente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全てのUSB機器について動作を保証するものではありません。また、USB1.1準拠の周辺機器を接続している場合、USB1.1準拠の仕様でお使いになれます。</w:t>
            </w:r>
            <w:bookmarkStart w:colFirst="0" w:colLast="0" w:name="fohhh4o4hk9o" w:id="9"/>
            <w:bookmarkEnd w:id="9"/>
            <w:r w:rsidDel="00000000" w:rsidR="00000000" w:rsidRPr="00000000">
              <w:rPr>
                <w:rtl w:val="0"/>
              </w:rPr>
            </w:r>
          </w:p>
        </w:tc>
      </w:tr>
      <w:tr>
        <w:trPr>
          <w:cantSplit w:val="0"/>
          <w:tblHeader w:val="0"/>
        </w:trPr>
        <w:tc>
          <w:tcPr>
            <w:vAlign w:val="cente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注11：</w:t>
            </w:r>
          </w:p>
        </w:tc>
        <w:tc>
          <w:tcPr>
            <w:vAlign w:val="center"/>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バッテリー駆動時間は、ご利用状況やカスタムメイド構成によっては記載時間と異なる場合があります。</w:t>
            </w:r>
          </w:p>
        </w:tc>
      </w:tr>
      <w:tr>
        <w:trPr>
          <w:cantSplit w:val="0"/>
          <w:tblHeader w:val="0"/>
        </w:trPr>
        <w:tc>
          <w:tcPr>
            <w:vAlign w:val="cente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注12：</w:t>
            </w:r>
          </w:p>
        </w:tc>
        <w:tc>
          <w:tcPr>
            <w:vAlign w:val="cente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スタンバイ（スリープ）時、または電源OFF時。</w:t>
            </w:r>
          </w:p>
        </w:tc>
      </w:tr>
      <w:tr>
        <w:trPr>
          <w:cantSplit w:val="0"/>
          <w:tblHeader w:val="0"/>
        </w:trPr>
        <w:tc>
          <w:tcPr>
            <w:vAlign w:val="cente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注13：</w:t>
            </w:r>
          </w:p>
        </w:tc>
        <w:tc>
          <w:tcPr>
            <w:vAlign w:val="cente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283"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NTTドコモ/KDDI（au）/SoftBank対応無線WAN搭載モデル（キャリアアグリゲーション対応）</w:t>
            </w:r>
          </w:p>
          <w:p w:rsidR="00000000" w:rsidDel="00000000" w:rsidP="00000000" w:rsidRDefault="00000000" w:rsidRPr="00000000" w14:paraId="0000017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9"/>
              </w:tabs>
              <w:spacing w:after="283" w:before="0" w:line="240" w:lineRule="auto"/>
              <w:ind w:left="709" w:right="0" w:hanging="283"/>
              <w:jc w:val="left"/>
              <w:rPr>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NTTドコモの通信サービスをご利用の場合</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283"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IMカードスロットにXiに対応したSIMカード（注1）を装着するだけで、受信時最大225Mbps（注2）、送信時最大50Mbps（注2）の超高速通信が可能です（注：Xiエリアの一部に限ります）。Xiエリア外であってもFOMAのエリアであれば受信時最大14Mbps（注2）、送信時最大5.7Mbps（注2）の高速通信が可能です。（注3）</w:t>
              <w:br w:type="textWrapping"/>
              <w:t xml:space="preserve">（注1）ドコモnanoUIMカードが利用可能です。</w:t>
              <w:br w:type="textWrapping"/>
              <w:t xml:space="preserve">（注2）対応エリアの詳細は、NT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54">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NTTドコモのホームページ</w:t>
              </w:r>
            </w:hyperlink>
            <w:hyperlink r:id="rId55">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52400" cy="152400"/>
                    <wp:effectExtent b="0" l="0" r="0" t="0"/>
                    <wp:docPr id="13"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152400" cy="152400"/>
                            </a:xfrm>
                            <a:prstGeom prst="rect"/>
                            <a:ln/>
                          </pic:spPr>
                        </pic:pic>
                      </a:graphicData>
                    </a:graphic>
                  </wp:inline>
                </w:drawing>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をご確認ください。</w:t>
              <w:br w:type="textWrapping"/>
              <w:t xml:space="preserve">（注3）無線WANをご利用になるには、当社が提供する企業向けネットワークサービス「FENICSⅡユニバーサルコネクト」の契約またはNTTドコモとの回線契約およびXiに対応したプロバイダーとの契約が必要です「Xi」、「FOMA」 および「Xi」ロゴは、株式会社NTTドコモの商標または登録商標です。</w:t>
            </w:r>
          </w:p>
          <w:p w:rsidR="00000000" w:rsidDel="00000000" w:rsidP="00000000" w:rsidRDefault="00000000" w:rsidRPr="00000000" w14:paraId="0000018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9"/>
              </w:tabs>
              <w:spacing w:after="283" w:before="0" w:line="240" w:lineRule="auto"/>
              <w:ind w:left="709" w:right="0" w:hanging="283"/>
              <w:jc w:val="left"/>
              <w:rPr>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KDDI(au)の通信サービスをご利用の場合</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283"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au（LTE)通信サービスを契約した「au Nano IC Card 04 LE」（注1）を、SIMカードスロットに装着することで、受信時最大 225Mbps・送信時最大25Mpbs（注2）（注3）の「4G LTE」「WiMAX2+」（注4）がご利用いただけます。（注5）</w:t>
              <w:br w:type="textWrapping"/>
              <w:t xml:space="preserve">（注1）インターネットをご利用いただくには「LTE NET for DATA」オプションが必要です。</w:t>
              <w:br w:type="textWrapping"/>
              <w:t xml:space="preserve">（注2）最大通信速度は通信規格やエリア等により異なります。</w:t>
              <w:br w:type="textWrapping"/>
              <w:t xml:space="preserve">（注3）記載の速度は技術規格上の最大値であり、実使用速度を示すものではありません。お客さまのご利用環境、回線の状況等により、通信速度が大幅に低下したり、通信自体がご利用いただけなくなる場合があります。</w:t>
              <w:br w:type="textWrapping"/>
              <w:t xml:space="preserve">（注4）「4G LTE」「WiMAX2+」は回線の混雑状況等に応じ、より混雑が少ないと判断したネットワークに接続します。</w:t>
              <w:br w:type="textWrapping"/>
              <w:t xml:space="preserve">（注5）「4G LTE」「WiMAX2+」のエリア情報は、、</w:t>
            </w:r>
            <w:hyperlink r:id="rId56">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auのホームページ</w:t>
              </w:r>
            </w:hyperlink>
            <w:hyperlink r:id="rId57">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52400" cy="152400"/>
                    <wp:effectExtent b="0" l="0" r="0" t="0"/>
                    <wp:docPr id="14"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152400" cy="152400"/>
                            </a:xfrm>
                            <a:prstGeom prst="rect"/>
                            <a:ln/>
                          </pic:spPr>
                        </pic:pic>
                      </a:graphicData>
                    </a:graphic>
                  </wp:inline>
                </w:drawing>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をご覧ください。なお、エリア内であっても電波状況によりご利用いただけない場合があります。</w:t>
            </w:r>
          </w:p>
          <w:p w:rsidR="00000000" w:rsidDel="00000000" w:rsidP="00000000" w:rsidRDefault="00000000" w:rsidRPr="00000000" w14:paraId="0000018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9"/>
              </w:tabs>
              <w:spacing w:after="283" w:before="0" w:line="240" w:lineRule="auto"/>
              <w:ind w:left="709" w:right="0" w:hanging="283"/>
              <w:jc w:val="left"/>
              <w:rPr>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SoftBank（ソフトバンク）の通信サービスをご利用の場合</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283"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SIMカードスロットにソフトバンクのSIMカード（注1）を装着するだけで、「SoftBank 4G LTE」「SoftBank 4G」の超高速通信が可能です。また、「SoftBank 4G LTE」「SoftBank 4G」エリア外でも「3Gハイスピード」の通信でご利用が可能です。（注2）（注3）（注4）</w:t>
              <w:br w:type="textWrapping"/>
              <w:t xml:space="preserve">（注1）ソフトバンク所定のUSIMカード「USIMカード（F）」でご利用が可能です。「USIMカード（F）」からnanoサイズで取り外し装着して下さい。</w:t>
              <w:br w:type="textWrapping"/>
              <w:t xml:space="preserve">（注2）SoftBank 4G LTE、SoftBank 4Gは、第3.5世代移動通信システム以上の技術に対しても4Gの呼称を認めるという国際電気通信連合（ITU）の声明に基づきサービス名称として使用しています。</w:t>
              <w:br w:type="textWrapping"/>
              <w:t xml:space="preserve">（注3）対応エリアの詳細は</w:t>
            </w:r>
            <w:hyperlink r:id="rId58">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ソフトバンクのホームページ</w:t>
              </w:r>
            </w:hyperlink>
            <w:hyperlink r:id="rId59">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52400" cy="152400"/>
                    <wp:effectExtent b="0" l="0" r="0" t="0"/>
                    <wp:docPr id="15"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152400" cy="152400"/>
                            </a:xfrm>
                            <a:prstGeom prst="rect"/>
                            <a:ln/>
                          </pic:spPr>
                        </pic:pic>
                      </a:graphicData>
                    </a:graphic>
                  </wp:inline>
                </w:drawing>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でご確認下さい。</w:t>
              <w:br w:type="textWrapping"/>
              <w:t xml:space="preserve">（注4）無線WANをご利用になるには、ソフトバンクとの通信回線契約が必要です。SoftBankおよびソフトバンクの名称、ロゴは、日本国およびその他の国におけるソフトバンクグループ株式会社の登録商標または商標です。</w:t>
            </w:r>
          </w:p>
        </w:tc>
      </w:tr>
      <w:tr>
        <w:trPr>
          <w:cantSplit w:val="0"/>
          <w:tblHeader w:val="0"/>
        </w:trPr>
        <w:tc>
          <w:tcPr>
            <w:vAlign w:val="center"/>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注14：</w:t>
            </w:r>
          </w:p>
        </w:tc>
        <w:tc>
          <w:tcPr>
            <w:vAlign w:val="center"/>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100％を超えるものは、次のようにアルファベットで表記しています。A：100％以上200％未満、AA：200％以上500％未満、AAA：500％以上</w:t>
            </w:r>
            <w:bookmarkStart w:colFirst="0" w:colLast="0" w:name="fwc4ef8ilv7" w:id="10"/>
            <w:bookmarkEnd w:id="10"/>
            <w:r w:rsidDel="00000000" w:rsidR="00000000" w:rsidRPr="00000000">
              <w:rPr>
                <w:rtl w:val="0"/>
              </w:rPr>
            </w:r>
          </w:p>
        </w:tc>
      </w:tr>
      <w:tr>
        <w:trPr>
          <w:cantSplit w:val="0"/>
          <w:tblHeader w:val="0"/>
        </w:trPr>
        <w:tc>
          <w:tcPr>
            <w:vAlign w:val="cente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注15：</w:t>
            </w:r>
          </w:p>
        </w:tc>
        <w:tc>
          <w:tcPr>
            <w:vAlign w:val="cente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ディザリング機能により実現（LCDのみ）。</w:t>
            </w:r>
            <w:bookmarkStart w:colFirst="0" w:colLast="0" w:name="lzubo2lbq2mm" w:id="11"/>
            <w:bookmarkEnd w:id="11"/>
            <w:r w:rsidDel="00000000" w:rsidR="00000000" w:rsidRPr="00000000">
              <w:rPr>
                <w:rtl w:val="0"/>
              </w:rPr>
            </w:r>
          </w:p>
        </w:tc>
      </w:tr>
      <w:tr>
        <w:trPr>
          <w:cantSplit w:val="0"/>
          <w:tblHeader w:val="0"/>
        </w:trPr>
        <w:tc>
          <w:tcPr>
            <w:vAlign w:val="center"/>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注16：</w:t>
            </w:r>
          </w:p>
        </w:tc>
        <w:tc>
          <w:tcPr>
            <w:vAlign w:val="center"/>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お客様が使用可能な領域は、</w:t>
            </w:r>
            <w:hyperlink r:id="rId60">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ハードディスクの空き容量</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のページをご確認ください。ファイルシステムはNTFSになります。</w:t>
            </w:r>
          </w:p>
        </w:tc>
      </w:tr>
      <w:tr>
        <w:trPr>
          <w:cantSplit w:val="0"/>
          <w:tblHeader w:val="0"/>
        </w:trPr>
        <w:tc>
          <w:tcPr>
            <w:vAlign w:val="center"/>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注17：</w:t>
            </w:r>
          </w:p>
        </w:tc>
        <w:tc>
          <w:tcPr>
            <w:vAlign w:val="center"/>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当社測定基準による（各機種標準搭載メモリ、標準HDD容量、DVD-ROMドライブ/スーパーマルチドライブ搭載（搭載可能機種のみ）、無線LAN/モデムなし、LCD輝度最小）。</w:t>
            </w:r>
            <w:bookmarkStart w:colFirst="0" w:colLast="0" w:name="983lfzbxxamp" w:id="12"/>
            <w:bookmarkEnd w:id="12"/>
            <w:r w:rsidDel="00000000" w:rsidR="00000000" w:rsidRPr="00000000">
              <w:rPr>
                <w:rtl w:val="0"/>
              </w:rPr>
            </w:r>
          </w:p>
        </w:tc>
      </w:tr>
      <w:tr>
        <w:trPr>
          <w:cantSplit w:val="0"/>
          <w:tblHeader w:val="0"/>
        </w:trPr>
        <w:tc>
          <w:tcPr>
            <w:vAlign w:val="center"/>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注18：</w:t>
            </w:r>
          </w:p>
        </w:tc>
        <w:tc>
          <w:tcPr>
            <w:vAlign w:val="cente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富士通は、本製品で「サポートOS」を動作させるために必要なBIOSおよびドライバを提供しますが、全ての機能を保証するものではありません。</w:t>
            </w:r>
            <w:bookmarkStart w:colFirst="0" w:colLast="0" w:name="6ctqmuokp1sx" w:id="13"/>
            <w:bookmarkEnd w:id="13"/>
            <w:r w:rsidDel="00000000" w:rsidR="00000000" w:rsidRPr="00000000">
              <w:rPr>
                <w:rtl w:val="0"/>
              </w:rPr>
            </w:r>
          </w:p>
        </w:tc>
      </w:tr>
      <w:tr>
        <w:trPr>
          <w:cantSplit w:val="0"/>
          <w:tblHeader w:val="0"/>
        </w:trPr>
        <w:tc>
          <w:tcPr>
            <w:vAlign w:val="cente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注19：</w:t>
            </w:r>
          </w:p>
        </w:tc>
        <w:tc>
          <w:tcPr>
            <w:vAlign w:val="center"/>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日本語版のみ。</w:t>
            </w:r>
            <w:bookmarkStart w:colFirst="0" w:colLast="0" w:name="qqnptiutrua6" w:id="14"/>
            <w:bookmarkEnd w:id="14"/>
            <w:r w:rsidDel="00000000" w:rsidR="00000000" w:rsidRPr="00000000">
              <w:rPr>
                <w:rtl w:val="0"/>
              </w:rPr>
            </w:r>
          </w:p>
        </w:tc>
      </w:tr>
      <w:tr>
        <w:trPr>
          <w:cantSplit w:val="0"/>
          <w:tblHeader w:val="0"/>
        </w:trPr>
        <w:tc>
          <w:tcPr>
            <w:vAlign w:val="cente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注20：</w:t>
            </w:r>
          </w:p>
        </w:tc>
        <w:tc>
          <w:tcPr>
            <w:vAlign w:val="cente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ご利用に関する詳細は、「</w:t>
            </w:r>
            <w:hyperlink r:id="rId61">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無線LAN/Bluetooth®対応製品使用上のご注意</w:t>
              </w:r>
            </w:hyperlink>
            <w:hyperlink r:id="rId62">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71450" cy="171450"/>
                    <wp:effectExtent b="9525" l="9525" r="9525" t="9525"/>
                    <wp:docPr id="16"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171450" cy="171450"/>
                            </a:xfrm>
                            <a:prstGeom prst="rect"/>
                            <a:ln w="9525">
                              <a:solidFill>
                                <a:srgbClr val="000080"/>
                              </a:solidFill>
                              <a:prstDash val="solid"/>
                            </a:ln>
                          </pic:spPr>
                        </pic:pic>
                      </a:graphicData>
                    </a:graphic>
                  </wp:inline>
                </w:drawing>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」をご確認ください。</w:t>
            </w:r>
          </w:p>
        </w:tc>
      </w:tr>
      <w:tr>
        <w:trPr>
          <w:cantSplit w:val="0"/>
          <w:tblHeader w:val="0"/>
        </w:trPr>
        <w:tc>
          <w:tcPr>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注21：</w:t>
            </w:r>
          </w:p>
        </w:tc>
        <w:tc>
          <w:tcPr>
            <w:vAlign w:val="center"/>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すべてのSDメモリーカード（SDHC/SDXCメモリーカードを含む）、およびmicroSDカードの動作を保証するものではありません。SDIOカード、マルチメディアカードには対応しておりません。なお、ご使用可能なSDメモリーカードは最大2GB、SDHCメモリーカードは最大32GB、SDXCメモリーカードは最大64GBまでとなります。</w:t>
            </w:r>
            <w:bookmarkStart w:colFirst="0" w:colLast="0" w:name="fa6bqgd08z96" w:id="15"/>
            <w:bookmarkEnd w:id="15"/>
            <w:r w:rsidDel="00000000" w:rsidR="00000000" w:rsidRPr="00000000">
              <w:rPr>
                <w:rtl w:val="0"/>
              </w:rPr>
            </w:r>
          </w:p>
        </w:tc>
      </w:tr>
      <w:tr>
        <w:trPr>
          <w:cantSplit w:val="0"/>
          <w:tblHeader w:val="0"/>
        </w:trPr>
        <w:tc>
          <w:tcPr>
            <w:vAlign w:val="center"/>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注22：</w:t>
            </w:r>
          </w:p>
        </w:tc>
        <w:tc>
          <w:tcPr>
            <w:vAlign w:val="cente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hyperlink r:id="rId63">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SMARTACCESS/Premium（別売）</w:t>
              </w:r>
            </w:hyperlink>
            <w:hyperlink r:id="rId64">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71450" cy="171450"/>
                    <wp:effectExtent b="9525" l="9525" r="9525" t="9525"/>
                    <wp:docPr id="17"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171450" cy="171450"/>
                            </a:xfrm>
                            <a:prstGeom prst="rect"/>
                            <a:ln w="9525">
                              <a:solidFill>
                                <a:srgbClr val="000080"/>
                              </a:solidFill>
                              <a:prstDash val="solid"/>
                            </a:ln>
                          </pic:spPr>
                        </pic:pic>
                      </a:graphicData>
                    </a:graphic>
                  </wp:inline>
                </w:drawing>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を使用する場合は、指紋センサーがSMARTACCESS/Premiumでお使いになれるかを製品サイトでご確認ください。</w:t>
              <w:br w:type="textWrapping"/>
              <w:t xml:space="preserve">注：パソコンによって、お使いになれるSMARTACCESS/Premiumのバージョンが異なります。</w:t>
            </w:r>
          </w:p>
        </w:tc>
      </w:tr>
      <w:tr>
        <w:trPr>
          <w:cantSplit w:val="0"/>
          <w:tblHeader w:val="0"/>
        </w:trPr>
        <w:tc>
          <w:tcPr>
            <w:vAlign w:val="center"/>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注23：</w:t>
            </w:r>
          </w:p>
        </w:tc>
        <w:tc>
          <w:tcPr>
            <w:vAlign w:val="center"/>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hyperlink r:id="rId65">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SMARTACCESS/Premium（別売）</w:t>
              </w:r>
            </w:hyperlink>
            <w:hyperlink r:id="rId66">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drawing>
                  <wp:inline distB="0" distT="0" distL="0" distR="0">
                    <wp:extent cx="171450" cy="171450"/>
                    <wp:effectExtent b="9525" l="9525" r="9525" t="9525"/>
                    <wp:docPr id="18"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171450" cy="171450"/>
                            </a:xfrm>
                            <a:prstGeom prst="rect"/>
                            <a:ln w="9525">
                              <a:solidFill>
                                <a:srgbClr val="000080"/>
                              </a:solidFill>
                              <a:prstDash val="solid"/>
                            </a:ln>
                          </pic:spPr>
                        </pic:pic>
                      </a:graphicData>
                    </a:graphic>
                  </wp:inline>
                </w:drawing>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を使用する場合は、手のひら静脈センサーがSMARTACCESS/Premiumでお使いになれるかを製品サイトでご確認ください。</w:t>
              <w:br w:type="textWrapping"/>
              <w:t xml:space="preserve">注：パソコンによって、お使いになれるSMARTACCESS/Premiumのバージョンが異なります。</w:t>
            </w:r>
          </w:p>
        </w:tc>
      </w:tr>
      <w:tr>
        <w:trPr>
          <w:cantSplit w:val="0"/>
          <w:tblHeader w:val="0"/>
        </w:trPr>
        <w:tc>
          <w:tcPr>
            <w:vAlign w:val="center"/>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注24：</w:t>
            </w:r>
          </w:p>
        </w:tc>
        <w:tc>
          <w:tcPr>
            <w:vAlign w:val="center"/>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本体内蔵のメモリは取り外しできません。また、メモリの追加増設はできません。</w:t>
            </w:r>
            <w:bookmarkStart w:colFirst="0" w:colLast="0" w:name="qyuhvkoygpnj" w:id="16"/>
            <w:bookmarkEnd w:id="16"/>
            <w:r w:rsidDel="00000000" w:rsidR="00000000" w:rsidRPr="00000000">
              <w:rPr>
                <w:rtl w:val="0"/>
              </w:rPr>
            </w:r>
          </w:p>
        </w:tc>
      </w:tr>
      <w:tr>
        <w:trPr>
          <w:cantSplit w:val="0"/>
          <w:tblHeader w:val="0"/>
        </w:trPr>
        <w:tc>
          <w:tcPr>
            <w:vAlign w:val="center"/>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注25：</w:t>
            </w:r>
          </w:p>
        </w:tc>
        <w:tc>
          <w:tcPr>
            <w:vAlign w:val="cente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本製品のバッテリーは、お客様自身で交換できない仕様になっており、バッテリー交換は別途有償となります。</w:t>
            </w:r>
          </w:p>
        </w:tc>
      </w:tr>
      <w:tr>
        <w:trPr>
          <w:cantSplit w:val="0"/>
          <w:tblHeader w:val="0"/>
        </w:trPr>
        <w:tc>
          <w:tcPr>
            <w:vAlign w:val="center"/>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注26：</w:t>
            </w:r>
          </w:p>
        </w:tc>
        <w:tc>
          <w:tcPr>
            <w:vAlign w:val="cente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アナログRGBとDisplayPortは同時利用できません。</w:t>
            </w:r>
          </w:p>
        </w:tc>
      </w:tr>
      <w:tr>
        <w:trPr>
          <w:cantSplit w:val="0"/>
          <w:tblHeader w:val="0"/>
        </w:trPr>
        <w:tc>
          <w:tcPr>
            <w:vAlign w:val="center"/>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注27：</w:t>
            </w:r>
          </w:p>
        </w:tc>
        <w:tc>
          <w:tcPr>
            <w:vAlign w:val="cente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Bluetooth low energyに対応しています。</w:t>
            </w:r>
            <w:bookmarkStart w:colFirst="0" w:colLast="0" w:name="3kpuharzkzkj" w:id="17"/>
            <w:bookmarkEnd w:id="17"/>
            <w:r w:rsidDel="00000000" w:rsidR="00000000" w:rsidRPr="00000000">
              <w:rPr>
                <w:rtl w:val="0"/>
              </w:rPr>
            </w:r>
          </w:p>
        </w:tc>
      </w:tr>
      <w:tr>
        <w:trPr>
          <w:cantSplit w:val="0"/>
          <w:tblHeader w:val="0"/>
        </w:trPr>
        <w:tc>
          <w:tcPr>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注28：</w:t>
            </w:r>
          </w:p>
        </w:tc>
        <w:tc>
          <w:tcP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再生時。録音時は最大96KHz/16ビットです。なお、使用できるサンプリンググレードは、ソフトウェアによって異なります。</w:t>
            </w:r>
            <w:bookmarkStart w:colFirst="0" w:colLast="0" w:name="tfjppza7filv" w:id="18"/>
            <w:bookmarkEnd w:id="18"/>
            <w:r w:rsidDel="00000000" w:rsidR="00000000" w:rsidRPr="00000000">
              <w:rPr>
                <w:rtl w:val="0"/>
              </w:rPr>
            </w:r>
          </w:p>
        </w:tc>
      </w:tr>
      <w:tr>
        <w:trPr>
          <w:cantSplit w:val="0"/>
          <w:tblHeader w:val="0"/>
        </w:trPr>
        <w:tc>
          <w:tcPr>
            <w:vAlign w:val="center"/>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注29：</w:t>
            </w:r>
          </w:p>
        </w:tc>
        <w:tc>
          <w:tcPr>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Windows 10 Octorber 2018 Update。</w:t>
            </w:r>
            <w:bookmarkStart w:colFirst="0" w:colLast="0" w:name="re76erd900xw" w:id="19"/>
            <w:bookmarkEnd w:id="19"/>
            <w:r w:rsidDel="00000000" w:rsidR="00000000" w:rsidRPr="00000000">
              <w:rPr>
                <w:rtl w:val="0"/>
              </w:rPr>
            </w:r>
          </w:p>
        </w:tc>
      </w:tr>
      <w:tr>
        <w:trPr>
          <w:cantSplit w:val="0"/>
          <w:tblHeader w:val="0"/>
        </w:trPr>
        <w:tc>
          <w:tcPr>
            <w:vAlign w:val="center"/>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注30：</w:t>
            </w:r>
          </w:p>
        </w:tc>
        <w:tc>
          <w:tcPr>
            <w:vAlign w:val="center"/>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本GPS機能は簡易的な機能のため、測位には数分～十数分かかることがあります。また、屋内や遮蔽物のある環境では計測できません。</w:t>
            </w:r>
            <w:bookmarkStart w:colFirst="0" w:colLast="0" w:name="itv4b9d8eh38" w:id="20"/>
            <w:bookmarkEnd w:id="20"/>
            <w:r w:rsidDel="00000000" w:rsidR="00000000" w:rsidRPr="00000000">
              <w:rPr>
                <w:rtl w:val="0"/>
              </w:rPr>
            </w:r>
          </w:p>
        </w:tc>
      </w:tr>
      <w:tr>
        <w:trPr>
          <w:cantSplit w:val="0"/>
          <w:tblHeader w:val="0"/>
        </w:trPr>
        <w:tc>
          <w:tcPr>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注31：</w:t>
            </w:r>
          </w:p>
        </w:tc>
        <w:tc>
          <w:tcPr>
            <w:vAlign w:val="center"/>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BIOSセットアップメニューにおいて、「バッテリーの充電電圧」を「通常電圧モード」に設定して測定しています。</w:t>
            </w:r>
            <w:bookmarkStart w:colFirst="0" w:colLast="0" w:name="esjbk6z05i3w" w:id="21"/>
            <w:bookmarkEnd w:id="21"/>
            <w:r w:rsidDel="00000000" w:rsidR="00000000" w:rsidRPr="00000000">
              <w:rPr>
                <w:rtl w:val="0"/>
              </w:rPr>
            </w:r>
          </w:p>
        </w:tc>
      </w:tr>
      <w:tr>
        <w:trPr>
          <w:cantSplit w:val="0"/>
          <w:tblHeader w:val="0"/>
        </w:trPr>
        <w:tc>
          <w:tcPr>
            <w:vAlign w:val="cente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注32：</w:t>
            </w:r>
          </w:p>
        </w:tc>
        <w:tc>
          <w:tcPr>
            <w:vAlign w:val="center"/>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サポートOSに関する最新の情報についてはFMWORLD法人「</w:t>
            </w:r>
            <w:hyperlink r:id="rId67">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OS関連情報</w:t>
              </w:r>
            </w:hyperlink>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」をご確認ください。</w:t>
            </w:r>
          </w:p>
        </w:tc>
      </w:tr>
      <w:tr>
        <w:trPr>
          <w:cantSplit w:val="0"/>
          <w:tblHeader w:val="0"/>
        </w:trPr>
        <w:tc>
          <w:tcPr>
            <w:vAlign w:val="center"/>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注33：</w:t>
            </w:r>
          </w:p>
        </w:tc>
        <w:tc>
          <w:tcPr>
            <w:vAlign w:val="center"/>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本最大消費電力値はACコンセント側の消費電力となります。</w:t>
            </w:r>
            <w:bookmarkStart w:colFirst="0" w:colLast="0" w:name="uhkrvdi6wle1" w:id="22"/>
            <w:bookmarkEnd w:id="22"/>
            <w:r w:rsidDel="00000000" w:rsidR="00000000" w:rsidRPr="00000000">
              <w:rPr>
                <w:rtl w:val="0"/>
              </w:rPr>
            </w:r>
          </w:p>
        </w:tc>
      </w:tr>
      <w:tr>
        <w:trPr>
          <w:cantSplit w:val="0"/>
          <w:tblHeader w:val="0"/>
        </w:trPr>
        <w:tc>
          <w:tcPr>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注34：</w:t>
            </w:r>
          </w:p>
        </w:tc>
        <w:tc>
          <w:tcPr>
            <w:vAlign w:val="center"/>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最大5V/3A給電です。USB Power Delivery対応機器への充電が可能です。45W（20V/2.25A）以上を供給可能な機器であれば、本体に充電が可能です(左側面奥のみ）。ただし、すべての対応機器の動作を保証するものではありません。</w:t>
            </w:r>
          </w:p>
        </w:tc>
      </w:tr>
    </w:tbl>
    <w:p w:rsidR="00000000" w:rsidDel="00000000" w:rsidP="00000000" w:rsidRDefault="00000000" w:rsidRPr="00000000" w14:paraId="000001AF">
      <w:pPr>
        <w:jc w:val="left"/>
        <w:rPr/>
      </w:pPr>
      <w:r w:rsidDel="00000000" w:rsidR="00000000" w:rsidRPr="00000000">
        <w:rPr>
          <w:rtl w:val="0"/>
        </w:rPr>
      </w:r>
    </w:p>
    <w:p w:rsidR="00000000" w:rsidDel="00000000" w:rsidP="00000000" w:rsidRDefault="00000000" w:rsidRPr="00000000" w14:paraId="000001B0">
      <w:pPr>
        <w:pStyle w:val="Heading1"/>
        <w:numPr>
          <w:ilvl w:val="0"/>
          <w:numId w:val="1"/>
        </w:numPr>
        <w:ind w:left="0" w:firstLine="0"/>
        <w:jc w:val="left"/>
        <w:rPr/>
      </w:pPr>
      <w:r w:rsidDel="00000000" w:rsidR="00000000" w:rsidRPr="00000000">
        <w:rPr>
          <w:rtl w:val="0"/>
        </w:rPr>
        <w:t xml:space="preserve">バックアップ</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2026-05-22  ホスト名をarrowsに変更してWindows11 Proをバックアップ。</w:t>
      </w:r>
    </w:p>
    <w:p w:rsidR="00000000" w:rsidDel="00000000" w:rsidP="00000000" w:rsidRDefault="00000000" w:rsidRPr="00000000" w14:paraId="000001B2">
      <w:pPr>
        <w:pStyle w:val="Heading1"/>
        <w:numPr>
          <w:ilvl w:val="0"/>
          <w:numId w:val="1"/>
        </w:numPr>
        <w:ind w:left="0" w:firstLine="0"/>
        <w:jc w:val="left"/>
        <w:rPr/>
      </w:pPr>
      <w:r w:rsidDel="00000000" w:rsidR="00000000" w:rsidRPr="00000000">
        <w:rPr>
          <w:rtl w:val="0"/>
        </w:rPr>
        <w:t xml:space="preserve">BIOS起動</w:t>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電源投入後、「-」ボタン(電源ボタン横の音量下げボタン)を押す。</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「+」ボタンは起動メニュー表示。</w:t>
      </w:r>
    </w:p>
    <w:p w:rsidR="00000000" w:rsidDel="00000000" w:rsidP="00000000" w:rsidRDefault="00000000" w:rsidRPr="00000000" w14:paraId="000001B5">
      <w:pPr>
        <w:pStyle w:val="Heading1"/>
        <w:numPr>
          <w:ilvl w:val="0"/>
          <w:numId w:val="1"/>
        </w:numPr>
        <w:spacing w:after="120" w:before="240" w:lineRule="auto"/>
        <w:ind w:left="0" w:firstLine="0"/>
        <w:rPr/>
      </w:pPr>
      <w:r w:rsidDel="00000000" w:rsidR="00000000" w:rsidRPr="00000000">
        <w:rPr>
          <w:rtl w:val="0"/>
        </w:rPr>
        <w:t xml:space="preserve">バッテリー</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NAME</w:t>
        <w:tab/>
        <w:tab/>
        <w:tab/>
        <w:tab/>
        <w:tab/>
        <w:t xml:space="preserve">CP797438-03</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DESIGN CAPACITY</w:t>
        <w:tab/>
        <w:tab/>
        <w:tab/>
        <w:t xml:space="preserve">25,200 mWh</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FULL CHARGE CAPACITY</w:t>
        <w:tab/>
        <w:t xml:space="preserve">25,200 mWh</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CYCLE COUNT </w:t>
        <w:tab/>
        <w:tab/>
        <w:tab/>
        <w:t xml:space="preserve">1</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背面カバーの外し方</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hyperlink r:id="rId68">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https://www.youtube.com/watch?v=al5IeXwMas4</w:t>
        </w:r>
      </w:hyperlink>
      <w:r w:rsidDel="00000000" w:rsidR="00000000" w:rsidRPr="00000000">
        <w:rPr>
          <w:rtl w:val="0"/>
        </w:rPr>
      </w:r>
    </w:p>
    <w:p w:rsidR="00000000" w:rsidDel="00000000" w:rsidP="00000000" w:rsidRDefault="00000000" w:rsidRPr="00000000" w14:paraId="000001BC">
      <w:pPr>
        <w:pStyle w:val="Heading1"/>
        <w:numPr>
          <w:ilvl w:val="0"/>
          <w:numId w:val="1"/>
        </w:numPr>
        <w:ind w:left="0" w:firstLine="0"/>
        <w:rPr/>
      </w:pPr>
      <w:r w:rsidDel="00000000" w:rsidR="00000000" w:rsidRPr="00000000">
        <w:rPr>
          <w:rtl w:val="0"/>
        </w:rPr>
        <w:t xml:space="preserve">OS</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2026-05-22 Linux Mint 22.3をインストールした。</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2026-05-23 音が出ず、BlueToothも使えないので、Linux Mint 21.3をインストールした。</w:t>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eration Serif"/>
  <w:font w:name="Liberation Sans"/>
  <w:font w:name="Georgia"/>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
      <w:lvlJc w:val="left"/>
      <w:pPr>
        <w:ind w:left="0" w:firstLine="0"/>
      </w:pPr>
      <w:rPr/>
    </w:lvl>
    <w:lvl w:ilvl="1">
      <w:start w:val="1"/>
      <w:numFmt w:val="decimal"/>
      <w:lvlText w:val=""/>
      <w:lvlJc w:val="left"/>
      <w:pPr>
        <w:ind w:left="0" w:firstLine="0"/>
      </w:pPr>
      <w:rPr/>
    </w:lvl>
    <w:lvl w:ilvl="2">
      <w:start w:val="1"/>
      <w:numFmt w:val="decimal"/>
      <w:lvlText w:val=""/>
      <w:lvlJc w:val="left"/>
      <w:pPr>
        <w:ind w:left="0" w:firstLine="0"/>
      </w:pPr>
      <w:rPr/>
    </w:lvl>
    <w:lvl w:ilvl="3">
      <w:start w:val="1"/>
      <w:numFmt w:val="decimal"/>
      <w:lvlText w:val=""/>
      <w:lvlJc w:val="left"/>
      <w:pPr>
        <w:ind w:left="0" w:firstLine="0"/>
      </w:pPr>
      <w:rPr/>
    </w:lvl>
    <w:lvl w:ilvl="4">
      <w:start w:val="1"/>
      <w:numFmt w:val="decimal"/>
      <w:lvlText w:val=""/>
      <w:lvlJc w:val="left"/>
      <w:pPr>
        <w:ind w:left="0" w:firstLine="0"/>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2">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ind w:left="0" w:firstLine="0"/>
    </w:pPr>
    <w:rPr>
      <w:rFonts w:ascii="Liberation Sans" w:cs="Liberation Sans" w:eastAsia="Liberation Sans" w:hAnsi="Liberation Sans"/>
      <w:b w:val="1"/>
      <w:bCs w:val="1"/>
      <w:sz w:val="36"/>
      <w:szCs w:val="36"/>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spacing w:after="120" w:before="140" w:lineRule="auto"/>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spacing w:after="120" w:before="240" w:lineRule="auto"/>
      <w:jc w:val="center"/>
    </w:pPr>
    <w:rPr>
      <w:rFonts w:ascii="Liberation Sans" w:cs="Liberation Sans" w:eastAsia="Liberation Sans" w:hAnsi="Liberation Sans"/>
      <w:b w:val="1"/>
      <w:bCs w:val="1"/>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75.0" w:type="dxa"/>
        <w:left w:w="75.0" w:type="dxa"/>
        <w:bottom w:w="75.0" w:type="dxa"/>
        <w:right w:w="75.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247ps-i.isnet.jp.fujitsu.com/platform/pc/product/arrowstab/1901/q509ve/spec.html#33" TargetMode="External"/><Relationship Id="rId42" Type="http://schemas.openxmlformats.org/officeDocument/2006/relationships/image" Target="media/image3.png"/><Relationship Id="rId41" Type="http://schemas.openxmlformats.org/officeDocument/2006/relationships/hyperlink" Target="https://247ps-i.isnet.jp.fujitsu.com/platform/pc/product/arrowstab/1901/q509ve/spec.html#14" TargetMode="External"/><Relationship Id="rId44" Type="http://schemas.openxmlformats.org/officeDocument/2006/relationships/hyperlink" Target="https://247ps-i.isnet.jp.fujitsu.com/platform/pc/product/arrowstab/1901/q509ve/spec.html#8" TargetMode="External"/><Relationship Id="rId43" Type="http://schemas.openxmlformats.org/officeDocument/2006/relationships/hyperlink" Target="https://247ps-i.isnet.jp.fujitsu.com/platform/pc/product/arrowstab/1901/q509ve/spec.html#9" TargetMode="External"/><Relationship Id="rId46" Type="http://schemas.openxmlformats.org/officeDocument/2006/relationships/hyperlink" Target="https://247ps-i.isnet.jp.fujitsu.com/platform/pc/product/arrowstab/1901/q509ve/spec.html#19" TargetMode="External"/><Relationship Id="rId45" Type="http://schemas.openxmlformats.org/officeDocument/2006/relationships/hyperlink" Target="https://247ps-i.isnet.jp.fujitsu.com/platform/pc/product/arrowstab/1901/q509ve/spec.html#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247ps-i.isnet.jp.fujitsu.com/platform/pc/product/arrowstab/1901/q509ve/spec.html#24" TargetMode="External"/><Relationship Id="rId48" Type="http://schemas.openxmlformats.org/officeDocument/2006/relationships/hyperlink" Target="https://247ps-i.isnet.jp.fujitsu.com/platform/pc/product/arrowstab/1901/q509ve/spec.html#29" TargetMode="External"/><Relationship Id="rId47" Type="http://schemas.openxmlformats.org/officeDocument/2006/relationships/hyperlink" Target="https://247ps-i.isnet.jp.fujitsu.com/platform/pc/product/arrowstab/1901/q509ve/spec.html#32" TargetMode="External"/><Relationship Id="rId49" Type="http://schemas.openxmlformats.org/officeDocument/2006/relationships/hyperlink" Target="https://247ps-i.isnet.jp.fujitsu.com/platform/pc/product/arrowstab/1901/q509ve/spec.html#29"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247ps-i.isnet.jp.fujitsu.com/platform/pc/product/arrowstab/1901/q509ve/spec.html#29" TargetMode="External"/><Relationship Id="rId8" Type="http://schemas.openxmlformats.org/officeDocument/2006/relationships/hyperlink" Target="https://247ps-i.isnet.jp.fujitsu.com/platform/pc/product/arrowstab/1901/q509ve/spec.html#29" TargetMode="External"/><Relationship Id="rId31" Type="http://schemas.openxmlformats.org/officeDocument/2006/relationships/hyperlink" Target="https://247ps-i.isnet.jp.fujitsu.com/platform/pc/product/arrowstab/1901/q509ve/spec.html#26" TargetMode="External"/><Relationship Id="rId30" Type="http://schemas.openxmlformats.org/officeDocument/2006/relationships/hyperlink" Target="https://247ps-i.isnet.jp.fujitsu.com/platform/pc/product/arrowstab/1901/q509ve/spec.html#34" TargetMode="External"/><Relationship Id="rId33" Type="http://schemas.openxmlformats.org/officeDocument/2006/relationships/hyperlink" Target="https://247ps-i.isnet.jp.fujitsu.com/platform/pc/product/arrowstab/1901/q509ve/spec.html#11" TargetMode="External"/><Relationship Id="rId32" Type="http://schemas.openxmlformats.org/officeDocument/2006/relationships/hyperlink" Target="https://247ps-i.isnet.jp.fujitsu.com/platform/pc/product/arrowstab/1901/q509ve/spec.html#25" TargetMode="External"/><Relationship Id="rId35" Type="http://schemas.openxmlformats.org/officeDocument/2006/relationships/hyperlink" Target="https://247ps-i.isnet.jp.fujitsu.com/platform/pc/product/arrowstab/1901/q509ve/spec.html#31" TargetMode="External"/><Relationship Id="rId34" Type="http://schemas.openxmlformats.org/officeDocument/2006/relationships/hyperlink" Target="https://247ps-i.isnet.jp.fujitsu.com/platform/pc/product/arrowstab/1901/q509ve/spec.html#5" TargetMode="External"/><Relationship Id="rId37" Type="http://schemas.openxmlformats.org/officeDocument/2006/relationships/hyperlink" Target="https://247ps-i.isnet.jp.fujitsu.com/platform/pc/product/arrowstab/1901/q509ve/spec.html#12" TargetMode="External"/><Relationship Id="rId36" Type="http://schemas.openxmlformats.org/officeDocument/2006/relationships/hyperlink" Target="https://247ps-i.isnet.jp.fujitsu.com/platform/pc/product/arrowstab/1901/q509ve/spec.html#31" TargetMode="External"/><Relationship Id="rId39" Type="http://schemas.openxmlformats.org/officeDocument/2006/relationships/hyperlink" Target="https://247ps-i.isnet.jp.fujitsu.com/platform/pc/product/arrowstab/1901/q509ve/spec.html#33" TargetMode="External"/><Relationship Id="rId38" Type="http://schemas.openxmlformats.org/officeDocument/2006/relationships/hyperlink" Target="https://247ps-i.isnet.jp.fujitsu.com/platform/pc/product/arrowstab/1901/q509ve/spec.html#17" TargetMode="External"/><Relationship Id="rId62" Type="http://schemas.openxmlformats.org/officeDocument/2006/relationships/hyperlink" Target="https://247ps-i.isnet.jp.fujitsu.com/platform/pc/product/lifebook/w_lan/" TargetMode="External"/><Relationship Id="rId61" Type="http://schemas.openxmlformats.org/officeDocument/2006/relationships/hyperlink" Target="https://247ps-i.isnet.jp.fujitsu.com/platform/pc/product/lifebook/w_lan/" TargetMode="External"/><Relationship Id="rId20" Type="http://schemas.openxmlformats.org/officeDocument/2006/relationships/hyperlink" Target="https://247ps-i.isnet.jp.fujitsu.com/platform/pc/product/arrowstab/1901/q509ve/spec.html#13" TargetMode="External"/><Relationship Id="rId64" Type="http://schemas.openxmlformats.org/officeDocument/2006/relationships/hyperlink" Target="https://247ps-i.isnet.jp.fujitsu.com/platform/pc/product/related/security/smartaccess/" TargetMode="External"/><Relationship Id="rId63" Type="http://schemas.openxmlformats.org/officeDocument/2006/relationships/hyperlink" Target="https://247ps-i.isnet.jp.fujitsu.com/platform/pc/product/related/security/smartaccess/" TargetMode="External"/><Relationship Id="rId22" Type="http://schemas.openxmlformats.org/officeDocument/2006/relationships/hyperlink" Target="https://247ps-i.isnet.jp.fujitsu.com/platform/pc/product/arrowstab/1901/q509ve/spec.html#7" TargetMode="External"/><Relationship Id="rId66" Type="http://schemas.openxmlformats.org/officeDocument/2006/relationships/hyperlink" Target="https://247ps-i.isnet.jp.fujitsu.com/platform/pc/product/related/security/smartaccess/" TargetMode="External"/><Relationship Id="rId21" Type="http://schemas.openxmlformats.org/officeDocument/2006/relationships/hyperlink" Target="https://247ps-i.isnet.jp.fujitsu.com/platform/pc/product/arrowstab/1901/q509ve/spec.html#20" TargetMode="External"/><Relationship Id="rId65" Type="http://schemas.openxmlformats.org/officeDocument/2006/relationships/hyperlink" Target="https://247ps-i.isnet.jp.fujitsu.com/platform/pc/product/related/security/smartaccess/" TargetMode="External"/><Relationship Id="rId24" Type="http://schemas.openxmlformats.org/officeDocument/2006/relationships/hyperlink" Target="https://247ps-i.isnet.jp.fujitsu.com/platform/pc/product/arrowstab/1901/q509ve/spec.html#6" TargetMode="External"/><Relationship Id="rId68" Type="http://schemas.openxmlformats.org/officeDocument/2006/relationships/hyperlink" Target="https://www.youtube.com/watch?v=al5IeXwMas4" TargetMode="External"/><Relationship Id="rId23" Type="http://schemas.openxmlformats.org/officeDocument/2006/relationships/hyperlink" Target="https://247ps-i.isnet.jp.fujitsu.com/platform/pc/product/arrowstab/1901/q509ve/spec.html#27" TargetMode="External"/><Relationship Id="rId67" Type="http://schemas.openxmlformats.org/officeDocument/2006/relationships/hyperlink" Target="https://www.fmworld.net/biz/fmv/support/os/" TargetMode="External"/><Relationship Id="rId60" Type="http://schemas.openxmlformats.org/officeDocument/2006/relationships/hyperlink" Target="https://247ps-i.isnet.jp.fujitsu.com/platform/pc/product/lifebook/1907/recovery.html#hdd" TargetMode="External"/><Relationship Id="rId26" Type="http://schemas.openxmlformats.org/officeDocument/2006/relationships/hyperlink" Target="https://247ps-i.isnet.jp.fujitsu.com/platform/pc/product/arrowstab/1901/q509ve/spec.html#23" TargetMode="External"/><Relationship Id="rId25" Type="http://schemas.openxmlformats.org/officeDocument/2006/relationships/hyperlink" Target="https://247ps-i.isnet.jp.fujitsu.com/platform/pc/product/arrowstab/1901/q509ve/spec.html#22" TargetMode="External"/><Relationship Id="rId28" Type="http://schemas.openxmlformats.org/officeDocument/2006/relationships/hyperlink" Target="https://247ps-i.isnet.jp.fujitsu.com/platform/pc/product/arrowstab/1901/q509ve/spec.html#21" TargetMode="External"/><Relationship Id="rId27" Type="http://schemas.openxmlformats.org/officeDocument/2006/relationships/hyperlink" Target="https://247ps-i.isnet.jp.fujitsu.com/platform/pc/content/workstyle_henkaku/solutions_introduction/clearsure.html" TargetMode="External"/><Relationship Id="rId29" Type="http://schemas.openxmlformats.org/officeDocument/2006/relationships/hyperlink" Target="https://247ps-i.isnet.jp.fujitsu.com/platform/pc/product/arrowstab/1901/q509ve/spec.html#10" TargetMode="External"/><Relationship Id="rId51" Type="http://schemas.openxmlformats.org/officeDocument/2006/relationships/hyperlink" Target="http://home.jeita.or.jp/cgi-bin/page/detail.cgi?n=84&amp;ca=14" TargetMode="External"/><Relationship Id="rId50" Type="http://schemas.openxmlformats.org/officeDocument/2006/relationships/hyperlink" Target="http://home.jeita.or.jp/cgi-bin/page/detail.cgi?n=84&amp;ca=14" TargetMode="External"/><Relationship Id="rId53" Type="http://schemas.openxmlformats.org/officeDocument/2006/relationships/hyperlink" Target="https://247ps-i.isnet.jp.fujitsu.com/platform/pc/product/related/jeita/2018-2nd_win10.html" TargetMode="External"/><Relationship Id="rId52" Type="http://schemas.openxmlformats.org/officeDocument/2006/relationships/image" Target="media/image4.png"/><Relationship Id="rId11" Type="http://schemas.openxmlformats.org/officeDocument/2006/relationships/hyperlink" Target="https://247ps-i.isnet.jp.fujitsu.com/platform/pc/product/arrowstab/1901/q509ve/spec.html#1" TargetMode="External"/><Relationship Id="rId55" Type="http://schemas.openxmlformats.org/officeDocument/2006/relationships/hyperlink" Target="http://www.nttdocomo.co.jp/support/area/index.html" TargetMode="External"/><Relationship Id="rId10" Type="http://schemas.openxmlformats.org/officeDocument/2006/relationships/hyperlink" Target="https://247ps-i.isnet.jp.fujitsu.com/platform/pc/product/arrowstab/1901/q509ve/spec.html#24" TargetMode="External"/><Relationship Id="rId54" Type="http://schemas.openxmlformats.org/officeDocument/2006/relationships/hyperlink" Target="http://www.nttdocomo.co.jp/support/area/index.html" TargetMode="External"/><Relationship Id="rId13" Type="http://schemas.openxmlformats.org/officeDocument/2006/relationships/hyperlink" Target="https://247ps-i.isnet.jp.fujitsu.com/platform/pc/product/arrowstab/1901/q509ve/spec.html#15" TargetMode="External"/><Relationship Id="rId57" Type="http://schemas.openxmlformats.org/officeDocument/2006/relationships/hyperlink" Target="http://www.au.kddi.com/mobile/area/" TargetMode="External"/><Relationship Id="rId12" Type="http://schemas.openxmlformats.org/officeDocument/2006/relationships/hyperlink" Target="https://247ps-i.isnet.jp.fujitsu.com/platform/pc/product/arrowstab/1901/q509ve/spec.html#2" TargetMode="External"/><Relationship Id="rId56" Type="http://schemas.openxmlformats.org/officeDocument/2006/relationships/hyperlink" Target="http://www.au.kddi.com/mobile/area/" TargetMode="External"/><Relationship Id="rId15" Type="http://schemas.openxmlformats.org/officeDocument/2006/relationships/hyperlink" Target="https://247ps-i.isnet.jp.fujitsu.com/platform/pc/product/arrowstab/1901/q509ve/spec.html#16" TargetMode="External"/><Relationship Id="rId59" Type="http://schemas.openxmlformats.org/officeDocument/2006/relationships/hyperlink" Target="https://www.softbank.jp/platform/pc/mobile/network/" TargetMode="External"/><Relationship Id="rId14" Type="http://schemas.openxmlformats.org/officeDocument/2006/relationships/hyperlink" Target="https://247ps-i.isnet.jp.fujitsu.com/platform/pc/product/arrowstab/1901/q509ve/spec.html#3" TargetMode="External"/><Relationship Id="rId58" Type="http://schemas.openxmlformats.org/officeDocument/2006/relationships/hyperlink" Target="https://www.softbank.jp/platform/pc/mobile/network/" TargetMode="External"/><Relationship Id="rId17" Type="http://schemas.openxmlformats.org/officeDocument/2006/relationships/image" Target="media/image2.png"/><Relationship Id="rId16" Type="http://schemas.openxmlformats.org/officeDocument/2006/relationships/hyperlink" Target="https://247ps-i.isnet.jp.fujitsu.com/platform/pc/product/arrowstab/1901/q509ve/spec.html#28" TargetMode="External"/><Relationship Id="rId19" Type="http://schemas.openxmlformats.org/officeDocument/2006/relationships/hyperlink" Target="https://247ps-i.isnet.jp.fujitsu.com/platform/pc/product/arrowstab/1901/q509ve/spec.html#4" TargetMode="External"/><Relationship Id="rId18" Type="http://schemas.openxmlformats.org/officeDocument/2006/relationships/hyperlink" Target="https://247ps-i.isnet.jp.fujitsu.com/platform/pc/product/arrowstab/1901/q509ve/spec.html#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