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76" w:lineRule="auto"/>
        <w:pBdr>
          <w:bottom w:val="single" w:sz="8" w:color="000000"/>
        </w:pBdr>
      </w:pPr>
      <w:r>
        <w:rPr>
          <w:rFonts w:ascii="UD Digi Kyokasho NK-B" w:hAnsi="UD Digi Kyokasho NK-B" w:eastAsia="UD Digi Kyokasho NK-B" w:cs="UD Digi Kyokasho NK-B"/>
          <w:b w:val="0"/>
          <w:sz w:val="22"/>
        </w:rPr>
        <w:t>【古典探究】『史記』「鴻門之会」　AIロールプレイ　授業プリント⑫</w:t>
      </w:r>
      <w:r>
        <w:rPr>
          <w:rFonts w:ascii="UD Digi Kyokasho NK-R" w:hAnsi="UD Digi Kyokasho NK-R" w:eastAsia="UD Digi Kyokasho NK-R" w:cs="UD Digi Kyokasho NK-R"/>
          <w:b w:val="0"/>
          <w:sz w:val="20"/>
        </w:rPr>
        <w:t xml:space="preserve">　　二年　　　組　　　　番　氏名　　　　　　　　　　　　　　　　　　　</w:t>
      </w:r>
      <w:r>
        <w:rPr>
          <w:rFonts w:ascii="UD Digi Kyokasho NK-B" w:hAnsi="UD Digi Kyokasho NK-B" w:eastAsia="UD Digi Kyokasho NK-B" w:cs="UD Digi Kyokasho NK-B"/>
          <w:b w:val="0"/>
          <w:sz w:val="20"/>
        </w:rPr>
        <w:t>表</w:t>
      </w:r>
    </w:p>
    <w:tbl>
      <w:tblPr>
        <w:tblW w:type="auto" w:w="0"/>
        <w:tblLook w:firstColumn="1" w:firstRow="1" w:lastColumn="0" w:lastRow="0" w:noHBand="0" w:noVBand="1" w:val="04A0"/>
        <w:tblBorders>
          <w:insideV w:val="single" w:sz="6" w:color="000000"/>
        </w:tblBorders>
        <w:tblLayout w:type="fixed"/>
      </w:tblPr>
      <w:tblGrid>
        <w:gridCol w:w="7699"/>
        <w:gridCol w:w="7699"/>
      </w:tblGrid>
      <w:tr>
        <w:tc>
          <w:tcPr>
            <w:tcW w:type="dxa" w:w="7682"/>
            <w:tcMar>
              <w:right w:w="240" w:type="dxa"/>
            </w:tcMar>
          </w:tcPr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color w:val="5A4A2A"/>
                <w:sz w:val="19"/>
              </w:rPr>
              <w:t>高祖曰はく、「項羽は一の范増有れども用ゐる能はず。此れ其の我が擒と為る所以なり。」（高祖本紀）</w:t>
            </w:r>
          </w:p>
          <w:p>
            <w:pPr>
              <w:spacing w:after="12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20"/>
              </w:rPr>
              <w:t>――もし、あなたが范増だったら。樊噲が去り、沛公が「厠へ」と席を立った今が、最後の機会だ。AIが演じる項王を、本文を根拠にして説得しよう。言葉をかけられるのは五回まで。</w:t>
            </w:r>
          </w:p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★Ⅰ．説得の根拠を本文から集めよう（書き下し文で書き抜く）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2561"/>
              <w:gridCol w:w="2561"/>
              <w:gridCol w:w="2561"/>
            </w:tblGrid>
            <w:tr>
              <w:tc>
                <w:tcPr>
                  <w:tcW w:type="dxa" w:w="3628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根拠（書き下し文）</w:t>
                  </w:r>
                </w:p>
              </w:tc>
              <w:tc>
                <w:tcPr>
                  <w:tcW w:type="dxa" w:w="1134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本文の場所</w:t>
                  </w:r>
                </w:p>
              </w:tc>
              <w:tc>
                <w:tcPr>
                  <w:tcW w:type="dxa" w:w="2494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項王に効きそうな理由</w:t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362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P　 ・　 行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362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P　 ・　 行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362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P　 ・　 行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737" w:hRule="atLeast"/>
              </w:trPr>
              <w:tc>
                <w:tcPr>
                  <w:tcW w:type="dxa" w:w="362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13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P　 ・　 行</w:t>
                  </w:r>
                </w:p>
              </w:tc>
              <w:tc>
                <w:tcPr>
                  <w:tcW w:type="dxa" w:w="24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12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color w:val="555555"/>
                <w:sz w:val="17"/>
              </w:rPr>
              <w:t>ヒント：范増の進言（気を望む）／曹無傷の密告／沛公が関中で財物を取らなかったこと／樊噲の振る舞い</w:t>
            </w:r>
          </w:p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★Ⅱ．項王の人物像を押さえよう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>①　范増は項王を「君王人と為り（　　　　　）」と評した。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 xml:space="preserve">　　→ 意味：（　　　　　　　　　　　　　　　　　　　　）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>②　項伯の「今人大功有るに之を撃つは、（　　　）なり」に、項王は許諾した。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>③　だから項王を動かすには、「沛公を討っても（　　　）にならない」理由が要る。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sz w:val="19"/>
              </w:rPr>
              <w:t>④　言ってはいけないこと（項王が反発しそうな言い方）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7682"/>
            </w:tblGrid>
            <w:tr>
              <w:trPr>
                <w:trHeight w:val="793" w:hRule="atLeast"/>
              </w:trPr>
              <w:tc>
                <w:tcPr>
                  <w:tcW w:type="dxa" w:w="7682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</w:tc>
        <w:tc>
          <w:tcPr>
            <w:tcW w:type="dxa" w:w="7682"/>
            <w:tcMar>
              <w:left w:w="240" w:type="dxa"/>
            </w:tcMar>
          </w:tcPr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★Ⅲ．対話の記録（言葉をかけられるのは五回まで）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1920"/>
              <w:gridCol w:w="1920"/>
              <w:gridCol w:w="1920"/>
              <w:gridCol w:w="1920"/>
            </w:tblGrid>
            <w:tr>
              <w:tc>
                <w:tcPr>
                  <w:tcW w:type="dxa" w:w="454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回</w:t>
                  </w:r>
                </w:p>
              </w:tc>
              <w:tc>
                <w:tcPr>
                  <w:tcW w:type="dxa" w:w="2721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范増（自分）の言葉の要点</w:t>
                  </w:r>
                </w:p>
              </w:tc>
              <w:tc>
                <w:tcPr>
                  <w:tcW w:type="dxa" w:w="2608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項王の返答の要点</w:t>
                  </w:r>
                </w:p>
              </w:tc>
              <w:tc>
                <w:tcPr>
                  <w:tcW w:type="dxa" w:w="1474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使った本文</w:t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１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２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３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４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1332" w:hRule="atLeast"/>
              </w:trPr>
              <w:tc>
                <w:tcPr>
                  <w:tcW w:type="dxa" w:w="45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５</w:t>
                  </w:r>
                </w:p>
              </w:tc>
              <w:tc>
                <w:tcPr>
                  <w:tcW w:type="dxa" w:w="2721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2608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47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color w:val="555555"/>
                <w:sz w:val="17"/>
              </w:rPr>
              <w:t>※ 後の歴史（垓下など）を持ち出すと、項王は「妖言だ」と取り合わない。本文の範囲で勝負しよう。</w:t>
            </w:r>
          </w:p>
        </w:tc>
      </w:tr>
    </w:tbl>
    <w:p>
      <w:r>
        <w:br w:type="page"/>
      </w:r>
    </w:p>
    <w:p>
      <w:pPr>
        <w:spacing w:after="80" w:before="0" w:line="276" w:lineRule="auto"/>
        <w:pBdr>
          <w:bottom w:val="single" w:sz="8" w:color="000000"/>
        </w:pBdr>
      </w:pPr>
      <w:r>
        <w:rPr>
          <w:rFonts w:ascii="UD Digi Kyokasho NK-B" w:hAnsi="UD Digi Kyokasho NK-B" w:eastAsia="UD Digi Kyokasho NK-B" w:cs="UD Digi Kyokasho NK-B"/>
          <w:b w:val="0"/>
          <w:sz w:val="22"/>
        </w:rPr>
        <w:t>【古典探究】『史記』「鴻門之会」　AIロールプレイ　授業プリント⑫</w:t>
      </w:r>
      <w:r>
        <w:rPr>
          <w:rFonts w:ascii="UD Digi Kyokasho NK-R" w:hAnsi="UD Digi Kyokasho NK-R" w:eastAsia="UD Digi Kyokasho NK-R" w:cs="UD Digi Kyokasho NK-R"/>
          <w:b w:val="0"/>
          <w:sz w:val="20"/>
        </w:rPr>
        <w:t xml:space="preserve">　　二年　　　組　　　　番　氏名　　　　　　　　　　　　　　　　　　　</w:t>
      </w:r>
      <w:r>
        <w:rPr>
          <w:rFonts w:ascii="UD Digi Kyokasho NK-B" w:hAnsi="UD Digi Kyokasho NK-B" w:eastAsia="UD Digi Kyokasho NK-B" w:cs="UD Digi Kyokasho NK-B"/>
          <w:b w:val="0"/>
          <w:sz w:val="20"/>
        </w:rPr>
        <w:t>裏</w:t>
      </w:r>
    </w:p>
    <w:tbl>
      <w:tblPr>
        <w:tblW w:type="auto" w:w="0"/>
        <w:tblLook w:firstColumn="1" w:firstRow="1" w:lastColumn="0" w:lastRow="0" w:noHBand="0" w:noVBand="1" w:val="04A0"/>
        <w:tblBorders>
          <w:insideV w:val="single" w:sz="6" w:color="000000"/>
        </w:tblBorders>
        <w:tblLayout w:type="fixed"/>
      </w:tblPr>
      <w:tblGrid>
        <w:gridCol w:w="7699"/>
        <w:gridCol w:w="7699"/>
      </w:tblGrid>
      <w:tr>
        <w:tc>
          <w:tcPr>
            <w:tcW w:type="dxa" w:w="7682"/>
            <w:tcMar>
              <w:right w:w="240" w:type="dxa"/>
            </w:tcMar>
          </w:tcPr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ⅰ　講評の「説得度」の推移を書き写そう（はじめ20、80以上で成功）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1097"/>
              <w:gridCol w:w="1097"/>
              <w:gridCol w:w="1097"/>
              <w:gridCol w:w="1097"/>
              <w:gridCol w:w="1097"/>
              <w:gridCol w:w="1097"/>
              <w:gridCol w:w="1097"/>
            </w:tblGrid>
            <w:tr>
              <w:tc>
                <w:tcPr>
                  <w:tcW w:type="dxa" w:w="1020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</w:r>
                </w:p>
              </w:tc>
              <w:tc>
                <w:tcPr>
                  <w:tcW w:type="dxa" w:w="794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はじめ</w:t>
                  </w:r>
                </w:p>
              </w:tc>
              <w:tc>
                <w:tcPr>
                  <w:tcW w:type="dxa" w:w="1077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１</w:t>
                  </w:r>
                </w:p>
              </w:tc>
              <w:tc>
                <w:tcPr>
                  <w:tcW w:type="dxa" w:w="1077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２</w:t>
                  </w:r>
                </w:p>
              </w:tc>
              <w:tc>
                <w:tcPr>
                  <w:tcW w:type="dxa" w:w="1077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３</w:t>
                  </w:r>
                </w:p>
              </w:tc>
              <w:tc>
                <w:tcPr>
                  <w:tcW w:type="dxa" w:w="1077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４</w:t>
                  </w:r>
                </w:p>
              </w:tc>
              <w:tc>
                <w:tcPr>
                  <w:tcW w:type="dxa" w:w="1077"/>
                  <w:shd w:val="clear" w:color="auto" w:fill="EDE7D6"/>
                </w:tcPr>
                <w:p>
                  <w:pPr>
                    <w:spacing w:after="0"/>
                  </w:pPr>
                  <w:r>
                    <w:rPr>
                      <w:rFonts w:ascii="UD Digi Kyokasho NK-B" w:hAnsi="UD Digi Kyokasho NK-B" w:eastAsia="UD Digi Kyokasho NK-B" w:cs="UD Digi Kyokasho NK-B"/>
                      <w:b w:val="0"/>
                      <w:sz w:val="18"/>
                    </w:rPr>
                    <w:t>５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020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説得度</w:t>
                  </w:r>
                </w:p>
              </w:tc>
              <w:tc>
                <w:tcPr>
                  <w:tcW w:type="dxa" w:w="7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２０</w:t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1020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  <w:t>上下した</w:t>
                    <w:br/>
                    <w:t>理由</w:t>
                  </w:r>
                </w:p>
              </w:tc>
              <w:tc>
                <w:tcPr>
                  <w:tcW w:type="dxa" w:w="794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  <w:tc>
                <w:tcPr>
                  <w:tcW w:type="dxa" w:w="1077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40" w:before="0" w:line="276" w:lineRule="auto"/>
            </w:pPr>
          </w:p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ⅱ　説得できた（できなかった）理由を、本文の言葉を使って説明しよう。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7682"/>
            </w:tblGrid>
            <w:tr>
              <w:trPr>
                <w:trHeight w:val="2268" w:hRule="atLeast"/>
              </w:trPr>
              <w:tc>
                <w:tcPr>
                  <w:tcW w:type="dxa" w:w="7682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40" w:before="0" w:line="276" w:lineRule="auto"/>
            </w:pPr>
          </w:p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ⅳ　AIの項王は、本文の項王と同じだったか。違うと感じたところと、その根拠を書こう。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7682"/>
            </w:tblGrid>
            <w:tr>
              <w:trPr>
                <w:trHeight w:val="2041" w:hRule="atLeast"/>
              </w:trPr>
              <w:tc>
                <w:tcPr>
                  <w:tcW w:type="dxa" w:w="7682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</w:tc>
        <w:tc>
          <w:tcPr>
            <w:tcW w:type="dxa" w:w="7682"/>
            <w:tcMar>
              <w:left w:w="240" w:type="dxa"/>
            </w:tcMar>
          </w:tcPr>
          <w:p>
            <w:pPr>
              <w:spacing w:after="40" w:before="0" w:line="276" w:lineRule="auto"/>
            </w:pPr>
            <w:r>
              <w:rPr>
                <w:rFonts w:ascii="UD Digi Kyokasho NK-B" w:hAnsi="UD Digi Kyokasho NK-B" w:eastAsia="UD Digi Kyokasho NK-B" w:cs="UD Digi Kyokasho NK-B"/>
                <w:b w:val="0"/>
                <w:sz w:val="21"/>
              </w:rPr>
              <w:t>ⅲ　「項羽は一の范増有れども用ゐる能はず」。項羽が范増を用いることができなかったのはなぜか。鴻門之会の本文（玉玦・項荘の剣舞・豎子与に謀るに足らず）から考えよう。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6" w:color="000000"/>
                <w:left w:val="single" w:sz="6" w:color="000000"/>
                <w:bottom w:val="single" w:sz="6" w:color="000000"/>
                <w:right w:val="single" w:sz="6" w:color="000000"/>
                <w:insideH w:val="single" w:sz="6" w:color="000000"/>
                <w:insideV w:val="single" w:sz="6" w:color="000000"/>
              </w:tblBorders>
            </w:tblPr>
            <w:tblGrid>
              <w:gridCol w:w="7682"/>
            </w:tblGrid>
            <w:tr>
              <w:trPr>
                <w:trHeight w:val="4876" w:hRule="atLeast"/>
              </w:trPr>
              <w:tc>
                <w:tcPr>
                  <w:tcW w:type="dxa" w:w="7682"/>
                </w:tcPr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  <w:p>
                  <w:pPr>
                    <w:spacing w:after="0"/>
                  </w:pPr>
                  <w:r>
                    <w:rPr>
                      <w:rFonts w:ascii="UD Digi Kyokasho NK-R" w:hAnsi="UD Digi Kyokasho NK-R" w:eastAsia="UD Digi Kyokasho NK-R" w:cs="UD Digi Kyokasho NK-R"/>
                      <w:b w:val="0"/>
                      <w:sz w:val="18"/>
                    </w:rPr>
                  </w:r>
                </w:p>
              </w:tc>
            </w:tr>
          </w:tbl>
          <w:p/>
          <w:p>
            <w:pPr>
              <w:spacing w:after="40" w:before="0" w:line="276" w:lineRule="auto"/>
            </w:pP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color w:val="555555"/>
                <w:sz w:val="18"/>
              </w:rPr>
              <w:t>〈振り返り〉　□ 書き下し文を正確に引用できた　□ 項王の価値観を踏まえて言葉を選べた　□ AIの答えを本文で確かめた</w:t>
            </w:r>
          </w:p>
          <w:p>
            <w:pPr>
              <w:spacing w:after="40" w:before="0" w:line="276" w:lineRule="auto"/>
            </w:pPr>
            <w:r>
              <w:rPr>
                <w:rFonts w:ascii="UD Digi Kyokasho NK-R" w:hAnsi="UD Digi Kyokasho NK-R" w:eastAsia="UD Digi Kyokasho NK-R" w:cs="UD Digi Kyokasho NK-R"/>
                <w:b w:val="0"/>
                <w:color w:val="555555"/>
                <w:sz w:val="17"/>
              </w:rPr>
              <w:t>※ AIの答えは誤ることがある。史実や本文の解釈は、教科書・便覧で確かめよう。</w:t>
            </w:r>
          </w:p>
        </w:tc>
      </w:tr>
    </w:tbl>
    <w:sectPr w:rsidR="00FC693F" w:rsidRPr="0006063C" w:rsidSect="00034616">
      <w:pgSz w:w="16838" w:h="11906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UD Digi Kyokasho NK-R" w:hAnsi="UD Digi Kyokasho NK-R" w:eastAsia="UD Digi Kyokasho NK-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