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132A3A"/>
          <w:sz w:val="72"/>
          <w:szCs w:val="72"/>
        </w:rPr>
        <w:t xml:space="preserve">RegTrace</w:t>
      </w:r>
    </w:p>
    <w:p>
      <w:pPr>
        <w:spacing w:after="60" w:before="120"/>
        <w:jc w:val="center"/>
      </w:pPr>
      <w:r>
        <w:rPr>
          <w:rFonts w:ascii="Calibri" w:cs="Calibri" w:eastAsia="Calibri" w:hAnsi="Calibri"/>
          <w:b/>
          <w:bCs/>
          <w:color w:val="B08D3F"/>
          <w:sz w:val="28"/>
          <w:szCs w:val="28"/>
        </w:rPr>
        <w:t xml:space="preserve">UI Redesign — Implementation Document</w:t>
      </w:r>
    </w:p>
    <w:p>
      <w:pPr>
        <w:spacing w:after="600"/>
        <w:jc w:val="center"/>
      </w:pPr>
      <w:r>
        <w:rPr>
          <w:rFonts w:ascii="Calibri" w:cs="Calibri" w:eastAsia="Calibri" w:hAnsi="Calibri"/>
          <w:color w:val="5B6B72"/>
          <w:sz w:val="22"/>
          <w:szCs w:val="22"/>
        </w:rPr>
        <w:t xml:space="preserve">Design system, page specifications, component library, and rollout plan for the RegTrace frontend</w:t>
      </w:r>
    </w:p>
    <w:p>
      <w:pPr>
        <w:pBdr>
          <w:top w:val="single" w:color="B08D3F" w:sz="4" w:space="8"/>
          <w:bottom w:val="single" w:color="B08D3F" w:sz="4" w:space="8"/>
        </w:pBdr>
        <w:spacing w:after="300" w:before="300"/>
        <w:jc w:val="center"/>
      </w:pPr>
      <w:r>
        <w:rPr>
          <w:rFonts w:ascii="Calibri" w:cs="Calibri" w:eastAsia="Calibri" w:hAnsi="Calibri"/>
          <w:i/>
          <w:iCs/>
          <w:color w:val="132A3A"/>
          <w:sz w:val="20"/>
          <w:szCs w:val="20"/>
        </w:rPr>
        <w:t xml:space="preserve">No code included — this document specifies what to build, not how to code it</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Purpose &amp; Design Philosophy</w:t>
      </w:r>
    </w:p>
    <w:p>
      <w:pPr>
        <w:spacing w:after="160" w:line="276"/>
      </w:pPr>
      <w:r>
        <w:rPr>
          <w:rFonts w:ascii="Calibri" w:cs="Calibri" w:eastAsia="Calibri" w:hAnsi="Calibri"/>
          <w:sz w:val="22"/>
          <w:szCs w:val="22"/>
        </w:rPr>
        <w:t xml:space="preserve">This document specifies the redesigned RegTrace user interface — the visual language, layout system, component library, and page-by-page behavior — so it can be implemented in React without further design decisions being made ad hoc during development. It intentionally contains no code; every section describes intent, structure, and rules precisely enough that implementation is a translation exercise, not a design exercise.</w:t>
      </w:r>
    </w:p>
    <w:p>
      <w:pPr>
        <w:pStyle w:val="Heading2"/>
        <w:spacing w:after="150" w:before="300"/>
      </w:pPr>
      <w:r>
        <w:t xml:space="preserve">1.1 Grounding the Design in the Subject</w:t>
      </w:r>
    </w:p>
    <w:p>
      <w:pPr>
        <w:spacing w:after="160" w:line="276"/>
      </w:pPr>
      <w:r>
        <w:rPr>
          <w:rFonts w:ascii="Calibri" w:cs="Calibri" w:eastAsia="Calibri" w:hAnsi="Calibri"/>
          <w:sz w:val="22"/>
          <w:szCs w:val="22"/>
        </w:rPr>
        <w:t xml:space="preserve">RegTrace is not a generic dashboard — it's a tool a compliance officer uses to make a binding, attributable decision about a regulatory obligation, several times a day. The interface should feel like it belongs on that desk: precise, unhurried, legible under scrutiny, closer to a well-made legal instrument than a consumer SaaS product. Every design choice below is made against that standard, not against "what dashboards usually look like."</w:t>
      </w:r>
    </w:p>
    <w:p>
      <w:pPr>
        <w:pStyle w:val="Heading2"/>
        <w:spacing w:after="150" w:before="300"/>
      </w:pPr>
      <w:r>
        <w:t xml:space="preserve">1.2 Principles</w:t>
      </w:r>
    </w:p>
    <w:p>
      <w:pPr>
        <w:pStyle w:val="ListParagraph"/>
        <w:numPr>
          <w:ilvl w:val="0"/>
          <w:numId w:val="2"/>
        </w:numPr>
        <w:spacing w:after="80"/>
      </w:pPr>
      <w:r>
        <w:rPr>
          <w:rFonts w:ascii="Calibri" w:cs="Calibri" w:eastAsia="Calibri" w:hAnsi="Calibri"/>
          <w:sz w:val="22"/>
          <w:szCs w:val="22"/>
        </w:rPr>
        <w:t xml:space="preserve">Evidence over decoration — every element on screen should help the reviewer judge something faster or more accurately; nothing is there to look modern.</w:t>
      </w:r>
    </w:p>
    <w:p>
      <w:pPr>
        <w:pStyle w:val="ListParagraph"/>
        <w:numPr>
          <w:ilvl w:val="0"/>
          <w:numId w:val="2"/>
        </w:numPr>
        <w:spacing w:after="80"/>
      </w:pPr>
      <w:r>
        <w:rPr>
          <w:rFonts w:ascii="Calibri" w:cs="Calibri" w:eastAsia="Calibri" w:hAnsi="Calibri"/>
          <w:sz w:val="22"/>
          <w:szCs w:val="22"/>
        </w:rPr>
        <w:t xml:space="preserve">The clause is the source of truth — throughout the app, the original regulatory text is always one click away and visually distinguishable from anything RegTrace generated about it.</w:t>
      </w:r>
    </w:p>
    <w:p>
      <w:pPr>
        <w:pStyle w:val="ListParagraph"/>
        <w:numPr>
          <w:ilvl w:val="0"/>
          <w:numId w:val="2"/>
        </w:numPr>
        <w:spacing w:after="80"/>
      </w:pPr>
      <w:r>
        <w:rPr>
          <w:rFonts w:ascii="Calibri" w:cs="Calibri" w:eastAsia="Calibri" w:hAnsi="Calibri"/>
          <w:sz w:val="22"/>
          <w:szCs w:val="22"/>
        </w:rPr>
        <w:t xml:space="preserve">Confidence is shown, never hidden — a number alone is not enough; color, position, and language work together so a reviewer can triage in under a second.</w:t>
      </w:r>
    </w:p>
    <w:p>
      <w:pPr>
        <w:pStyle w:val="ListParagraph"/>
        <w:numPr>
          <w:ilvl w:val="0"/>
          <w:numId w:val="2"/>
        </w:numPr>
        <w:spacing w:after="80"/>
      </w:pPr>
      <w:r>
        <w:rPr>
          <w:rFonts w:ascii="Calibri" w:cs="Calibri" w:eastAsia="Calibri" w:hAnsi="Calibri"/>
          <w:sz w:val="22"/>
          <w:szCs w:val="22"/>
        </w:rPr>
        <w:t xml:space="preserve">Calm under load — a queue of 40 obligations should not feel more stressful to look at than a queue of 4; density is handled with typographic hierarchy, not urgency-red everywhere.</w:t>
      </w:r>
    </w:p>
    <w:p>
      <w:pPr>
        <w:pStyle w:val="ListParagraph"/>
        <w:numPr>
          <w:ilvl w:val="0"/>
          <w:numId w:val="2"/>
        </w:numPr>
        <w:spacing w:after="80"/>
      </w:pPr>
      <w:r>
        <w:rPr>
          <w:rFonts w:ascii="Calibri" w:cs="Calibri" w:eastAsia="Calibri" w:hAnsi="Calibri"/>
          <w:sz w:val="22"/>
          <w:szCs w:val="22"/>
        </w:rPr>
        <w:t xml:space="preserve">One accent, used sparingly — gold is reserved for what needs attention or action; if everything is gold, nothing is.</w:t>
      </w:r>
    </w:p>
    <w:p>
      <w:pPr>
        <w:pStyle w:val="Heading1"/>
        <w:spacing w:after="200" w:before="400"/>
      </w:pPr>
      <w:r>
        <w:t xml:space="preserve">2. Design Tokens</w:t>
      </w:r>
    </w:p>
    <w:p>
      <w:pPr>
        <w:pStyle w:val="Heading2"/>
        <w:spacing w:after="150" w:before="300"/>
      </w:pPr>
      <w:r>
        <w:t xml:space="preserve">2.1 Color System</w:t>
      </w:r>
    </w:p>
    <w:p>
      <w:pPr>
        <w:spacing w:after="160" w:line="276"/>
      </w:pPr>
      <w:r>
        <w:rPr>
          <w:rFonts w:ascii="Calibri" w:cs="Calibri" w:eastAsia="Calibri" w:hAnsi="Calibri"/>
          <w:sz w:val="22"/>
          <w:szCs w:val="22"/>
        </w:rPr>
        <w:t xml:space="preserve">A restrained, two-ramp palette: an ink navy for structure and authority, and a muted gold for attention and action. Semantic colors (rust, moss) are reserved strictly for meaning — risk/rejection and approval/completion — never for decoration.</w:t>
      </w:r>
    </w:p>
    <w:p>
      <w:pPr>
        <w:spacing w:after="60"/>
      </w:pPr>
      <w:r>
        <w:rPr>
          <w:rFonts w:ascii="Calibri" w:cs="Calibri" w:eastAsia="Calibri" w:hAnsi="Calibri"/>
          <w:b/>
          <w:bCs/>
          <w:color w:val="132A3A"/>
          <w:sz w:val="26"/>
          <w:szCs w:val="26"/>
        </w:rPr>
        <w:t xml:space="preserve">■  </w:t>
      </w:r>
      <w:r>
        <w:rPr>
          <w:rFonts w:ascii="Consolas" w:cs="Consolas" w:eastAsia="Consolas" w:hAnsi="Consolas"/>
          <w:color w:val="222222"/>
          <w:sz w:val="20"/>
          <w:szCs w:val="20"/>
        </w:rPr>
        <w:t xml:space="preserve">#132A3A  —  Ink — primary text, headers, dark surfaces, primary buttons</w:t>
      </w:r>
    </w:p>
    <w:p>
      <w:pPr>
        <w:spacing w:after="60"/>
      </w:pPr>
      <w:r>
        <w:rPr>
          <w:rFonts w:ascii="Calibri" w:cs="Calibri" w:eastAsia="Calibri" w:hAnsi="Calibri"/>
          <w:b/>
          <w:bCs/>
          <w:color w:val="1D3A4F"/>
          <w:sz w:val="26"/>
          <w:szCs w:val="26"/>
        </w:rPr>
        <w:t xml:space="preserve">■  </w:t>
      </w:r>
      <w:r>
        <w:rPr>
          <w:rFonts w:ascii="Consolas" w:cs="Consolas" w:eastAsia="Consolas" w:hAnsi="Consolas"/>
          <w:color w:val="222222"/>
          <w:sz w:val="20"/>
          <w:szCs w:val="20"/>
        </w:rPr>
        <w:t xml:space="preserve">#1D3A4F  —  Ink, lighter — secondary dark surface (cards on dark backgrounds)</w:t>
      </w:r>
    </w:p>
    <w:p>
      <w:pPr>
        <w:spacing w:after="60"/>
      </w:pPr>
      <w:r>
        <w:rPr>
          <w:rFonts w:ascii="Calibri" w:cs="Calibri" w:eastAsia="Calibri" w:hAnsi="Calibri"/>
          <w:b/>
          <w:bCs/>
          <w:color w:val="B08D3F"/>
          <w:sz w:val="26"/>
          <w:szCs w:val="26"/>
        </w:rPr>
        <w:t xml:space="preserve">■  </w:t>
      </w:r>
      <w:r>
        <w:rPr>
          <w:rFonts w:ascii="Consolas" w:cs="Consolas" w:eastAsia="Consolas" w:hAnsi="Consolas"/>
          <w:color w:val="222222"/>
          <w:sz w:val="20"/>
          <w:szCs w:val="20"/>
        </w:rPr>
        <w:t xml:space="preserve">#B08D3F  —  Gold — accent, confidence badges, active states, primary CTAs on light surfaces</w:t>
      </w:r>
    </w:p>
    <w:p>
      <w:pPr>
        <w:spacing w:after="60"/>
      </w:pPr>
      <w:r>
        <w:rPr>
          <w:rFonts w:ascii="Calibri" w:cs="Calibri" w:eastAsia="Calibri" w:hAnsi="Calibri"/>
          <w:b/>
          <w:bCs/>
          <w:color w:val="D9C48F"/>
          <w:sz w:val="26"/>
          <w:szCs w:val="26"/>
        </w:rPr>
        <w:t xml:space="preserve">■  </w:t>
      </w:r>
      <w:r>
        <w:rPr>
          <w:rFonts w:ascii="Consolas" w:cs="Consolas" w:eastAsia="Consolas" w:hAnsi="Consolas"/>
          <w:color w:val="222222"/>
          <w:sz w:val="20"/>
          <w:szCs w:val="20"/>
        </w:rPr>
        <w:t xml:space="preserve">#D9C48F  —  Gold, light — text on dark surfaces where gold contrast is too low</w:t>
      </w:r>
    </w:p>
    <w:p>
      <w:pPr>
        <w:spacing w:after="60"/>
      </w:pPr>
      <w:r>
        <w:rPr>
          <w:rFonts w:ascii="Calibri" w:cs="Calibri" w:eastAsia="Calibri" w:hAnsi="Calibri"/>
          <w:b/>
          <w:bCs/>
          <w:color w:val="EEF1EC"/>
          <w:sz w:val="26"/>
          <w:szCs w:val="26"/>
        </w:rPr>
        <w:t xml:space="preserve">■  </w:t>
      </w:r>
      <w:r>
        <w:rPr>
          <w:rFonts w:ascii="Consolas" w:cs="Consolas" w:eastAsia="Consolas" w:hAnsi="Consolas"/>
          <w:color w:val="222222"/>
          <w:sz w:val="20"/>
          <w:szCs w:val="20"/>
        </w:rPr>
        <w:t xml:space="preserve">#EEF1EC  —  Paper — app background</w:t>
      </w:r>
    </w:p>
    <w:p>
      <w:pPr>
        <w:spacing w:after="60"/>
      </w:pPr>
      <w:r>
        <w:rPr>
          <w:rFonts w:ascii="Calibri" w:cs="Calibri" w:eastAsia="Calibri" w:hAnsi="Calibri"/>
          <w:b/>
          <w:bCs/>
          <w:color w:val="FFFFFF"/>
          <w:sz w:val="26"/>
          <w:szCs w:val="26"/>
        </w:rPr>
        <w:t xml:space="preserve">■  </w:t>
      </w:r>
      <w:r>
        <w:rPr>
          <w:rFonts w:ascii="Consolas" w:cs="Consolas" w:eastAsia="Consolas" w:hAnsi="Consolas"/>
          <w:color w:val="222222"/>
          <w:sz w:val="20"/>
          <w:szCs w:val="20"/>
        </w:rPr>
        <w:t xml:space="preserve">#FFFFFF  —  Card — all elevated surfaces (cards, modals, table rows)</w:t>
      </w:r>
    </w:p>
    <w:p>
      <w:pPr>
        <w:spacing w:after="60"/>
      </w:pPr>
      <w:r>
        <w:rPr>
          <w:rFonts w:ascii="Calibri" w:cs="Calibri" w:eastAsia="Calibri" w:hAnsi="Calibri"/>
          <w:b/>
          <w:bCs/>
          <w:color w:val="A6462E"/>
          <w:sz w:val="26"/>
          <w:szCs w:val="26"/>
        </w:rPr>
        <w:t xml:space="preserve">■  </w:t>
      </w:r>
      <w:r>
        <w:rPr>
          <w:rFonts w:ascii="Consolas" w:cs="Consolas" w:eastAsia="Consolas" w:hAnsi="Consolas"/>
          <w:color w:val="222222"/>
          <w:sz w:val="20"/>
          <w:szCs w:val="20"/>
        </w:rPr>
        <w:t xml:space="preserve">#A6462E  —  Rust — rejection, overdue, high-severity flags only</w:t>
      </w:r>
    </w:p>
    <w:p>
      <w:pPr>
        <w:spacing w:after="60"/>
      </w:pPr>
      <w:r>
        <w:rPr>
          <w:rFonts w:ascii="Calibri" w:cs="Calibri" w:eastAsia="Calibri" w:hAnsi="Calibri"/>
          <w:b/>
          <w:bCs/>
          <w:color w:val="4E6B4C"/>
          <w:sz w:val="26"/>
          <w:szCs w:val="26"/>
        </w:rPr>
        <w:t xml:space="preserve">■  </w:t>
      </w:r>
      <w:r>
        <w:rPr>
          <w:rFonts w:ascii="Consolas" w:cs="Consolas" w:eastAsia="Consolas" w:hAnsi="Consolas"/>
          <w:color w:val="222222"/>
          <w:sz w:val="20"/>
          <w:szCs w:val="20"/>
        </w:rPr>
        <w:t xml:space="preserve">#4E6B4C  —  Moss — approval, completion, on-track states only</w:t>
      </w:r>
    </w:p>
    <w:p>
      <w:pPr>
        <w:spacing w:after="60"/>
      </w:pPr>
      <w:r>
        <w:rPr>
          <w:rFonts w:ascii="Calibri" w:cs="Calibri" w:eastAsia="Calibri" w:hAnsi="Calibri"/>
          <w:b/>
          <w:bCs/>
          <w:color w:val="5B6B72"/>
          <w:sz w:val="26"/>
          <w:szCs w:val="26"/>
        </w:rPr>
        <w:t xml:space="preserve">■  </w:t>
      </w:r>
      <w:r>
        <w:rPr>
          <w:rFonts w:ascii="Consolas" w:cs="Consolas" w:eastAsia="Consolas" w:hAnsi="Consolas"/>
          <w:color w:val="222222"/>
          <w:sz w:val="20"/>
          <w:szCs w:val="20"/>
        </w:rPr>
        <w:t xml:space="preserve">#5B6B72  —  Slate — secondary/muted text, captions, metadata</w:t>
      </w:r>
    </w:p>
    <w:p>
      <w:pPr>
        <w:spacing w:after="60"/>
      </w:pPr>
      <w:r>
        <w:rPr>
          <w:rFonts w:ascii="Calibri" w:cs="Calibri" w:eastAsia="Calibri" w:hAnsi="Calibri"/>
          <w:b/>
          <w:bCs/>
          <w:color w:val="D8DDD5"/>
          <w:sz w:val="26"/>
          <w:szCs w:val="26"/>
        </w:rPr>
        <w:t xml:space="preserve">■  </w:t>
      </w:r>
      <w:r>
        <w:rPr>
          <w:rFonts w:ascii="Consolas" w:cs="Consolas" w:eastAsia="Consolas" w:hAnsi="Consolas"/>
          <w:color w:val="222222"/>
          <w:sz w:val="20"/>
          <w:szCs w:val="20"/>
        </w:rPr>
        <w:t xml:space="preserve">#D8DDD5  —  Line — borders, dividers, hairlines</w:t>
      </w:r>
    </w:p>
    <w:p>
      <w:pPr>
        <w:spacing w:after="200"/>
      </w:pPr>
      <w:r>
        <w:rPr>
          <w:rFonts w:ascii="Calibri" w:cs="Calibri" w:eastAsia="Calibri" w:hAnsi="Calibri"/>
          <w:i/>
          <w:iCs/>
          <w:color w:val="5B6B72"/>
          <w:sz w:val="18"/>
          <w:szCs w:val="18"/>
        </w:rPr>
        <w:t xml:space="preserve">Rule: rust and moss are semantic, not decorative — they must always correspond to an actual state (rejected/overdue vs. approved/completed/on-track). Never used as an arbitrary accent color.</w:t>
      </w:r>
    </w:p>
    <w:p>
      <w:pPr>
        <w:pStyle w:val="Heading2"/>
        <w:spacing w:after="150" w:before="300"/>
      </w:pPr>
      <w:r>
        <w:t xml:space="preserve">2.2 Typography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600"/>
      </w:tblGrid>
      <w:tr>
        <w:trPr>
          <w:tblHeader/>
        </w:trPr>
        <w:tc>
          <w:tcPr>
            <w:tcW w:type="dxa" w:w="26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Role</w:t>
            </w:r>
          </w:p>
        </w:tc>
        <w:tc>
          <w:tcPr>
            <w:tcW w:type="dxa" w:w="34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Typeface</w:t>
            </w:r>
          </w:p>
        </w:tc>
        <w:tc>
          <w:tcPr>
            <w:tcW w:type="dxa" w:w="46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Usage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Display / Headings</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Cambria (serif)</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Page titles, section headers — carries the "legal instrument" character established in the brand</w:t>
            </w:r>
          </w:p>
        </w:tc>
      </w:tr>
      <w:tr>
        <w:tc>
          <w:tcPr>
            <w:tcW w:type="dxa" w:w="2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Body / UI</w:t>
            </w:r>
          </w:p>
        </w:tc>
        <w:tc>
          <w:tcPr>
            <w:tcW w:type="dxa" w:w="3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Calibri (sans)</w:t>
            </w:r>
          </w:p>
        </w:tc>
        <w:tc>
          <w:tcPr>
            <w:tcW w:type="dxa" w:w="4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All body text, labels, buttons, table content — legibility-first for dense review screens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 Code</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Consolas / Courier New (mono)</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Clause numbers, IDs, hashes, timestamps — anything that is a literal reference, not prose</w:t>
            </w:r>
          </w:p>
        </w:tc>
      </w:tr>
    </w:tbl>
    <w:p>
      <w:pPr>
        <w:spacing w:before="200"/>
      </w:pP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4000"/>
      </w:tblGrid>
      <w:tr>
        <w:trPr>
          <w:tblHeader/>
        </w:trPr>
        <w:tc>
          <w:tcPr>
            <w:tcW w:type="dxa" w:w="20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Scale</w:t>
            </w:r>
          </w:p>
        </w:tc>
        <w:tc>
          <w:tcPr>
            <w:tcW w:type="dxa" w:w="26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Size</w:t>
            </w:r>
          </w:p>
        </w:tc>
        <w:tc>
          <w:tcPr>
            <w:tcW w:type="dxa" w:w="20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Weight</w:t>
            </w:r>
          </w:p>
        </w:tc>
        <w:tc>
          <w:tcPr>
            <w:tcW w:type="dxa" w:w="40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Usage</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Display</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28–32px</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Bold</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Page title only, one per screen</w:t>
            </w:r>
          </w:p>
        </w:tc>
      </w:tr>
      <w:tr>
        <w:tc>
          <w:tcPr>
            <w:tcW w:type="dxa" w:w="2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H2</w:t>
            </w:r>
          </w:p>
        </w:tc>
        <w:tc>
          <w:tcPr>
            <w:tcW w:type="dxa" w:w="2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18–20px</w:t>
            </w:r>
          </w:p>
        </w:tc>
        <w:tc>
          <w:tcPr>
            <w:tcW w:type="dxa" w:w="2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Bold</w:t>
            </w:r>
          </w:p>
        </w:tc>
        <w:tc>
          <w:tcPr>
            <w:tcW w:type="dxa" w:w="4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Section headers within a page</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H3 / Eyebrow</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12px, uppercase, tracked</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Bold, mono</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Kicker labels above section headers, tab labels</w:t>
            </w:r>
          </w:p>
        </w:tc>
      </w:tr>
      <w:tr>
        <w:tc>
          <w:tcPr>
            <w:tcW w:type="dxa" w:w="2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Body</w:t>
            </w:r>
          </w:p>
        </w:tc>
        <w:tc>
          <w:tcPr>
            <w:tcW w:type="dxa" w:w="2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13.5–14px</w:t>
            </w:r>
          </w:p>
        </w:tc>
        <w:tc>
          <w:tcPr>
            <w:tcW w:type="dxa" w:w="2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Regular</w:t>
            </w:r>
          </w:p>
        </w:tc>
        <w:tc>
          <w:tcPr>
            <w:tcW w:type="dxa" w:w="4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Primary reading text — clause text, obligation text</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Small / Meta</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11–12px</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Regular</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Timestamps, field labels, secondary metadata</w:t>
            </w:r>
          </w:p>
        </w:tc>
      </w:tr>
    </w:tbl>
    <w:p>
      <w:pPr>
        <w:pStyle w:val="Heading2"/>
        <w:spacing w:after="150" w:before="300"/>
      </w:pPr>
      <w:r>
        <w:t xml:space="preserve">2.3 Spacing, Radius, Elevation</w:t>
      </w:r>
    </w:p>
    <w:p>
      <w:pPr>
        <w:pStyle w:val="ListParagraph"/>
        <w:numPr>
          <w:ilvl w:val="0"/>
          <w:numId w:val="2"/>
        </w:numPr>
        <w:spacing w:after="80"/>
      </w:pPr>
      <w:r>
        <w:rPr>
          <w:rFonts w:ascii="Calibri" w:cs="Calibri" w:eastAsia="Calibri" w:hAnsi="Calibri"/>
          <w:sz w:val="22"/>
          <w:szCs w:val="22"/>
        </w:rPr>
        <w:t xml:space="preserve">Spacing scale: 4 / 8 / 12 / 16 / 24 / 32px — no arbitrary values outside this scale</w:t>
      </w:r>
    </w:p>
    <w:p>
      <w:pPr>
        <w:pStyle w:val="ListParagraph"/>
        <w:numPr>
          <w:ilvl w:val="0"/>
          <w:numId w:val="2"/>
        </w:numPr>
        <w:spacing w:after="80"/>
      </w:pPr>
      <w:r>
        <w:rPr>
          <w:rFonts w:ascii="Calibri" w:cs="Calibri" w:eastAsia="Calibri" w:hAnsi="Calibri"/>
          <w:sz w:val="22"/>
          <w:szCs w:val="22"/>
        </w:rPr>
        <w:t xml:space="preserve">Corner radius: 3px for buttons, chips, inputs; 8px for cards and modals — deliberately tighter than a typical consumer app, reinforcing the "instrument, not app" character</w:t>
      </w:r>
    </w:p>
    <w:p>
      <w:pPr>
        <w:pStyle w:val="ListParagraph"/>
        <w:numPr>
          <w:ilvl w:val="0"/>
          <w:numId w:val="2"/>
        </w:numPr>
        <w:spacing w:after="80"/>
      </w:pPr>
      <w:r>
        <w:rPr>
          <w:rFonts w:ascii="Calibri" w:cs="Calibri" w:eastAsia="Calibri" w:hAnsi="Calibri"/>
          <w:sz w:val="22"/>
          <w:szCs w:val="22"/>
        </w:rPr>
        <w:t xml:space="preserve">Elevation: cards use a single hairline border (1px, Line color), not drop shadows — shadows read as decorative; a document-like interface uses borders the way a printed form uses rules</w:t>
      </w:r>
    </w:p>
    <w:p>
      <w:pPr>
        <w:pStyle w:val="ListParagraph"/>
        <w:numPr>
          <w:ilvl w:val="0"/>
          <w:numId w:val="2"/>
        </w:numPr>
        <w:spacing w:after="80"/>
      </w:pPr>
      <w:r>
        <w:rPr>
          <w:rFonts w:ascii="Calibri" w:cs="Calibri" w:eastAsia="Calibri" w:hAnsi="Calibri"/>
          <w:sz w:val="22"/>
          <w:szCs w:val="22"/>
        </w:rPr>
        <w:t xml:space="preserve">Grid: 12-column responsive grid, 24px gutter, max content width 1280px centered, with generous outer margin so the interface never feels edge-to-edge on large monitors</w:t>
      </w:r>
    </w:p>
    <w:p>
      <w:pPr>
        <w:pStyle w:val="Heading1"/>
        <w:spacing w:after="200" w:before="400"/>
      </w:pPr>
      <w:r>
        <w:t xml:space="preserve">3. Layout System &amp; Information Architecture</w:t>
      </w:r>
    </w:p>
    <w:p>
      <w:pPr>
        <w:pStyle w:val="Heading2"/>
        <w:spacing w:after="150" w:before="300"/>
      </w:pPr>
      <w:r>
        <w:t xml:space="preserve">3.1 App Shell</w:t>
      </w:r>
    </w:p>
    <w:p>
      <w:pPr>
        <w:spacing w:after="160" w:line="276"/>
      </w:pPr>
      <w:r>
        <w:rPr>
          <w:rFonts w:ascii="Calibri" w:cs="Calibri" w:eastAsia="Calibri" w:hAnsi="Calibri"/>
          <w:sz w:val="22"/>
          <w:szCs w:val="22"/>
        </w:rPr>
        <w:t xml:space="preserve">A persistent left-hand navigation rail (not a top nav) — this is a working tool used in long sessions, not a marketing site, and a rail keeps navigation available without competing with page content for the top of the viewport. Structure:</w:t>
      </w:r>
    </w:p>
    <w:p>
      <w:pPr>
        <w:pStyle w:val="ListParagraph"/>
        <w:numPr>
          <w:ilvl w:val="0"/>
          <w:numId w:val="2"/>
        </w:numPr>
        <w:spacing w:after="80"/>
      </w:pPr>
      <w:r>
        <w:rPr>
          <w:rFonts w:ascii="Calibri" w:cs="Calibri" w:eastAsia="Calibri" w:hAnsi="Calibri"/>
          <w:sz w:val="22"/>
          <w:szCs w:val="22"/>
        </w:rPr>
        <w:t xml:space="preserve">Top of rail: RegTrace wordmark + current organization name</w:t>
      </w:r>
    </w:p>
    <w:p>
      <w:pPr>
        <w:pStyle w:val="ListParagraph"/>
        <w:numPr>
          <w:ilvl w:val="0"/>
          <w:numId w:val="2"/>
        </w:numPr>
        <w:spacing w:after="80"/>
      </w:pPr>
      <w:r>
        <w:rPr>
          <w:rFonts w:ascii="Calibri" w:cs="Calibri" w:eastAsia="Calibri" w:hAnsi="Calibri"/>
          <w:sz w:val="22"/>
          <w:szCs w:val="22"/>
        </w:rPr>
        <w:t xml:space="preserve">Primary nav items (role-aware, see Section 9): Dashboard, Ingest, Review Queue, Tasks, Trace, Admin</w:t>
      </w:r>
    </w:p>
    <w:p>
      <w:pPr>
        <w:pStyle w:val="ListParagraph"/>
        <w:numPr>
          <w:ilvl w:val="0"/>
          <w:numId w:val="2"/>
        </w:numPr>
        <w:spacing w:after="80"/>
      </w:pPr>
      <w:r>
        <w:rPr>
          <w:rFonts w:ascii="Calibri" w:cs="Calibri" w:eastAsia="Calibri" w:hAnsi="Calibri"/>
          <w:sz w:val="22"/>
          <w:szCs w:val="22"/>
        </w:rPr>
        <w:t xml:space="preserve">Bottom of rail: current user's name, role badge, and a Log out control</w:t>
      </w:r>
    </w:p>
    <w:p>
      <w:pPr>
        <w:pStyle w:val="ListParagraph"/>
        <w:numPr>
          <w:ilvl w:val="0"/>
          <w:numId w:val="2"/>
        </w:numPr>
        <w:spacing w:after="80"/>
      </w:pPr>
      <w:r>
        <w:rPr>
          <w:rFonts w:ascii="Calibri" w:cs="Calibri" w:eastAsia="Calibri" w:hAnsi="Calibri"/>
          <w:sz w:val="22"/>
          <w:szCs w:val="22"/>
        </w:rPr>
        <w:t xml:space="preserve">Main content area: page title + eyebrow, primary content, contextual actions top-right</w:t>
      </w:r>
    </w:p>
    <w:p>
      <w:pPr>
        <w:pStyle w:val="Heading2"/>
        <w:spacing w:after="150" w:before="300"/>
      </w:pPr>
      <w:r>
        <w:t xml:space="preserve">3.2 Navigation Behavior</w:t>
      </w:r>
    </w:p>
    <w:p>
      <w:pPr>
        <w:pStyle w:val="ListParagraph"/>
        <w:numPr>
          <w:ilvl w:val="0"/>
          <w:numId w:val="2"/>
        </w:numPr>
        <w:spacing w:after="80"/>
      </w:pPr>
      <w:r>
        <w:rPr>
          <w:rFonts w:ascii="Calibri" w:cs="Calibri" w:eastAsia="Calibri" w:hAnsi="Calibri"/>
          <w:sz w:val="22"/>
          <w:szCs w:val="22"/>
        </w:rPr>
        <w:t xml:space="preserve">The active nav item is indicated by a gold left-border accent and ink-on-white background — not a filled pill, keeping with the restrained accent-use principle</w:t>
      </w:r>
    </w:p>
    <w:p>
      <w:pPr>
        <w:pStyle w:val="ListParagraph"/>
        <w:numPr>
          <w:ilvl w:val="0"/>
          <w:numId w:val="2"/>
        </w:numPr>
        <w:spacing w:after="80"/>
      </w:pPr>
      <w:r>
        <w:rPr>
          <w:rFonts w:ascii="Calibri" w:cs="Calibri" w:eastAsia="Calibri" w:hAnsi="Calibri"/>
          <w:sz w:val="22"/>
          <w:szCs w:val="22"/>
        </w:rPr>
        <w:t xml:space="preserve">A numeric badge appears next to "Review Queue" showing the pending count — the one place in the nav where a live number is surfaced, since queue size is the most decision-relevant number in the whole app</w:t>
      </w:r>
    </w:p>
    <w:p>
      <w:pPr>
        <w:pStyle w:val="ListParagraph"/>
        <w:numPr>
          <w:ilvl w:val="0"/>
          <w:numId w:val="2"/>
        </w:numPr>
        <w:spacing w:after="80"/>
      </w:pPr>
      <w:r>
        <w:rPr>
          <w:rFonts w:ascii="Calibri" w:cs="Calibri" w:eastAsia="Calibri" w:hAnsi="Calibri"/>
          <w:sz w:val="22"/>
          <w:szCs w:val="22"/>
        </w:rPr>
        <w:t xml:space="preserve">Nav items the current role cannot access are omitted entirely, not shown-disabled — reduces visual noise rather than showing permission boundaries as friction</w:t>
      </w:r>
    </w:p>
    <w:p>
      <w:pPr>
        <w:pStyle w:val="Heading1"/>
        <w:spacing w:after="200" w:before="400"/>
      </w:pPr>
      <w:r>
        <w:t xml:space="preserve">4. Component Library</w:t>
      </w:r>
    </w:p>
    <w:p>
      <w:pPr>
        <w:pStyle w:val="Heading2"/>
        <w:spacing w:after="150" w:before="300"/>
      </w:pPr>
      <w:r>
        <w:t xml:space="preserve">4.1 Buttons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600"/>
      </w:tblGrid>
      <w:tr>
        <w:trPr>
          <w:tblHeader/>
        </w:trPr>
        <w:tc>
          <w:tcPr>
            <w:tcW w:type="dxa" w:w="18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Variant</w:t>
            </w:r>
          </w:p>
        </w:tc>
        <w:tc>
          <w:tcPr>
            <w:tcW w:type="dxa" w:w="42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Use</w:t>
            </w:r>
          </w:p>
        </w:tc>
        <w:tc>
          <w:tcPr>
            <w:tcW w:type="dxa" w:w="46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Style</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Primary</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one main action on a screen (Approve, Save, Upload)</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Gold fill, white text, 3px radius</w:t>
            </w:r>
          </w:p>
        </w:tc>
      </w:tr>
      <w:tr>
        <w:tc>
          <w:tcPr>
            <w:tcW w:type="dxa" w:w="1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Secondary</w:t>
            </w:r>
          </w:p>
        </w:tc>
        <w:tc>
          <w:tcPr>
            <w:tcW w:type="dxa" w:w="4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Alternative actions (Edit, Cancel)</w:t>
            </w:r>
          </w:p>
        </w:tc>
        <w:tc>
          <w:tcPr>
            <w:tcW w:type="dxa" w:w="4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White fill, ink border, ink text</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Destructive</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Reject, Deactivate user, Delete</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White fill, rust border, rust text — never a filled rust button, since a filled-red button reads as more alarming than the action usually warrants</w:t>
            </w:r>
          </w:p>
        </w:tc>
      </w:tr>
      <w:tr>
        <w:tc>
          <w:tcPr>
            <w:tcW w:type="dxa" w:w="1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Ghost / Text</w:t>
            </w:r>
          </w:p>
        </w:tc>
        <w:tc>
          <w:tcPr>
            <w:tcW w:type="dxa" w:w="42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Low-emphasis actions (Trace, View details)</w:t>
            </w:r>
          </w:p>
        </w:tc>
        <w:tc>
          <w:tcPr>
            <w:tcW w:type="dxa" w:w="4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border, ink or slate text, underline on hover</w:t>
            </w:r>
          </w:p>
        </w:tc>
      </w:tr>
    </w:tbl>
    <w:p>
      <w:pPr>
        <w:pStyle w:val="Heading2"/>
        <w:spacing w:after="150" w:before="300"/>
      </w:pPr>
      <w:r>
        <w:t xml:space="preserve">4.2 Badges &amp; Status Chips</w:t>
      </w:r>
    </w:p>
    <w:p>
      <w:pPr>
        <w:pStyle w:val="ListParagraph"/>
        <w:numPr>
          <w:ilvl w:val="0"/>
          <w:numId w:val="2"/>
        </w:numPr>
        <w:spacing w:after="80"/>
      </w:pPr>
      <w:r>
        <w:rPr>
          <w:rFonts w:ascii="Calibri" w:cs="Calibri" w:eastAsia="Calibri" w:hAnsi="Calibri"/>
          <w:sz w:val="22"/>
          <w:szCs w:val="22"/>
        </w:rPr>
        <w:t xml:space="preserve">Confidence badge — pill, background color mapped continuously by score: ≥80% moss, 55–79% gold, &lt;55% rust; always paired with the numeric percentage, never color alone</w:t>
      </w:r>
    </w:p>
    <w:p>
      <w:pPr>
        <w:pStyle w:val="ListParagraph"/>
        <w:numPr>
          <w:ilvl w:val="0"/>
          <w:numId w:val="2"/>
        </w:numPr>
        <w:spacing w:after="80"/>
      </w:pPr>
      <w:r>
        <w:rPr>
          <w:rFonts w:ascii="Calibri" w:cs="Calibri" w:eastAsia="Calibri" w:hAnsi="Calibri"/>
          <w:sz w:val="22"/>
          <w:szCs w:val="22"/>
        </w:rPr>
        <w:t xml:space="preserve">Status chip — obligation/task status (Pending, Approved, Rejected, Edited, Open, Overdue, Completed) — text-only chip, uppercase, small, colored by semantic mapping, never filled backgrounds at this size to avoid competing with confidence badges</w:t>
      </w:r>
    </w:p>
    <w:p>
      <w:pPr>
        <w:pStyle w:val="ListParagraph"/>
        <w:numPr>
          <w:ilvl w:val="0"/>
          <w:numId w:val="2"/>
        </w:numPr>
        <w:spacing w:after="80"/>
      </w:pPr>
      <w:r>
        <w:rPr>
          <w:rFonts w:ascii="Calibri" w:cs="Calibri" w:eastAsia="Calibri" w:hAnsi="Calibri"/>
          <w:sz w:val="22"/>
          <w:szCs w:val="22"/>
        </w:rPr>
        <w:t xml:space="preserve">Role badge — shown next to the user's name in the nav and in Admin's user table; ink-on-paper chip, mono font, e.g. "COMPLIANCE OFFICER"</w:t>
      </w:r>
    </w:p>
    <w:p>
      <w:pPr>
        <w:pStyle w:val="Heading2"/>
        <w:spacing w:after="150" w:before="300"/>
      </w:pPr>
      <w:r>
        <w:t xml:space="preserve">4.3 Cards</w:t>
      </w:r>
    </w:p>
    <w:p>
      <w:pPr>
        <w:spacing w:after="160" w:line="276"/>
      </w:pPr>
      <w:r>
        <w:rPr>
          <w:rFonts w:ascii="Calibri" w:cs="Calibri" w:eastAsia="Calibri" w:hAnsi="Calibri"/>
          <w:sz w:val="22"/>
          <w:szCs w:val="22"/>
        </w:rPr>
        <w:t xml:space="preserve">The single most-used surface in the app. Structure is consistent everywhere it appears: 1px border, 8px radius, white fill, 16–20px internal padding, optional colored 3–4px left accent bar to indicate state (used only on obligation cards in the review queue, to indicate priority, not decoratively elsewhere).</w:t>
      </w:r>
    </w:p>
    <w:p>
      <w:pPr>
        <w:pStyle w:val="Heading2"/>
        <w:spacing w:after="150" w:before="300"/>
      </w:pPr>
      <w:r>
        <w:t xml:space="preserve">4.4 Tables &amp; Lists</w:t>
      </w:r>
    </w:p>
    <w:p>
      <w:pPr>
        <w:pStyle w:val="ListParagraph"/>
        <w:numPr>
          <w:ilvl w:val="0"/>
          <w:numId w:val="2"/>
        </w:numPr>
        <w:spacing w:after="80"/>
      </w:pPr>
      <w:r>
        <w:rPr>
          <w:rFonts w:ascii="Calibri" w:cs="Calibri" w:eastAsia="Calibri" w:hAnsi="Calibri"/>
          <w:sz w:val="22"/>
          <w:szCs w:val="22"/>
        </w:rPr>
        <w:t xml:space="preserve">Zebra striping is not used — instead, generous row height (min 56px) and hairline row dividers keep dense data legible without the visual noise of alternating fills</w:t>
      </w:r>
    </w:p>
    <w:p>
      <w:pPr>
        <w:pStyle w:val="ListParagraph"/>
        <w:numPr>
          <w:ilvl w:val="0"/>
          <w:numId w:val="2"/>
        </w:numPr>
        <w:spacing w:after="80"/>
      </w:pPr>
      <w:r>
        <w:rPr>
          <w:rFonts w:ascii="Calibri" w:cs="Calibri" w:eastAsia="Calibri" w:hAnsi="Calibri"/>
          <w:sz w:val="22"/>
          <w:szCs w:val="22"/>
        </w:rPr>
        <w:t xml:space="preserve">Sortable column headers use a small chevron, mono-font column labels, uppercase</w:t>
      </w:r>
    </w:p>
    <w:p>
      <w:pPr>
        <w:pStyle w:val="ListParagraph"/>
        <w:numPr>
          <w:ilvl w:val="0"/>
          <w:numId w:val="2"/>
        </w:numPr>
        <w:spacing w:after="80"/>
      </w:pPr>
      <w:r>
        <w:rPr>
          <w:rFonts w:ascii="Calibri" w:cs="Calibri" w:eastAsia="Calibri" w:hAnsi="Calibri"/>
          <w:sz w:val="22"/>
          <w:szCs w:val="22"/>
        </w:rPr>
        <w:t xml:space="preserve">Row hover state: a 2px gold left border appears — signals interactivity without a full background-color hover, which would fight with status chip colors in the same row</w:t>
      </w:r>
    </w:p>
    <w:p>
      <w:pPr>
        <w:pStyle w:val="Heading2"/>
        <w:spacing w:after="150" w:before="300"/>
      </w:pPr>
      <w:r>
        <w:t xml:space="preserve">4.5 Forms &amp; Inputs</w:t>
      </w:r>
    </w:p>
    <w:p>
      <w:pPr>
        <w:pStyle w:val="ListParagraph"/>
        <w:numPr>
          <w:ilvl w:val="0"/>
          <w:numId w:val="2"/>
        </w:numPr>
        <w:spacing w:after="80"/>
      </w:pPr>
      <w:r>
        <w:rPr>
          <w:rFonts w:ascii="Calibri" w:cs="Calibri" w:eastAsia="Calibri" w:hAnsi="Calibri"/>
          <w:sz w:val="22"/>
          <w:szCs w:val="22"/>
        </w:rPr>
        <w:t xml:space="preserve">Inputs: 1px Line border, 3px radius, gold border on focus (no glow/shadow — flat focus ring only), 12px internal padding</w:t>
      </w:r>
    </w:p>
    <w:p>
      <w:pPr>
        <w:pStyle w:val="ListParagraph"/>
        <w:numPr>
          <w:ilvl w:val="0"/>
          <w:numId w:val="2"/>
        </w:numPr>
        <w:spacing w:after="80"/>
      </w:pPr>
      <w:r>
        <w:rPr>
          <w:rFonts w:ascii="Calibri" w:cs="Calibri" w:eastAsia="Calibri" w:hAnsi="Calibri"/>
          <w:sz w:val="22"/>
          <w:szCs w:val="22"/>
        </w:rPr>
        <w:t xml:space="preserve">Labels sit above the field, small/meta scale, slate color, sentence case</w:t>
      </w:r>
    </w:p>
    <w:p>
      <w:pPr>
        <w:pStyle w:val="ListParagraph"/>
        <w:numPr>
          <w:ilvl w:val="0"/>
          <w:numId w:val="2"/>
        </w:numPr>
        <w:spacing w:after="80"/>
      </w:pPr>
      <w:r>
        <w:rPr>
          <w:rFonts w:ascii="Calibri" w:cs="Calibri" w:eastAsia="Calibri" w:hAnsi="Calibri"/>
          <w:sz w:val="22"/>
          <w:szCs w:val="22"/>
        </w:rPr>
        <w:t xml:space="preserve">Inline validation errors appear directly below the field in rust text, with a one-line, specific message — never a generic "invalid input"</w:t>
      </w:r>
    </w:p>
    <w:p>
      <w:pPr>
        <w:pStyle w:val="Heading2"/>
        <w:spacing w:after="150" w:before="300"/>
      </w:pPr>
      <w:r>
        <w:t xml:space="preserve">4.6 Modals &amp; Toasts</w:t>
      </w:r>
    </w:p>
    <w:p>
      <w:pPr>
        <w:pStyle w:val="ListParagraph"/>
        <w:numPr>
          <w:ilvl w:val="0"/>
          <w:numId w:val="2"/>
        </w:numPr>
        <w:spacing w:after="80"/>
      </w:pPr>
      <w:r>
        <w:rPr>
          <w:rFonts w:ascii="Calibri" w:cs="Calibri" w:eastAsia="Calibri" w:hAnsi="Calibri"/>
          <w:sz w:val="22"/>
          <w:szCs w:val="22"/>
        </w:rPr>
        <w:t xml:space="preserve">Modals reserved for destructive/irreversible confirmations only (reject with reason, deactivate user, logout confirmation) — every other interaction happens inline, not in a modal, to keep the review workflow from feeling like a series of interruptions</w:t>
      </w:r>
    </w:p>
    <w:p>
      <w:pPr>
        <w:pStyle w:val="ListParagraph"/>
        <w:numPr>
          <w:ilvl w:val="0"/>
          <w:numId w:val="2"/>
        </w:numPr>
        <w:spacing w:after="80"/>
      </w:pPr>
      <w:r>
        <w:rPr>
          <w:rFonts w:ascii="Calibri" w:cs="Calibri" w:eastAsia="Calibri" w:hAnsi="Calibri"/>
          <w:sz w:val="22"/>
          <w:szCs w:val="22"/>
        </w:rPr>
        <w:t xml:space="preserve">Toasts: bottom-right, auto-dismiss after 4s except errors (manual dismiss only), ink background with gold or rust left accent depending on success/error</w:t>
      </w:r>
    </w:p>
    <w:p>
      <w:pPr>
        <w:pStyle w:val="Heading1"/>
        <w:spacing w:after="200" w:before="400"/>
      </w:pPr>
      <w:r>
        <w:t xml:space="preserve">5. Page-by-Page Specifications</w:t>
      </w:r>
    </w:p>
    <w:p>
      <w:pPr>
        <w:pStyle w:val="Heading2"/>
        <w:spacing w:after="150" w:before="300"/>
      </w:pPr>
      <w:r>
        <w:t xml:space="preserve">5.1 Login Page</w:t>
      </w:r>
    </w:p>
    <w:p>
      <w:pPr>
        <w:pStyle w:val="ListParagraph"/>
        <w:numPr>
          <w:ilvl w:val="0"/>
          <w:numId w:val="2"/>
        </w:numPr>
        <w:spacing w:after="80"/>
      </w:pPr>
      <w:r>
        <w:rPr>
          <w:rFonts w:ascii="Calibri" w:cs="Calibri" w:eastAsia="Calibri" w:hAnsi="Calibri"/>
          <w:sz w:val="22"/>
          <w:szCs w:val="22"/>
        </w:rPr>
        <w:t xml:space="preserve">Centered card (max-width 400px) on the ink-navy background — the one page in the app that uses the dark surface as the primary background, establishing brand on first contact</w:t>
      </w:r>
    </w:p>
    <w:p>
      <w:pPr>
        <w:pStyle w:val="ListParagraph"/>
        <w:numPr>
          <w:ilvl w:val="0"/>
          <w:numId w:val="2"/>
        </w:numPr>
        <w:spacing w:after="80"/>
      </w:pPr>
      <w:r>
        <w:rPr>
          <w:rFonts w:ascii="Calibri" w:cs="Calibri" w:eastAsia="Calibri" w:hAnsi="Calibri"/>
          <w:sz w:val="22"/>
          <w:szCs w:val="22"/>
        </w:rPr>
        <w:t xml:space="preserve">RegTrace wordmark + tagline above the card</w:t>
      </w:r>
    </w:p>
    <w:p>
      <w:pPr>
        <w:pStyle w:val="ListParagraph"/>
        <w:numPr>
          <w:ilvl w:val="0"/>
          <w:numId w:val="2"/>
        </w:numPr>
        <w:spacing w:after="80"/>
      </w:pPr>
      <w:r>
        <w:rPr>
          <w:rFonts w:ascii="Calibri" w:cs="Calibri" w:eastAsia="Calibri" w:hAnsi="Calibri"/>
          <w:sz w:val="22"/>
          <w:szCs w:val="22"/>
        </w:rPr>
        <w:t xml:space="preserve">Fields: email, password, primary "Log in" button full-width</w:t>
      </w:r>
    </w:p>
    <w:p>
      <w:pPr>
        <w:pStyle w:val="ListParagraph"/>
        <w:numPr>
          <w:ilvl w:val="0"/>
          <w:numId w:val="2"/>
        </w:numPr>
        <w:spacing w:after="80"/>
      </w:pPr>
      <w:r>
        <w:rPr>
          <w:rFonts w:ascii="Calibri" w:cs="Calibri" w:eastAsia="Calibri" w:hAnsi="Calibri"/>
          <w:sz w:val="22"/>
          <w:szCs w:val="22"/>
        </w:rPr>
        <w:t xml:space="preserve">Error state: a single inline message above the fields ("Invalid email or password") — never field-specific errors on login, consistent with the generic-credentials-error security principle from the auth design</w:t>
      </w:r>
    </w:p>
    <w:p>
      <w:pPr>
        <w:pStyle w:val="ListParagraph"/>
        <w:numPr>
          <w:ilvl w:val="0"/>
          <w:numId w:val="2"/>
        </w:numPr>
        <w:spacing w:after="80"/>
      </w:pPr>
      <w:r>
        <w:rPr>
          <w:rFonts w:ascii="Calibri" w:cs="Calibri" w:eastAsia="Calibri" w:hAnsi="Calibri"/>
          <w:sz w:val="22"/>
          <w:szCs w:val="22"/>
        </w:rPr>
        <w:t xml:space="preserve">No "Forgot password" self-service link in this version — a small line of text: "Contact your administrator to reset your password," consistent with the admin-initiated reset decision already made</w:t>
      </w:r>
    </w:p>
    <w:p>
      <w:pPr>
        <w:pStyle w:val="Heading2"/>
        <w:spacing w:after="150" w:before="300"/>
      </w:pPr>
      <w:r>
        <w:t xml:space="preserve">5.2 Dashboard</w:t>
      </w:r>
    </w:p>
    <w:p>
      <w:pPr>
        <w:pStyle w:val="ListParagraph"/>
        <w:numPr>
          <w:ilvl w:val="0"/>
          <w:numId w:val="2"/>
        </w:numPr>
        <w:spacing w:after="80"/>
      </w:pPr>
      <w:r>
        <w:rPr>
          <w:rFonts w:ascii="Calibri" w:cs="Calibri" w:eastAsia="Calibri" w:hAnsi="Calibri"/>
          <w:sz w:val="22"/>
          <w:szCs w:val="22"/>
        </w:rPr>
        <w:t xml:space="preserve">Top row: stat cards (Clauses scanned, Obligations extracted, Avg. confidence, Pending review, Open tasks, Overdue, Compliance gaps) — reuses the stat-card pattern from the existing prototype, now standardized as a component</w:t>
      </w:r>
    </w:p>
    <w:p>
      <w:pPr>
        <w:pStyle w:val="ListParagraph"/>
        <w:numPr>
          <w:ilvl w:val="0"/>
          <w:numId w:val="2"/>
        </w:numPr>
        <w:spacing w:after="80"/>
      </w:pPr>
      <w:r>
        <w:rPr>
          <w:rFonts w:ascii="Calibri" w:cs="Calibri" w:eastAsia="Calibri" w:hAnsi="Calibri"/>
          <w:sz w:val="22"/>
          <w:szCs w:val="22"/>
        </w:rPr>
        <w:t xml:space="preserve">Second row, two columns: left — Recent audit activity (scrolling list, mono timestamps); right — Compliance gaps panel, each gap shown as a small card with type, detected date, and a "Resolve" ghost-button link into the relevant obligation/task</w:t>
      </w:r>
    </w:p>
    <w:p>
      <w:pPr>
        <w:pStyle w:val="ListParagraph"/>
        <w:numPr>
          <w:ilvl w:val="0"/>
          <w:numId w:val="2"/>
        </w:numPr>
        <w:spacing w:after="80"/>
      </w:pPr>
      <w:r>
        <w:rPr>
          <w:rFonts w:ascii="Calibri" w:cs="Calibri" w:eastAsia="Calibri" w:hAnsi="Calibri"/>
          <w:sz w:val="22"/>
          <w:szCs w:val="22"/>
        </w:rPr>
        <w:t xml:space="preserve">Role-aware: Task Owner sees a scoped version (their department's task counts only, no review-queue stats, no audit activity panel); Viewer sees the full dashboard read-only</w:t>
      </w:r>
    </w:p>
    <w:p>
      <w:pPr>
        <w:pStyle w:val="Heading2"/>
        <w:spacing w:after="150" w:before="300"/>
      </w:pPr>
      <w:r>
        <w:t xml:space="preserve">5.3 Ingest / Upload</w:t>
      </w:r>
    </w:p>
    <w:p>
      <w:pPr>
        <w:pStyle w:val="ListParagraph"/>
        <w:numPr>
          <w:ilvl w:val="0"/>
          <w:numId w:val="2"/>
        </w:numPr>
        <w:spacing w:after="80"/>
      </w:pPr>
      <w:r>
        <w:rPr>
          <w:rFonts w:ascii="Calibri" w:cs="Calibri" w:eastAsia="Calibri" w:hAnsi="Calibri"/>
          <w:sz w:val="22"/>
          <w:szCs w:val="22"/>
        </w:rPr>
        <w:t xml:space="preserve">Two-panel layout: left — upload/paste circular text + "Run extraction" primary button; right — live segmented clause list, populated progressively as segmentation completes</w:t>
      </w:r>
    </w:p>
    <w:p>
      <w:pPr>
        <w:pStyle w:val="ListParagraph"/>
        <w:numPr>
          <w:ilvl w:val="0"/>
          <w:numId w:val="2"/>
        </w:numPr>
        <w:spacing w:after="80"/>
      </w:pPr>
      <w:r>
        <w:rPr>
          <w:rFonts w:ascii="Calibri" w:cs="Calibri" w:eastAsia="Calibri" w:hAnsi="Calibri"/>
          <w:sz w:val="22"/>
          <w:szCs w:val="22"/>
        </w:rPr>
        <w:t xml:space="preserve">Upload zone: dashed-border drop target, accepts PDF/paste, shows filename + page count once loaded</w:t>
      </w:r>
    </w:p>
    <w:p>
      <w:pPr>
        <w:pStyle w:val="ListParagraph"/>
        <w:numPr>
          <w:ilvl w:val="0"/>
          <w:numId w:val="2"/>
        </w:numPr>
        <w:spacing w:after="80"/>
      </w:pPr>
      <w:r>
        <w:rPr>
          <w:rFonts w:ascii="Calibri" w:cs="Calibri" w:eastAsia="Calibri" w:hAnsi="Calibri"/>
          <w:sz w:val="22"/>
          <w:szCs w:val="22"/>
        </w:rPr>
        <w:t xml:space="preserve">Progress state during extraction: a slim horizontal progress bar under the button with a rotating status caption ("Segmenting clauses…", "Extracting obligations…") — not a spinner, since a progress bar communicates the multi-stage pipeline more honestly than an indefinite spinner</w:t>
      </w:r>
    </w:p>
    <w:p>
      <w:pPr>
        <w:pStyle w:val="Heading2"/>
        <w:spacing w:after="150" w:before="300"/>
      </w:pPr>
      <w:r>
        <w:t xml:space="preserve">5.4 Review Queue</w:t>
      </w:r>
    </w:p>
    <w:p>
      <w:pPr>
        <w:pStyle w:val="ListParagraph"/>
        <w:numPr>
          <w:ilvl w:val="0"/>
          <w:numId w:val="2"/>
        </w:numPr>
        <w:spacing w:after="80"/>
      </w:pPr>
      <w:r>
        <w:rPr>
          <w:rFonts w:ascii="Calibri" w:cs="Calibri" w:eastAsia="Calibri" w:hAnsi="Calibri"/>
          <w:sz w:val="22"/>
          <w:szCs w:val="22"/>
        </w:rPr>
        <w:t xml:space="preserve">This is the highest-stakes screen in the app and gets the most deliberate layout: a single-column list of obligation cards, NOT a table — table rows compress too much for a decision this consequential</w:t>
      </w:r>
    </w:p>
    <w:p>
      <w:pPr>
        <w:pStyle w:val="ListParagraph"/>
        <w:numPr>
          <w:ilvl w:val="0"/>
          <w:numId w:val="2"/>
        </w:numPr>
        <w:spacing w:after="80"/>
      </w:pPr>
      <w:r>
        <w:rPr>
          <w:rFonts w:ascii="Calibri" w:cs="Calibri" w:eastAsia="Calibri" w:hAnsi="Calibri"/>
          <w:sz w:val="22"/>
          <w:szCs w:val="22"/>
        </w:rPr>
        <w:t xml:space="preserve">Each card: clause number chip (mono, gold), confidence badge, ambiguity flags (small rust-text list with icon), obligation text, extracted fields row (entity / deadline / frequency / evidence), and three actions (Approve / Edit / Reject) in the card's top-right</w:t>
      </w:r>
    </w:p>
    <w:p>
      <w:pPr>
        <w:pStyle w:val="ListParagraph"/>
        <w:numPr>
          <w:ilvl w:val="0"/>
          <w:numId w:val="2"/>
        </w:numPr>
        <w:spacing w:after="80"/>
      </w:pPr>
      <w:r>
        <w:rPr>
          <w:rFonts w:ascii="Calibri" w:cs="Calibri" w:eastAsia="Calibri" w:hAnsi="Calibri"/>
          <w:sz w:val="22"/>
          <w:szCs w:val="22"/>
        </w:rPr>
        <w:t xml:space="preserve">Queue is pre-sorted by priority (penalty-referenced and low-confidence first) per the agent design — a small sort/filter control lets the reviewer override, but the default order is never neutral/chronological</w:t>
      </w:r>
    </w:p>
    <w:p>
      <w:pPr>
        <w:pStyle w:val="ListParagraph"/>
        <w:numPr>
          <w:ilvl w:val="0"/>
          <w:numId w:val="2"/>
        </w:numPr>
        <w:spacing w:after="80"/>
      </w:pPr>
      <w:r>
        <w:rPr>
          <w:rFonts w:ascii="Calibri" w:cs="Calibri" w:eastAsia="Calibri" w:hAnsi="Calibri"/>
          <w:sz w:val="22"/>
          <w:szCs w:val="22"/>
        </w:rPr>
        <w:t xml:space="preserve">Edit mode expands the card in place (never a separate modal/page) — text fields become editable directly in the card's existing layout, preserving spatial context with the clause</w:t>
      </w:r>
    </w:p>
    <w:p>
      <w:pPr>
        <w:pStyle w:val="ListParagraph"/>
        <w:numPr>
          <w:ilvl w:val="0"/>
          <w:numId w:val="2"/>
        </w:numPr>
        <w:spacing w:after="80"/>
      </w:pPr>
      <w:r>
        <w:rPr>
          <w:rFonts w:ascii="Calibri" w:cs="Calibri" w:eastAsia="Calibri" w:hAnsi="Calibri"/>
          <w:sz w:val="22"/>
          <w:szCs w:val="22"/>
        </w:rPr>
        <w:t xml:space="preserve">A distinct visual lane (subtle dashed top border + label "Needs manual entry") separates extraction-failed clauses from normal AI-drafted obligations, per the agent design's manual-entry lane requirement</w:t>
      </w:r>
    </w:p>
    <w:p>
      <w:pPr>
        <w:pStyle w:val="Heading2"/>
        <w:spacing w:after="150" w:before="300"/>
      </w:pPr>
      <w:r>
        <w:t xml:space="preserve">5.5 Tasks</w:t>
      </w:r>
    </w:p>
    <w:p>
      <w:pPr>
        <w:pStyle w:val="ListParagraph"/>
        <w:numPr>
          <w:ilvl w:val="0"/>
          <w:numId w:val="2"/>
        </w:numPr>
        <w:spacing w:after="80"/>
      </w:pPr>
      <w:r>
        <w:rPr>
          <w:rFonts w:ascii="Calibri" w:cs="Calibri" w:eastAsia="Calibri" w:hAnsi="Calibri"/>
          <w:sz w:val="22"/>
          <w:szCs w:val="22"/>
        </w:rPr>
        <w:t xml:space="preserve">Table view by default (unlike the review queue, tasks are more scannable in tabular form once past the review decision)</w:t>
      </w:r>
    </w:p>
    <w:p>
      <w:pPr>
        <w:pStyle w:val="ListParagraph"/>
        <w:numPr>
          <w:ilvl w:val="0"/>
          <w:numId w:val="2"/>
        </w:numPr>
        <w:spacing w:after="80"/>
      </w:pPr>
      <w:r>
        <w:rPr>
          <w:rFonts w:ascii="Calibri" w:cs="Calibri" w:eastAsia="Calibri" w:hAnsi="Calibri"/>
          <w:sz w:val="22"/>
          <w:szCs w:val="22"/>
        </w:rPr>
        <w:t xml:space="preserve">Columns: Clause, Title, Owner, Deadline, Priority, Status, Actions</w:t>
      </w:r>
    </w:p>
    <w:p>
      <w:pPr>
        <w:pStyle w:val="ListParagraph"/>
        <w:numPr>
          <w:ilvl w:val="0"/>
          <w:numId w:val="2"/>
        </w:numPr>
        <w:spacing w:after="80"/>
      </w:pPr>
      <w:r>
        <w:rPr>
          <w:rFonts w:ascii="Calibri" w:cs="Calibri" w:eastAsia="Calibri" w:hAnsi="Calibri"/>
          <w:sz w:val="22"/>
          <w:szCs w:val="22"/>
        </w:rPr>
        <w:t xml:space="preserve">Task Owner's view is pre-filtered to their department with no filter-away option; Compliance Officer/Admin see all tasks with a department filter control</w:t>
      </w:r>
    </w:p>
    <w:p>
      <w:pPr>
        <w:pStyle w:val="ListParagraph"/>
        <w:numPr>
          <w:ilvl w:val="0"/>
          <w:numId w:val="2"/>
        </w:numPr>
        <w:spacing w:after="80"/>
      </w:pPr>
      <w:r>
        <w:rPr>
          <w:rFonts w:ascii="Calibri" w:cs="Calibri" w:eastAsia="Calibri" w:hAnsi="Calibri"/>
          <w:sz w:val="22"/>
          <w:szCs w:val="22"/>
        </w:rPr>
        <w:t xml:space="preserve">Row action: "Mark complete" opens an inline evidence-upload affordance directly in the row (expands to a small drop zone), not a separate page — keeps task completion a one-screen action</w:t>
      </w:r>
    </w:p>
    <w:p>
      <w:pPr>
        <w:pStyle w:val="Heading2"/>
        <w:spacing w:after="150" w:before="300"/>
      </w:pPr>
      <w:r>
        <w:t xml:space="preserve">5.6 Trace View</w:t>
      </w:r>
    </w:p>
    <w:p>
      <w:pPr>
        <w:pStyle w:val="ListParagraph"/>
        <w:numPr>
          <w:ilvl w:val="0"/>
          <w:numId w:val="2"/>
        </w:numPr>
        <w:spacing w:after="80"/>
      </w:pPr>
      <w:r>
        <w:rPr>
          <w:rFonts w:ascii="Calibri" w:cs="Calibri" w:eastAsia="Calibri" w:hAnsi="Calibri"/>
          <w:sz w:val="22"/>
          <w:szCs w:val="22"/>
        </w:rPr>
        <w:t xml:space="preserve">A horizontal three-panel layout (Clause → Obligation → Task), directly reflecting the existing prototype's trace pattern, now formalized as the canonical explainability screen</w:t>
      </w:r>
    </w:p>
    <w:p>
      <w:pPr>
        <w:pStyle w:val="ListParagraph"/>
        <w:numPr>
          <w:ilvl w:val="0"/>
          <w:numId w:val="2"/>
        </w:numPr>
        <w:spacing w:after="80"/>
      </w:pPr>
      <w:r>
        <w:rPr>
          <w:rFonts w:ascii="Calibri" w:cs="Calibri" w:eastAsia="Calibri" w:hAnsi="Calibri"/>
          <w:sz w:val="22"/>
          <w:szCs w:val="22"/>
        </w:rPr>
        <w:t xml:space="preserve">Below the three panels: the audit log entries for this specific obligation/task, shown as a mono-font, chronological list with hash fragments visible — deliberately technical-looking here, since this is the screen a compliance officer would show an auditor</w:t>
      </w:r>
    </w:p>
    <w:p>
      <w:pPr>
        <w:pStyle w:val="ListParagraph"/>
        <w:numPr>
          <w:ilvl w:val="0"/>
          <w:numId w:val="2"/>
        </w:numPr>
        <w:spacing w:after="80"/>
      </w:pPr>
      <w:r>
        <w:rPr>
          <w:rFonts w:ascii="Calibri" w:cs="Calibri" w:eastAsia="Calibri" w:hAnsi="Calibri"/>
          <w:sz w:val="22"/>
          <w:szCs w:val="22"/>
        </w:rPr>
        <w:t xml:space="preserve">Entry point: a "Trace" ghost-button appears next to any obligation or task anywhere else in the app, always leading here</w:t>
      </w:r>
    </w:p>
    <w:p>
      <w:pPr>
        <w:pStyle w:val="Heading2"/>
        <w:spacing w:after="150" w:before="300"/>
      </w:pPr>
      <w:r>
        <w:t xml:space="preserve">5.7 Admin Panel</w:t>
      </w:r>
    </w:p>
    <w:p>
      <w:pPr>
        <w:pStyle w:val="ListParagraph"/>
        <w:numPr>
          <w:ilvl w:val="0"/>
          <w:numId w:val="2"/>
        </w:numPr>
        <w:spacing w:after="80"/>
      </w:pPr>
      <w:r>
        <w:rPr>
          <w:rFonts w:ascii="Calibri" w:cs="Calibri" w:eastAsia="Calibri" w:hAnsi="Calibri"/>
          <w:sz w:val="22"/>
          <w:szCs w:val="22"/>
        </w:rPr>
        <w:t xml:space="preserve">User management table: Name, Email, Role (editable inline via dropdown), Department, Status (Active/Deactivated), Last login</w:t>
      </w:r>
    </w:p>
    <w:p>
      <w:pPr>
        <w:pStyle w:val="ListParagraph"/>
        <w:numPr>
          <w:ilvl w:val="0"/>
          <w:numId w:val="2"/>
        </w:numPr>
        <w:spacing w:after="80"/>
      </w:pPr>
      <w:r>
        <w:rPr>
          <w:rFonts w:ascii="Calibri" w:cs="Calibri" w:eastAsia="Calibri" w:hAnsi="Calibri"/>
          <w:sz w:val="22"/>
          <w:szCs w:val="22"/>
        </w:rPr>
        <w:t xml:space="preserve">"Add user" primary button opens an inline form row at the top of the table, not a modal — consistent with the modal-only-for-destructive-actions rule</w:t>
      </w:r>
    </w:p>
    <w:p>
      <w:pPr>
        <w:pStyle w:val="ListParagraph"/>
        <w:numPr>
          <w:ilvl w:val="0"/>
          <w:numId w:val="2"/>
        </w:numPr>
        <w:spacing w:after="80"/>
      </w:pPr>
      <w:r>
        <w:rPr>
          <w:rFonts w:ascii="Calibri" w:cs="Calibri" w:eastAsia="Calibri" w:hAnsi="Calibri"/>
          <w:sz w:val="22"/>
          <w:szCs w:val="22"/>
        </w:rPr>
        <w:t xml:space="preserve">Owner-mapping rules editor: a simple ordered list of rule cards (match criteria → assigned department), drag-to-reorder, since rule order determines match precedence per the Task Generation Agent design</w:t>
      </w:r>
    </w:p>
    <w:p>
      <w:pPr>
        <w:pStyle w:val="Heading1"/>
        <w:spacing w:after="200" w:before="400"/>
      </w:pPr>
      <w:r>
        <w:t xml:space="preserve">6. Interaction States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8600"/>
      </w:tblGrid>
      <w:tr>
        <w:trPr>
          <w:tblHeader/>
        </w:trPr>
        <w:tc>
          <w:tcPr>
            <w:tcW w:type="dxa" w:w="18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State</w:t>
            </w:r>
          </w:p>
        </w:tc>
        <w:tc>
          <w:tcPr>
            <w:tcW w:type="dxa" w:w="86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Treatment</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Empty</w:t>
            </w:r>
          </w:p>
        </w:tc>
        <w:tc>
          <w:tcPr>
            <w:tcW w:type="dxa" w:w="8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Centered icon + one-sentence explanation of what will appear here + the primary action that would populate it (e.g., Review Queue empty state: "No obligations pending review — run extraction on a circular to populate this queue")</w:t>
            </w:r>
          </w:p>
        </w:tc>
      </w:tr>
      <w:tr>
        <w:tc>
          <w:tcPr>
            <w:tcW w:type="dxa" w:w="1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Loading</w:t>
            </w:r>
          </w:p>
        </w:tc>
        <w:tc>
          <w:tcPr>
            <w:tcW w:type="dxa" w:w="8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Skeleton placeholders matching the target layout's shape (card skeletons for review queue, row skeletons for tables) — never a generic centered spinner for anything that loads more than one item</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Error</w:t>
            </w:r>
          </w:p>
        </w:tc>
        <w:tc>
          <w:tcPr>
            <w:tcW w:type="dxa" w:w="8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Inline, specific, in the interface's own voice — states what happened and what to do next, never apologizes, never a raw error code without a plain-language explanation alongside it</w:t>
            </w:r>
          </w:p>
        </w:tc>
      </w:tr>
      <w:tr>
        <w:tc>
          <w:tcPr>
            <w:tcW w:type="dxa" w:w="18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Success</w:t>
            </w:r>
          </w:p>
        </w:tc>
        <w:tc>
          <w:tcPr>
            <w:tcW w:type="dxa" w:w="86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Toast confirmation using the same verb as the action taken ("Approved" after clicking Approve, not "Success") — consistent action-vocabulary principle applied throughout</w:t>
            </w:r>
          </w:p>
        </w:tc>
      </w:tr>
    </w:tbl>
    <w:p>
      <w:pPr>
        <w:pStyle w:val="Heading1"/>
        <w:spacing w:after="200" w:before="400"/>
      </w:pPr>
      <w:r>
        <w:t xml:space="preserve">7. Role-Aware UI Behavior</w:t>
      </w:r>
    </w:p>
    <w:p>
      <w:pPr>
        <w:spacing w:after="160" w:line="276"/>
      </w:pPr>
      <w:r>
        <w:rPr>
          <w:rFonts w:ascii="Calibri" w:cs="Calibri" w:eastAsia="Calibri" w:hAnsi="Calibri"/>
          <w:sz w:val="22"/>
          <w:szCs w:val="22"/>
        </w:rPr>
        <w:t xml:space="preserve">The interface changes by role at three levels, consistent with the RBAC design — navigation, page content, and action availability. Server-side authorization is the actual enforcement; the UI layer's job is to make the experience feel tailored, not to imply that hiding something is what's protecting it.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5000"/>
      </w:tblGrid>
      <w:tr>
        <w:trPr>
          <w:tblHeader/>
        </w:trPr>
        <w:tc>
          <w:tcPr>
            <w:tcW w:type="dxa" w:w="20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Role</w:t>
            </w:r>
          </w:p>
        </w:tc>
        <w:tc>
          <w:tcPr>
            <w:tcW w:type="dxa" w:w="34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Nav items shown</w:t>
            </w:r>
          </w:p>
        </w:tc>
        <w:tc>
          <w:tcPr>
            <w:tcW w:type="dxa" w:w="50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Key UI differences</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Dashboard, Ingest, Review Queue, Tasks, Trace, Admin</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Full access; only role that sees the Admin nav item and owner-mapping editor</w:t>
            </w:r>
          </w:p>
        </w:tc>
      </w:tr>
      <w:tr>
        <w:tc>
          <w:tcPr>
            <w:tcW w:type="dxa" w:w="2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Compliance Officer</w:t>
            </w:r>
          </w:p>
        </w:tc>
        <w:tc>
          <w:tcPr>
            <w:tcW w:type="dxa" w:w="3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Dashboard, Ingest, Review Queue, Tasks, Trace</w:t>
            </w:r>
          </w:p>
        </w:tc>
        <w:tc>
          <w:tcPr>
            <w:tcW w:type="dxa" w:w="5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Full operational access except user/rule management</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Task Owner</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Dashboard (scoped), Tasks (scoped)</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Review Queue or Trace nav items at all; dashboard shows only their department's stats</w:t>
            </w:r>
          </w:p>
        </w:tc>
      </w:tr>
      <w:tr>
        <w:tc>
          <w:tcPr>
            <w:tcW w:type="dxa" w:w="2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Viewer</w:t>
            </w:r>
          </w:p>
        </w:tc>
        <w:tc>
          <w:tcPr>
            <w:tcW w:type="dxa" w:w="3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Dashboard, Tasks, Trace (all read-only)</w:t>
            </w:r>
          </w:p>
        </w:tc>
        <w:tc>
          <w:tcPr>
            <w:tcW w:type="dxa" w:w="5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action buttons render anywhere — cards and rows show status only, no Approve/Edit/Reject/Complete controls</w:t>
            </w:r>
          </w:p>
        </w:tc>
      </w:tr>
    </w:tbl>
    <w:p>
      <w:pPr>
        <w:pStyle w:val="Heading1"/>
        <w:spacing w:after="200" w:before="400"/>
      </w:pPr>
      <w:r>
        <w:t xml:space="preserve">8. Accessibility</w:t>
      </w:r>
    </w:p>
    <w:p>
      <w:pPr>
        <w:pStyle w:val="ListParagraph"/>
        <w:numPr>
          <w:ilvl w:val="0"/>
          <w:numId w:val="2"/>
        </w:numPr>
        <w:spacing w:after="80"/>
      </w:pPr>
      <w:r>
        <w:rPr>
          <w:rFonts w:ascii="Calibri" w:cs="Calibri" w:eastAsia="Calibri" w:hAnsi="Calibri"/>
          <w:sz w:val="22"/>
          <w:szCs w:val="22"/>
        </w:rPr>
        <w:t xml:space="preserve">All confidence/status color coding is paired with text or icon, never color alone, per WCAG — already reflected in the confidence badge and status chip specs above</w:t>
      </w:r>
    </w:p>
    <w:p>
      <w:pPr>
        <w:pStyle w:val="ListParagraph"/>
        <w:numPr>
          <w:ilvl w:val="0"/>
          <w:numId w:val="2"/>
        </w:numPr>
        <w:spacing w:after="80"/>
      </w:pPr>
      <w:r>
        <w:rPr>
          <w:rFonts w:ascii="Calibri" w:cs="Calibri" w:eastAsia="Calibri" w:hAnsi="Calibri"/>
          <w:sz w:val="22"/>
          <w:szCs w:val="22"/>
        </w:rPr>
        <w:t xml:space="preserve">Minimum contrast: body text on paper background and ink text on white cards both exceed 7:1; gold-on-white text is used only for large/bold text (never small body copy) where gold's lower contrast is still compliant</w:t>
      </w:r>
    </w:p>
    <w:p>
      <w:pPr>
        <w:pStyle w:val="ListParagraph"/>
        <w:numPr>
          <w:ilvl w:val="0"/>
          <w:numId w:val="2"/>
        </w:numPr>
        <w:spacing w:after="80"/>
      </w:pPr>
      <w:r>
        <w:rPr>
          <w:rFonts w:ascii="Calibri" w:cs="Calibri" w:eastAsia="Calibri" w:hAnsi="Calibri"/>
          <w:sz w:val="22"/>
          <w:szCs w:val="22"/>
        </w:rPr>
        <w:t xml:space="preserve">Full keyboard navigation: tab order follows visual order in every page; the review queue's Approve/Edit/Reject actions are reachable and operable via keyboard, not mouse-only</w:t>
      </w:r>
    </w:p>
    <w:p>
      <w:pPr>
        <w:pStyle w:val="ListParagraph"/>
        <w:numPr>
          <w:ilvl w:val="0"/>
          <w:numId w:val="2"/>
        </w:numPr>
        <w:spacing w:after="80"/>
      </w:pPr>
      <w:r>
        <w:rPr>
          <w:rFonts w:ascii="Calibri" w:cs="Calibri" w:eastAsia="Calibri" w:hAnsi="Calibri"/>
          <w:sz w:val="22"/>
          <w:szCs w:val="22"/>
        </w:rPr>
        <w:t xml:space="preserve">Visible focus states on every interactive element — a 2px gold outline, never suppressed</w:t>
      </w:r>
    </w:p>
    <w:p>
      <w:pPr>
        <w:pStyle w:val="ListParagraph"/>
        <w:numPr>
          <w:ilvl w:val="0"/>
          <w:numId w:val="2"/>
        </w:numPr>
        <w:spacing w:after="80"/>
      </w:pPr>
      <w:r>
        <w:rPr>
          <w:rFonts w:ascii="Calibri" w:cs="Calibri" w:eastAsia="Calibri" w:hAnsi="Calibri"/>
          <w:sz w:val="22"/>
          <w:szCs w:val="22"/>
        </w:rPr>
        <w:t xml:space="preserve">Reduced motion: the extraction progress bar and any transitions respect prefers-reduced-motion, falling back to instant state changes</w:t>
      </w:r>
    </w:p>
    <w:p>
      <w:pPr>
        <w:pStyle w:val="Heading1"/>
        <w:spacing w:after="200" w:before="400"/>
      </w:pPr>
      <w:r>
        <w:t xml:space="preserve">9. Responsive Behavior</w:t>
      </w:r>
    </w:p>
    <w:p>
      <w:pPr>
        <w:spacing w:after="160" w:line="276"/>
      </w:pPr>
      <w:r>
        <w:rPr>
          <w:rFonts w:ascii="Calibri" w:cs="Calibri" w:eastAsia="Calibri" w:hAnsi="Calibri"/>
          <w:sz w:val="22"/>
          <w:szCs w:val="22"/>
        </w:rPr>
        <w:t xml:space="preserve">RegTrace is a work tool primarily used on desktop monitors during focused review sessions; the redesign optimizes for desktop first, with a functional (not primary) tablet/mobile experience for checking status on the go.</w:t>
      </w:r>
    </w:p>
    <w:p>
      <w:pPr>
        <w:pStyle w:val="ListParagraph"/>
        <w:numPr>
          <w:ilvl w:val="0"/>
          <w:numId w:val="2"/>
        </w:numPr>
        <w:spacing w:after="80"/>
      </w:pPr>
      <w:r>
        <w:rPr>
          <w:rFonts w:ascii="Calibri" w:cs="Calibri" w:eastAsia="Calibri" w:hAnsi="Calibri"/>
          <w:sz w:val="22"/>
          <w:szCs w:val="22"/>
        </w:rPr>
        <w:t xml:space="preserve">Desktop (≥1024px): full nav rail, multi-column dashboard, three-panel trace view</w:t>
      </w:r>
    </w:p>
    <w:p>
      <w:pPr>
        <w:pStyle w:val="ListParagraph"/>
        <w:numPr>
          <w:ilvl w:val="0"/>
          <w:numId w:val="2"/>
        </w:numPr>
        <w:spacing w:after="80"/>
      </w:pPr>
      <w:r>
        <w:rPr>
          <w:rFonts w:ascii="Calibri" w:cs="Calibri" w:eastAsia="Calibri" w:hAnsi="Calibri"/>
          <w:sz w:val="22"/>
          <w:szCs w:val="22"/>
        </w:rPr>
        <w:t xml:space="preserve">Tablet (768–1023px): nav rail collapses to icon-only (labels on hover/tap), dashboard stat cards wrap to 2 columns, trace view stacks to a vertical sequence</w:t>
      </w:r>
    </w:p>
    <w:p>
      <w:pPr>
        <w:pStyle w:val="ListParagraph"/>
        <w:numPr>
          <w:ilvl w:val="0"/>
          <w:numId w:val="2"/>
        </w:numPr>
        <w:spacing w:after="80"/>
      </w:pPr>
      <w:r>
        <w:rPr>
          <w:rFonts w:ascii="Calibri" w:cs="Calibri" w:eastAsia="Calibri" w:hAnsi="Calibri"/>
          <w:sz w:val="22"/>
          <w:szCs w:val="22"/>
        </w:rPr>
        <w:t xml:space="preserve">Mobile (&lt;768px): nav rail becomes a bottom sheet triggered by a menu icon; review queue cards remain single-column (already mobile-appropriate); tables convert to stacked card rows rather than horizontal-scroll tables</w:t>
      </w:r>
    </w:p>
    <w:p>
      <w:pPr>
        <w:pStyle w:val="Heading1"/>
        <w:spacing w:after="200" w:before="400"/>
      </w:pPr>
      <w:r>
        <w:t xml:space="preserve">10. Implementation Notes for the React Build</w:t>
      </w:r>
    </w:p>
    <w:p>
      <w:pPr>
        <w:spacing w:after="160" w:line="276"/>
      </w:pPr>
      <w:r>
        <w:rPr>
          <w:rFonts w:ascii="Calibri" w:cs="Calibri" w:eastAsia="Calibri" w:hAnsi="Calibri"/>
          <w:sz w:val="22"/>
          <w:szCs w:val="22"/>
        </w:rPr>
        <w:t xml:space="preserve">This section gives structural guidance for translating the above into components — still no code, but enough specificity that component boundaries are unambiguous.</w:t>
      </w:r>
    </w:p>
    <w:p>
      <w:pPr>
        <w:pStyle w:val="ListParagraph"/>
        <w:numPr>
          <w:ilvl w:val="0"/>
          <w:numId w:val="2"/>
        </w:numPr>
        <w:spacing w:after="80"/>
      </w:pPr>
      <w:r>
        <w:rPr>
          <w:rFonts w:ascii="Calibri" w:cs="Calibri" w:eastAsia="Calibri" w:hAnsi="Calibri"/>
          <w:sz w:val="22"/>
          <w:szCs w:val="22"/>
        </w:rPr>
        <w:t xml:space="preserve">Build a shared component library first (`Button`, `Badge`, `Card`, `StatCard`, `Table`, `Modal`, `Toast`) before building any page — every page spec above reuses the same handful of primitives, and building pages first leads to divergent one-off styling</w:t>
      </w:r>
    </w:p>
    <w:p>
      <w:pPr>
        <w:pStyle w:val="ListParagraph"/>
        <w:numPr>
          <w:ilvl w:val="0"/>
          <w:numId w:val="2"/>
        </w:numPr>
        <w:spacing w:after="80"/>
      </w:pPr>
      <w:r>
        <w:rPr>
          <w:rFonts w:ascii="Calibri" w:cs="Calibri" w:eastAsia="Calibri" w:hAnsi="Calibri"/>
          <w:sz w:val="22"/>
          <w:szCs w:val="22"/>
        </w:rPr>
        <w:t xml:space="preserve">Confidence-to-color mapping and status-to-color mapping should each be a single shared utility function, not reimplemented per component — this is the same "single source of truth" principle already applied to the Audit Log Service in the backend design</w:t>
      </w:r>
    </w:p>
    <w:p>
      <w:pPr>
        <w:pStyle w:val="ListParagraph"/>
        <w:numPr>
          <w:ilvl w:val="0"/>
          <w:numId w:val="2"/>
        </w:numPr>
        <w:spacing w:after="80"/>
      </w:pPr>
      <w:r>
        <w:rPr>
          <w:rFonts w:ascii="Calibri" w:cs="Calibri" w:eastAsia="Calibri" w:hAnsi="Calibri"/>
          <w:sz w:val="22"/>
          <w:szCs w:val="22"/>
        </w:rPr>
        <w:t xml:space="preserve">The three-panel Trace view and the Review Queue card are the two highest-complexity components — build and stabilize these two first, since most other pages are simpler variations of the same card/table patterns</w:t>
      </w:r>
    </w:p>
    <w:p>
      <w:pPr>
        <w:pStyle w:val="ListParagraph"/>
        <w:numPr>
          <w:ilvl w:val="0"/>
          <w:numId w:val="2"/>
        </w:numPr>
        <w:spacing w:after="80"/>
      </w:pPr>
      <w:r>
        <w:rPr>
          <w:rFonts w:ascii="Calibri" w:cs="Calibri" w:eastAsia="Calibri" w:hAnsi="Calibri"/>
          <w:sz w:val="22"/>
          <w:szCs w:val="22"/>
        </w:rPr>
        <w:t xml:space="preserve">Role-aware rendering should read from a single `useAuth()`/`AuthContext` hook (already specified in the auth implementation plan) — never duplicate role-checking logic per component</w:t>
      </w:r>
    </w:p>
    <w:p>
      <w:pPr>
        <w:pStyle w:val="ListParagraph"/>
        <w:numPr>
          <w:ilvl w:val="0"/>
          <w:numId w:val="2"/>
        </w:numPr>
        <w:spacing w:after="80"/>
      </w:pPr>
      <w:r>
        <w:rPr>
          <w:rFonts w:ascii="Calibri" w:cs="Calibri" w:eastAsia="Calibri" w:hAnsi="Calibri"/>
          <w:sz w:val="22"/>
          <w:szCs w:val="22"/>
        </w:rPr>
        <w:t xml:space="preserve">Keep all color/spacing/radius values as design tokens (theme constants), never hardcoded hex values inline in components — this is what makes the token system in Section 2 enforceable rather than aspirational</w:t>
      </w:r>
    </w:p>
    <w:p>
      <w:pPr>
        <w:pStyle w:val="Heading1"/>
        <w:spacing w:after="200" w:before="400"/>
      </w:pPr>
      <w:r>
        <w:t xml:space="preserve">11. Rollout Plan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rPr>
          <w:tblHeader/>
        </w:trPr>
        <w:tc>
          <w:tcPr>
            <w:tcW w:type="dxa" w:w="24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Phase</w:t>
            </w:r>
          </w:p>
        </w:tc>
        <w:tc>
          <w:tcPr>
            <w:tcW w:type="dxa" w:w="8000"/>
            <w:shd w:fill="132A3A"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Scope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Phase 1 — Foundations</w:t>
            </w:r>
          </w:p>
        </w:tc>
        <w:tc>
          <w:tcPr>
            <w:tcW w:type="dxa" w:w="8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Design tokens as theme constants, shared component library (Button, Badge, Card, Table, StatCard, Modal, Toast), app shell with nav rail</w:t>
            </w:r>
          </w:p>
        </w:tc>
      </w:tr>
      <w:tr>
        <w:tc>
          <w:tcPr>
            <w:tcW w:type="dxa" w:w="2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Phase 2 — Core pages</w:t>
            </w:r>
          </w:p>
        </w:tc>
        <w:tc>
          <w:tcPr>
            <w:tcW w:type="dxa" w:w="8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Login, Dashboard, Ingest — the pages with the least interaction complexity, validate the component library against real layouts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Phase 3 — Review Queue &amp; Tasks</w:t>
            </w:r>
          </w:p>
        </w:tc>
        <w:tc>
          <w:tcPr>
            <w:tcW w:type="dxa" w:w="8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two highest-stakes, highest-interaction pages — approve/edit/reject flow, inline task completion</w:t>
            </w:r>
          </w:p>
        </w:tc>
      </w:tr>
      <w:tr>
        <w:tc>
          <w:tcPr>
            <w:tcW w:type="dxa" w:w="24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Phase 4 — Trace &amp; Admin</w:t>
            </w:r>
          </w:p>
        </w:tc>
        <w:tc>
          <w:tcPr>
            <w:tcW w:type="dxa" w:w="8000"/>
            <w:shd w:fill="F5F3EE"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Three-panel trace view, audit log list, user management, owner-mapping rule editor</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Phase 5 — States &amp; polish</w:t>
            </w:r>
          </w:p>
        </w:tc>
        <w:tc>
          <w:tcPr>
            <w:tcW w:type="dxa" w:w="8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Empty/loading/error states across all pages, responsive breakpoints, accessibility pass (keyboard nav, contrast audit, reduced motion)</w:t>
            </w:r>
          </w:p>
        </w:tc>
      </w:tr>
    </w:tbl>
    <w:p>
      <w:pPr>
        <w:pStyle w:val="Heading1"/>
        <w:spacing w:after="200" w:before="400"/>
      </w:pPr>
      <w:r>
        <w:t xml:space="preserve">12. Summary</w:t>
      </w:r>
    </w:p>
    <w:p>
      <w:pPr>
        <w:spacing w:after="160" w:line="276"/>
      </w:pPr>
      <w:r>
        <w:rPr>
          <w:rFonts w:ascii="Calibri" w:cs="Calibri" w:eastAsia="Calibri" w:hAnsi="Calibri"/>
          <w:sz w:val="22"/>
          <w:szCs w:val="22"/>
        </w:rPr>
        <w:t xml:space="preserve">The redesign keeps RegTrace's established navy-and-gold identity but formalizes it into an enforceable design system: consistent tokens, a small set of reusable components, and page specifications precise enough to implement without further design decisions mid-build. The guiding standard throughout is that this is a compliance officer's working instrument, not a consumer dashboard — restraint, legibility, and traceable state are prioritized over visual novelty at every decision point in this document.</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2"/>
        <w:sz w:val="16"/>
        <w:szCs w:val="16"/>
      </w:rPr>
      <w:t xml:space="preserve">RegTrace  |  Page </w:t>
    </w:r>
    <w:r>
      <w:rPr>
        <w:rFonts w:ascii="Calibri" w:cs="Calibri" w:eastAsia="Calibri" w:hAnsi="Calibri"/>
        <w:color w:val="5B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3F" w:sz="4" w:space="4"/>
      </w:pBdr>
      <w:jc w:val="right"/>
    </w:pPr>
    <w:r>
      <w:rPr>
        <w:rFonts w:ascii="Calibri" w:cs="Calibri" w:eastAsia="Calibri" w:hAnsi="Calibri"/>
        <w:color w:val="5B6B72"/>
        <w:sz w:val="16"/>
        <w:szCs w:val="16"/>
      </w:rPr>
      <w:t xml:space="preserve">RegTrace — UI Redesign Implementation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32A3A"/>
      <w:sz w:val="32"/>
      <w:szCs w:val="32"/>
    </w:rPr>
  </w:style>
  <w:style w:type="paragraph" w:styleId="Heading2">
    <w:name w:val="Heading 2"/>
    <w:basedOn w:val="Normal"/>
    <w:next w:val="Normal"/>
    <w:qFormat/>
    <w:pPr>
      <w:spacing w:after="150" w:before="300"/>
    </w:pPr>
    <w:rPr>
      <w:rFonts w:ascii="Calibri" w:cs="Calibri" w:eastAsia="Calibri" w:hAnsi="Calibri"/>
      <w:b/>
      <w:bCs/>
      <w:color w:val="132A3A"/>
      <w:sz w:val="26"/>
      <w:szCs w:val="26"/>
    </w:rPr>
  </w:style>
  <w:style w:type="paragraph" w:styleId="Heading3">
    <w:name w:val="Heading 3"/>
    <w:basedOn w:val="Normal"/>
    <w:next w:val="Normal"/>
    <w:qFormat/>
    <w:pPr>
      <w:spacing w:after="100" w:before="200"/>
    </w:pPr>
    <w:rPr>
      <w:rFonts w:ascii="Calibri" w:cs="Calibri" w:eastAsia="Calibri" w:hAnsi="Calibri"/>
      <w:b/>
      <w:bCs/>
      <w:color w:val="B08D3F"/>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2026-07-18T17:15:02.663Z</dcterms:created>
  <dcterms:modified xsi:type="dcterms:W3CDTF">2026-07-18T17:15:02.676Z</dcterms:modified>
</cp:coreProperties>
</file>

<file path=docProps/custom.xml><?xml version="1.0" encoding="utf-8"?>
<Properties xmlns="http://schemas.openxmlformats.org/officeDocument/2006/custom-properties" xmlns:vt="http://schemas.openxmlformats.org/officeDocument/2006/docPropsVTypes"/>
</file>