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32A3A"/>
          <w:sz w:val="72"/>
          <w:szCs w:val="72"/>
        </w:rPr>
        <w:t xml:space="preserve">RegTrace</w:t>
      </w:r>
    </w:p>
    <w:p>
      <w:pPr>
        <w:spacing w:after="60" w:before="120"/>
        <w:jc w:val="center"/>
      </w:pPr>
      <w:r>
        <w:rPr>
          <w:rFonts w:ascii="Calibri" w:cs="Calibri" w:eastAsia="Calibri" w:hAnsi="Calibri"/>
          <w:b/>
          <w:bCs/>
          <w:color w:val="B08D3F"/>
          <w:sz w:val="28"/>
          <w:szCs w:val="28"/>
        </w:rPr>
        <w:t xml:space="preserve">Agentic Compliance: From Regulatory Text to Operational Action</w:t>
      </w:r>
    </w:p>
    <w:p>
      <w:pPr>
        <w:spacing w:after="600"/>
        <w:jc w:val="center"/>
      </w:pPr>
      <w:r>
        <w:rPr>
          <w:rFonts w:ascii="Calibri" w:cs="Calibri" w:eastAsia="Calibri" w:hAnsi="Calibri"/>
          <w:color w:val="5B6B72"/>
          <w:sz w:val="22"/>
          <w:szCs w:val="22"/>
        </w:rPr>
        <w:t xml:space="preserve">Solution Document — SEBI Securities Market TechSprint 2026, Problem Statement 2</w:t>
      </w:r>
    </w:p>
    <w:p>
      <w:pPr>
        <w:pBdr>
          <w:top w:val="single" w:color="B08D3F" w:sz="4" w:space="8"/>
          <w:bottom w:val="single" w:color="B08D3F" w:sz="4" w:space="8"/>
        </w:pBdr>
        <w:spacing w:after="300" w:before="300"/>
        <w:jc w:val="center"/>
      </w:pPr>
      <w:r>
        <w:rPr>
          <w:rFonts w:ascii="Calibri" w:cs="Calibri" w:eastAsia="Calibri" w:hAnsi="Calibri"/>
          <w:i/>
          <w:iCs/>
          <w:color w:val="132A3A"/>
          <w:sz w:val="20"/>
          <w:szCs w:val="20"/>
        </w:rPr>
        <w:t xml:space="preserve">Target intermediary: Stock Brokers   ·   Corpus: SEBI Master Circular for Stock Brokers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rPr>
          <w:rFonts w:ascii="Calibri" w:cs="Calibri" w:eastAsia="Calibri" w:hAnsi="Calibri"/>
          <w:sz w:val="22"/>
          <w:szCs w:val="22"/>
        </w:rPr>
        <w:t xml:space="preserve">RegTrace is an AI-assisted compliance pipeline that converts SEBI regulatory text — circulars, master circulars, and notifications — into a validated, evidence-linked operational checklist. Every generated task remains traceable back to the exact clause that produced it, and every state change is recorded in a tamper-evident audit log.</w:t>
      </w:r>
    </w:p>
    <w:p>
      <w:pPr>
        <w:spacing w:after="160" w:line="276"/>
      </w:pPr>
      <w:r>
        <w:rPr>
          <w:rFonts w:ascii="Calibri" w:cs="Calibri" w:eastAsia="Calibri" w:hAnsi="Calibri"/>
          <w:sz w:val="22"/>
          <w:szCs w:val="22"/>
        </w:rPr>
        <w:t xml:space="preserve">The solution targets both challenges named in the problem statement: dynamic regulatory translation (turning new or amended regulatory text into operational workflows) and ongoing compliance management (tracking obligations, evidence, and gaps over time). Rather than pursuing a large, unverifiable multi-agent architecture, RegTrace is deliberately scoped to a single, inspectable pipeline that a small team can build, test, and demonstrate live within the competition timeline.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2</w:t>
            </w:r>
          </w:p>
          <w:p>
            <w:pPr>
              <w:jc w:val="center"/>
            </w:pPr>
            <w:r>
              <w:rPr>
                <w:rFonts w:ascii="Calibri" w:cs="Calibri" w:eastAsia="Calibri" w:hAnsi="Calibri"/>
                <w:color w:val="5B6B72"/>
                <w:sz w:val="16"/>
                <w:szCs w:val="16"/>
              </w:rPr>
              <w:t xml:space="preserve">Core challenges addressed</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1</w:t>
            </w:r>
          </w:p>
          <w:p>
            <w:pPr>
              <w:jc w:val="center"/>
            </w:pPr>
            <w:r>
              <w:rPr>
                <w:rFonts w:ascii="Calibri" w:cs="Calibri" w:eastAsia="Calibri" w:hAnsi="Calibri"/>
                <w:color w:val="5B6B72"/>
                <w:sz w:val="16"/>
                <w:szCs w:val="16"/>
              </w:rPr>
              <w:t xml:space="preserve">Demonstrated intermediary category</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5</w:t>
            </w:r>
          </w:p>
          <w:p>
            <w:pPr>
              <w:jc w:val="center"/>
            </w:pPr>
            <w:r>
              <w:rPr>
                <w:rFonts w:ascii="Calibri" w:cs="Calibri" w:eastAsia="Calibri" w:hAnsi="Calibri"/>
                <w:color w:val="5B6B72"/>
                <w:sz w:val="16"/>
                <w:szCs w:val="16"/>
              </w:rPr>
              <w:t xml:space="preserve">Pipeline stages</w:t>
            </w:r>
          </w:p>
        </w:tc>
        <w:tc>
          <w:tcPr>
            <w:tcW w:type="dxa" w:w="2750"/>
            <w:shd w:fill="F5F3EE" w:val="clear"/>
            <w:tcMar>
              <w:top w:type="dxa" w:w="160"/>
              <w:left w:type="dxa" w:w="100"/>
              <w:bottom w:type="dxa" w:w="160"/>
              <w:right w:type="dxa" w:w="100"/>
            </w:tcMar>
          </w:tcPr>
          <w:p>
            <w:pPr>
              <w:jc w:val="center"/>
            </w:pPr>
            <w:r>
              <w:rPr>
                <w:rFonts w:ascii="Calibri" w:cs="Calibri" w:eastAsia="Calibri" w:hAnsi="Calibri"/>
                <w:b/>
                <w:bCs/>
                <w:color w:val="B08D3F"/>
                <w:sz w:val="32"/>
                <w:szCs w:val="32"/>
              </w:rPr>
              <w:t xml:space="preserve">100%</w:t>
            </w:r>
          </w:p>
          <w:p>
            <w:pPr>
              <w:jc w:val="center"/>
            </w:pPr>
            <w:r>
              <w:rPr>
                <w:rFonts w:ascii="Calibri" w:cs="Calibri" w:eastAsia="Calibri" w:hAnsi="Calibri"/>
                <w:color w:val="5B6B72"/>
                <w:sz w:val="16"/>
                <w:szCs w:val="16"/>
              </w:rPr>
              <w:t xml:space="preserve">Human-approved before task activation</w:t>
            </w:r>
          </w:p>
        </w:tc>
      </w:tr>
    </w:tbl>
    <w:p>
      <w:pPr>
        <w:spacing w:before="200"/>
      </w:pPr>
    </w:p>
    <w:p>
      <w:pPr>
        <w:spacing w:after="160" w:line="276"/>
      </w:pPr>
      <w:r>
        <w:rPr>
          <w:rFonts w:ascii="Calibri" w:cs="Calibri" w:eastAsia="Calibri" w:hAnsi="Calibri"/>
          <w:sz w:val="22"/>
          <w:szCs w:val="22"/>
        </w:rPr>
        <w:t xml:space="preserve">A working browser-based prototype has already been built, demonstrating the full pipeline end to end: circular ingestion, clause segmentation, obligation extraction with confidence scoring, a human review queue, automatic task generation, and a clickable clause-to-task-to-audit trace. This document describes the problem, the solution design, the system architecture, the AI workflow, the technology choices, the prototype scope, the development roadmap, and the risk assessment underpinning the submission.</w:t>
      </w:r>
    </w:p>
    <w:p>
      <w:pPr>
        <w:pStyle w:val="Heading1"/>
        <w:spacing w:after="200" w:before="400"/>
      </w:pPr>
      <w:r>
        <w:t xml:space="preserve">2. Problem Statement Recap</w:t>
      </w:r>
    </w:p>
    <w:p>
      <w:pPr>
        <w:spacing w:after="160" w:line="276"/>
      </w:pPr>
      <w:r>
        <w:rPr>
          <w:rFonts w:ascii="Calibri" w:cs="Calibri" w:eastAsia="Calibri" w:hAnsi="Calibri"/>
          <w:sz w:val="22"/>
          <w:szCs w:val="22"/>
        </w:rPr>
        <w:t xml:space="preserve">SEBI issues circulars, master circulars, notifications, and guidelines on an ongoing basis, each carrying specific obligations for market intermediaries — stockbrokers, depositories, asset management companies, registrar and transfer agents, investment advisers, and market infrastructure institutions. Two distinct but related challenges arise from this:</w:t>
      </w:r>
    </w:p>
    <w:p>
      <w:pPr>
        <w:pStyle w:val="Heading3"/>
        <w:spacing w:after="100" w:before="200"/>
      </w:pPr>
      <w:r>
        <w:t xml:space="preserve">2.1 Dynamic Regulatory Translation</w:t>
      </w:r>
    </w:p>
    <w:p>
      <w:pPr>
        <w:spacing w:after="160" w:line="276"/>
      </w:pPr>
      <w:r>
        <w:rPr>
          <w:rFonts w:ascii="Calibri" w:cs="Calibri" w:eastAsia="Calibri" w:hAnsi="Calibri"/>
          <w:sz w:val="22"/>
          <w:szCs w:val="22"/>
        </w:rPr>
        <w:t xml:space="preserve">Interpreting a new or amended regulatory requirement, mapping it to the affected intermediary's operational processes, and updating compliance workflows in a timely, consistent manner. This currently depends on manual legal interpretation and circular-by-circular tracking, resulting in uneven implementation and delayed adaptation.</w:t>
      </w:r>
    </w:p>
    <w:p>
      <w:pPr>
        <w:pStyle w:val="Heading3"/>
        <w:spacing w:after="100" w:before="200"/>
      </w:pPr>
      <w:r>
        <w:t xml:space="preserve">2.2 Ongoing Compliance Management</w:t>
      </w:r>
    </w:p>
    <w:p>
      <w:pPr>
        <w:spacing w:after="160" w:line="276"/>
      </w:pPr>
      <w:r>
        <w:rPr>
          <w:rFonts w:ascii="Calibri" w:cs="Calibri" w:eastAsia="Calibri" w:hAnsi="Calibri"/>
          <w:sz w:val="22"/>
          <w:szCs w:val="22"/>
        </w:rPr>
        <w:t xml:space="preserve">Compliance teams at intermediaries must track existing regulatory obligations, map each obligation to evidence of fulfilment, maintain audit trails, and identify and remediate gaps before they become regulatory findings — an operationally intensive, largely manual process, particularly burdensome for smaller intermediaries.</w:t>
      </w:r>
    </w:p>
    <w:p>
      <w:pPr>
        <w:spacing w:after="160" w:line="276"/>
      </w:pPr>
      <w:r>
        <w:rPr>
          <w:rFonts w:ascii="Calibri" w:cs="Calibri" w:eastAsia="Calibri" w:hAnsi="Calibri"/>
          <w:sz w:val="22"/>
          <w:szCs w:val="22"/>
        </w:rPr>
        <w:t xml:space="preserve">Both challenges share a common root: regulatory text is unstructured and human-readable, while compliance systems require structured, machine-actionable rules. Bridging this gap — transforming regulatory intent into programmable, auditable compliance logic — is the core problem RegTrace addresses.</w:t>
      </w:r>
    </w:p>
    <w:p>
      <w:pPr>
        <w:pStyle w:val="Heading1"/>
        <w:spacing w:after="200" w:before="400"/>
      </w:pPr>
      <w:r>
        <w:t xml:space="preserve">3. Proposed Solution Overview</w:t>
      </w:r>
    </w:p>
    <w:p>
      <w:pPr>
        <w:spacing w:after="160" w:line="276"/>
      </w:pPr>
      <w:r>
        <w:rPr>
          <w:rFonts w:ascii="Calibri" w:cs="Calibri" w:eastAsia="Calibri" w:hAnsi="Calibri"/>
          <w:sz w:val="22"/>
          <w:szCs w:val="22"/>
        </w:rPr>
        <w:t xml:space="preserve">RegTrace ingests a regulatory document, segments it into individually addressable clauses, extracts candidate compliance obligations from each clause using a structured-output AI extraction step, and routes every extraction through a mandatory human review queue before it can become an active compliance task. Approved obligations generate tasks with an owner, deadline or recurrence, and required evidence type. Every action — extraction, approval, edit, rejection, task generation, task completion — is appended to a hash-chained, tamper-evident audit log.</w:t>
      </w:r>
    </w:p>
    <w:p>
      <w:pPr>
        <w:pStyle w:val="Heading2"/>
        <w:spacing w:after="150" w:before="300"/>
      </w:pPr>
      <w:r>
        <w:t xml:space="preserve">3.1 Design Principles</w:t>
      </w:r>
    </w:p>
    <w:p>
      <w:pPr>
        <w:pStyle w:val="ListParagraph"/>
        <w:numPr>
          <w:ilvl w:val="0"/>
          <w:numId w:val="2"/>
        </w:numPr>
        <w:spacing w:after="80"/>
      </w:pPr>
      <w:r>
        <w:rPr>
          <w:rFonts w:ascii="Calibri" w:cs="Calibri" w:eastAsia="Calibri" w:hAnsi="Calibri"/>
          <w:sz w:val="22"/>
          <w:szCs w:val="22"/>
        </w:rPr>
        <w:t xml:space="preserve">Traceability over abstraction — every task is one click away from the exact clause that produced it.</w:t>
      </w:r>
    </w:p>
    <w:p>
      <w:pPr>
        <w:pStyle w:val="ListParagraph"/>
        <w:numPr>
          <w:ilvl w:val="0"/>
          <w:numId w:val="2"/>
        </w:numPr>
        <w:spacing w:after="80"/>
      </w:pPr>
      <w:r>
        <w:rPr>
          <w:rFonts w:ascii="Calibri" w:cs="Calibri" w:eastAsia="Calibri" w:hAnsi="Calibri"/>
          <w:sz w:val="22"/>
          <w:szCs w:val="22"/>
        </w:rPr>
        <w:t xml:space="preserve">Human accountability by design — no obligation is binding until a compliance officer approves it; this is the system's core trust mechanism, not an afterthought.</w:t>
      </w:r>
    </w:p>
    <w:p>
      <w:pPr>
        <w:pStyle w:val="ListParagraph"/>
        <w:numPr>
          <w:ilvl w:val="0"/>
          <w:numId w:val="2"/>
        </w:numPr>
        <w:spacing w:after="80"/>
      </w:pPr>
      <w:r>
        <w:rPr>
          <w:rFonts w:ascii="Calibri" w:cs="Calibri" w:eastAsia="Calibri" w:hAnsi="Calibri"/>
          <w:sz w:val="22"/>
          <w:szCs w:val="22"/>
        </w:rPr>
        <w:t xml:space="preserve">Honest claims — confidence scores, extraction accuracy, and audit-log guarantees are stated as what they technically are (tamper-evident hash chaining, not "immutable" blockchain) rather than oversold.</w:t>
      </w:r>
    </w:p>
    <w:p>
      <w:pPr>
        <w:pStyle w:val="ListParagraph"/>
        <w:numPr>
          <w:ilvl w:val="0"/>
          <w:numId w:val="2"/>
        </w:numPr>
        <w:spacing w:after="80"/>
      </w:pPr>
      <w:r>
        <w:rPr>
          <w:rFonts w:ascii="Calibri" w:cs="Calibri" w:eastAsia="Calibri" w:hAnsi="Calibri"/>
          <w:sz w:val="22"/>
          <w:szCs w:val="22"/>
        </w:rPr>
        <w:t xml:space="preserve">Scoped for delivery — a single linear pipeline that a small team can fully build and demonstrate, rather than a wide surface of partially-built features.</w:t>
      </w:r>
    </w:p>
    <w:p>
      <w:pPr>
        <w:pStyle w:val="Heading2"/>
        <w:spacing w:after="150" w:before="300"/>
      </w:pPr>
      <w:r>
        <w:t xml:space="preserve">3.2 High-Level Workflow</w:t>
      </w:r>
    </w:p>
    <w:p>
      <w:pPr>
        <w:spacing w:after="160" w:line="276"/>
      </w:pPr>
      <w:r>
        <w:rPr>
          <w:rFonts w:ascii="Calibri" w:cs="Calibri" w:eastAsia="Calibri" w:hAnsi="Calibri"/>
          <w:i/>
          <w:iCs/>
          <w:color w:val="5B6B72"/>
          <w:sz w:val="22"/>
          <w:szCs w:val="22"/>
        </w:rPr>
        <w:t xml:space="preserve">SEBI Circular  →  Clause Segmentation  →  AI Obligation Extraction (with confidence scoring)  →  Human Review Queue (approve / edit / reject)  →  Task Generation  →  Evidence &amp; Completion Tracking  →  Tamper-Evident Audit Log  →  Compliance Dashboard</w:t>
      </w:r>
    </w:p>
    <w:p>
      <w:pPr>
        <w:pStyle w:val="Heading1"/>
        <w:spacing w:after="200" w:before="400"/>
      </w:pPr>
      <w:r>
        <w:t xml:space="preserve">4. System Architecture</w:t>
      </w:r>
    </w:p>
    <w:p>
      <w:pPr>
        <w:spacing w:after="160" w:line="276"/>
      </w:pPr>
      <w:r>
        <w:rPr>
          <w:rFonts w:ascii="Calibri" w:cs="Calibri" w:eastAsia="Calibri" w:hAnsi="Calibri"/>
          <w:sz w:val="22"/>
          <w:szCs w:val="22"/>
        </w:rPr>
        <w:t xml:space="preserve">The production architecture is organized into five layers: a frontend for upload, review, and dashboard interaction; an API gateway; an extraction pipeline; a task/workflow service; and a persistence layer combining a relational store, a vector store for retrieval, and an append-only audit log.</w:t>
      </w:r>
    </w:p>
    <w:p>
      <w:pPr>
        <w:pStyle w:val="Heading2"/>
        <w:spacing w:after="150" w:before="300"/>
      </w:pPr>
      <w:r>
        <w:t xml:space="preserve">4.1 Component Overview</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3600"/>
      </w:tblGrid>
      <w:tr>
        <w:trPr>
          <w:tblHeader/>
        </w:trPr>
        <w:tc>
          <w:tcPr>
            <w:tcW w:type="dxa" w:w="2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4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c>
          <w:tcPr>
            <w:tcW w:type="dxa" w:w="3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Frontend</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 circulars, review queue UI, clause↔task trace view, dashboard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Single-page app, role-aware (Officer / Viewer)</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API Gateway (FastAPI)</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 request routing, validation</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JWT-based auth in prototype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Ingestion Service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PDF/text parsing, clause/section detection, metadata tagging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Clause-boundary aware chunking, not fixed-token chunking</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Extraction Pipeline</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 generation, structured-output obligation extraction, confidence scoring</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call constrained to a strict JSON schema</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Task/Workflow Service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CRUD, assignment, status tracking, evidence linkage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Deterministic mapping from approved obligation to task</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 of record: circulars, clauses, obligations, tasks, evidence, audit_log</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Relational model reflects the genuinely relational obligation chain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Vector Store (pgvector)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 embeddings for retrieval/search</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Used for search &amp; Q&amp;A, not for extraction grounding</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Audit Log Service</w:t>
            </w:r>
          </w:p>
        </w:tc>
        <w:tc>
          <w:tcPr>
            <w:tcW w:type="dxa" w:w="4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Append-only, hash-chained state history</w:t>
            </w:r>
          </w:p>
        </w:tc>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Each entry's hash includes the prior entry's hash</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Background Worker (Celery/Redis)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Async LLM calls, scheduled deadline monitoring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Decouples slow LLM calls from the request path</w:t>
            </w:r>
          </w:p>
        </w:tc>
      </w:tr>
    </w:tbl>
    <w:p>
      <w:pPr>
        <w:spacing w:before="200"/>
      </w:pPr>
    </w:p>
    <w:p>
      <w:pPr>
        <w:pStyle w:val="Heading2"/>
        <w:spacing w:after="150" w:before="300"/>
      </w:pPr>
      <w:r>
        <w:t xml:space="preserve">4.2 Data Flow</w:t>
      </w:r>
    </w:p>
    <w:p>
      <w:pPr>
        <w:spacing w:after="160" w:line="276"/>
      </w:pPr>
      <w:r>
        <w:rPr>
          <w:rFonts w:ascii="Calibri" w:cs="Calibri" w:eastAsia="Calibri" w:hAnsi="Calibri"/>
          <w:sz w:val="22"/>
          <w:szCs w:val="22"/>
        </w:rPr>
        <w:t xml:space="preserve">A regulatory document is uploaded and parsed into clause records preserving original numbering. Each clause is embedded and stored for search, and independently sent through the extraction step, which returns a structured obligation object with a confidence score and citation back to the source clause. Obligations enter a pending-review state. A compliance officer approves, edits, or rejects each one; only approved obligations generate a task record. Task state changes (assignment, evidence upload, completion) and every obligation-state change are appended to the audit log, each entry linked by hash to the previous entry. The dashboard aggregates current state across all of these tables in real time.</w:t>
      </w:r>
    </w:p>
    <w:p>
      <w:pPr>
        <w:pStyle w:val="Heading2"/>
        <w:spacing w:after="150" w:before="300"/>
      </w:pPr>
      <w:r>
        <w:t xml:space="preserve">4.3 Deployment</w:t>
      </w:r>
    </w:p>
    <w:p>
      <w:pPr>
        <w:spacing w:after="160" w:line="276"/>
      </w:pPr>
      <w:r>
        <w:rPr>
          <w:rFonts w:ascii="Calibri" w:cs="Calibri" w:eastAsia="Calibri" w:hAnsi="Calibri"/>
          <w:sz w:val="22"/>
          <w:szCs w:val="22"/>
        </w:rPr>
        <w:t xml:space="preserve">The prototype runs as a Docker Compose stack (frontend, API, worker, Postgres, Redis) deployable to a single cloud VM. This intentionally avoids Kubernetes-level infrastructure complexity, which would not improve the demo and would consume build time better spent on the extraction pipeline and review UI.</w:t>
      </w:r>
    </w:p>
    <w:p>
      <w:pPr>
        <w:pStyle w:val="Heading1"/>
        <w:spacing w:after="200" w:before="400"/>
      </w:pPr>
      <w:r>
        <w:t xml:space="preserve">5. AI Workflow</w:t>
      </w:r>
    </w:p>
    <w:p>
      <w:pPr>
        <w:spacing w:after="160" w:line="276"/>
      </w:pPr>
      <w:r>
        <w:rPr>
          <w:rFonts w:ascii="Calibri" w:cs="Calibri" w:eastAsia="Calibri" w:hAnsi="Calibri"/>
          <w:sz w:val="22"/>
          <w:szCs w:val="22"/>
        </w:rPr>
        <w:t xml:space="preserve">Each AI component is included because it addresses a specific, named requirement in the problem statement — not to maximize technical surface area.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200"/>
      </w:tblGrid>
      <w:tr>
        <w:trPr>
          <w:tblHeader/>
        </w:trPr>
        <w:tc>
          <w:tcPr>
            <w:tcW w:type="dxa" w:w="2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5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does</w:t>
            </w:r>
          </w:p>
        </w:tc>
        <w:tc>
          <w:tcPr>
            <w:tcW w:type="dxa" w:w="3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Ingestion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Extracts text and preserves clause/section numbering from digitally-native PDFs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SEBI master circulars are digitally native; OCR is unnecessary for this corpus and is deferred to the roadmap</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Chunking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Segments by clause/sub-clause boundary using numbering patterns, not fixed token windows</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Preserves legal unit integrity; fixed-size chunking risks splitting an obligation mid-sentence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Generates a vector per clause using a lightweight sentence-embedding model</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Sufficient for corpus sizes at this scale; supports search without added infrastructure cost</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Retrieval (RAG)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Powers clause search / Q&amp;A, not the extraction path itself</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 extraction reads the full assigned clause directly, keeping the extraction path direct and auditable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 Extraction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Structured JSON output per clause: obligation text, applicable entity, deadline/frequency, penalty reference, confidence, ambiguity flags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single most important AI component — structured, not free-text, output is what makes downstream task generation and audit traceability possible</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Confidence Scoring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self-reported confidence, cross-checked against heuristics (modal-verb presence, clause length, cross-reference count)</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Cheap, explainable, and catches the clearest signals of ambiguity</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Human-in-the-Loop Review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Compliance officer approves, edits, or rejects each extracted obligation before it becomes a task</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Non-negotiable accountability mechanism; answers "who is responsible if the AI is wrong"</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Generation</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Deterministic mapping from an approved obligation to a task record</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Avoids a second unbounded LLM call once the obligation is already validated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Risk/Priority Tagging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Rule-based tag from penalty-severity keywords and deadline proximity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Transparent and explainable; a trained risk model is not justified at prototype data volumes</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Continuous Monitoring</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Scheduled job flags tasks nearing or past deadline</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Directly answers the "ongoing compliance management" challenge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Regulatory Update Handling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Diffs a newly uploaded circular against prior versions covering the same sections; flags likely-superseded obligations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Directly answers the "dynamic regulatory translation" challenge; framed as semi-automated in the prototype</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Explainability</w:t>
            </w:r>
          </w:p>
        </w:tc>
        <w:tc>
          <w:tcPr>
            <w:tcW w:type="dxa" w:w="5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Every task links to its exact source clause and shows the extraction's stated rationale</w:t>
            </w:r>
          </w:p>
        </w:tc>
        <w:tc>
          <w:tcPr>
            <w:tcW w:type="dxa" w:w="3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Concrete, clickable explainability rather than an abstract XAI claim</w:t>
            </w:r>
          </w:p>
        </w:tc>
      </w:tr>
    </w:tbl>
    <w:p>
      <w:pPr>
        <w:pStyle w:val="Heading1"/>
        <w:spacing w:after="200" w:before="400"/>
      </w:pPr>
      <w:r>
        <w:t xml:space="preserve">6. Core Data Model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3000"/>
      </w:tblGrid>
      <w:tr>
        <w:trPr>
          <w:tblHeader/>
        </w:trPr>
        <w:tc>
          <w:tcPr>
            <w:tcW w:type="dxa" w:w="2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Entity</w:t>
            </w:r>
          </w:p>
        </w:tc>
        <w:tc>
          <w:tcPr>
            <w:tcW w:type="dxa" w:w="6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Fields</w:t>
            </w:r>
          </w:p>
        </w:tc>
        <w:tc>
          <w:tcPr>
            <w:tcW w:type="dxa" w:w="3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Relationship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Circular</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title, version, upload_date, supersedes_id</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Has many Clauses</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w:t>
            </w:r>
          </w:p>
        </w:tc>
        <w:tc>
          <w:tcPr>
            <w:tcW w:type="dxa" w:w="6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circular_id, number, text, section</w:t>
            </w:r>
          </w:p>
        </w:tc>
        <w:tc>
          <w:tcPr>
            <w:tcW w:type="dxa" w:w="3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Has zero or one Obligation candidates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Obligation</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clause_id, text, entity, deadline, frequency, evidence_type, confidence, ambiguity_flags, status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Belongs to Clause; has zero or one Task</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w:t>
            </w:r>
          </w:p>
        </w:tc>
        <w:tc>
          <w:tcPr>
            <w:tcW w:type="dxa" w:w="6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obligation_id, title, owner, deadline, frequency, evidence_type, priority, status</w:t>
            </w:r>
          </w:p>
        </w:tc>
        <w:tc>
          <w:tcPr>
            <w:tcW w:type="dxa" w:w="3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Belongs to Obligation; has many Evidence records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Evidence</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task_id, file_ref, uploaded_by, uploaded_at</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Belongs to Task</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Audit Log Entry</w:t>
            </w:r>
          </w:p>
        </w:tc>
        <w:tc>
          <w:tcPr>
            <w:tcW w:type="dxa" w:w="6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seq, timestamp, action, details, prev_hash, hash</w:t>
            </w:r>
          </w:p>
        </w:tc>
        <w:tc>
          <w:tcPr>
            <w:tcW w:type="dxa" w:w="3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References Obligation and/or Task ids in its details payload</w:t>
            </w:r>
          </w:p>
        </w:tc>
      </w:tr>
    </w:tbl>
    <w:p>
      <w:pPr>
        <w:pStyle w:val="Heading1"/>
        <w:spacing w:after="200" w:before="400"/>
      </w:pPr>
      <w:r>
        <w:t xml:space="preserve">7. Core Features</w:t>
      </w:r>
    </w:p>
    <w:p>
      <w:pPr>
        <w:pStyle w:val="Heading2"/>
        <w:spacing w:after="150" w:before="300"/>
      </w:pPr>
      <w:r>
        <w:t xml:space="preserve">7.1 Must-Have (built in the prototype)</w:t>
      </w:r>
    </w:p>
    <w:p>
      <w:pPr>
        <w:pStyle w:val="ListParagraph"/>
        <w:numPr>
          <w:ilvl w:val="0"/>
          <w:numId w:val="2"/>
        </w:numPr>
        <w:spacing w:after="80"/>
      </w:pPr>
      <w:r>
        <w:rPr>
          <w:rFonts w:ascii="Calibri" w:cs="Calibri" w:eastAsia="Calibri" w:hAnsi="Calibri"/>
          <w:sz w:val="22"/>
          <w:szCs w:val="22"/>
        </w:rPr>
        <w:t xml:space="preserve">Circular upload and clause segmentation</w:t>
      </w:r>
    </w:p>
    <w:p>
      <w:pPr>
        <w:pStyle w:val="ListParagraph"/>
        <w:numPr>
          <w:ilvl w:val="0"/>
          <w:numId w:val="2"/>
        </w:numPr>
        <w:spacing w:after="80"/>
      </w:pPr>
      <w:r>
        <w:rPr>
          <w:rFonts w:ascii="Calibri" w:cs="Calibri" w:eastAsia="Calibri" w:hAnsi="Calibri"/>
          <w:sz w:val="22"/>
          <w:szCs w:val="22"/>
        </w:rPr>
        <w:t xml:space="preserve">AI-based obligation extraction with confidence scoring</w:t>
      </w:r>
    </w:p>
    <w:p>
      <w:pPr>
        <w:pStyle w:val="ListParagraph"/>
        <w:numPr>
          <w:ilvl w:val="0"/>
          <w:numId w:val="2"/>
        </w:numPr>
        <w:spacing w:after="80"/>
      </w:pPr>
      <w:r>
        <w:rPr>
          <w:rFonts w:ascii="Calibri" w:cs="Calibri" w:eastAsia="Calibri" w:hAnsi="Calibri"/>
          <w:sz w:val="22"/>
          <w:szCs w:val="22"/>
        </w:rPr>
        <w:t xml:space="preserve">Human review queue (approve / edit / reject)</w:t>
      </w:r>
    </w:p>
    <w:p>
      <w:pPr>
        <w:pStyle w:val="ListParagraph"/>
        <w:numPr>
          <w:ilvl w:val="0"/>
          <w:numId w:val="2"/>
        </w:numPr>
        <w:spacing w:after="80"/>
      </w:pPr>
      <w:r>
        <w:rPr>
          <w:rFonts w:ascii="Calibri" w:cs="Calibri" w:eastAsia="Calibri" w:hAnsi="Calibri"/>
          <w:sz w:val="22"/>
          <w:szCs w:val="22"/>
        </w:rPr>
        <w:t xml:space="preserve">Automatic task generation from approved obligations</w:t>
      </w:r>
    </w:p>
    <w:p>
      <w:pPr>
        <w:pStyle w:val="ListParagraph"/>
        <w:numPr>
          <w:ilvl w:val="0"/>
          <w:numId w:val="2"/>
        </w:numPr>
        <w:spacing w:after="80"/>
      </w:pPr>
      <w:r>
        <w:rPr>
          <w:rFonts w:ascii="Calibri" w:cs="Calibri" w:eastAsia="Calibri" w:hAnsi="Calibri"/>
          <w:sz w:val="22"/>
          <w:szCs w:val="22"/>
        </w:rPr>
        <w:t xml:space="preserve">Clickable clause → obligation → task → audit-log trace view</w:t>
      </w:r>
    </w:p>
    <w:p>
      <w:pPr>
        <w:pStyle w:val="ListParagraph"/>
        <w:numPr>
          <w:ilvl w:val="0"/>
          <w:numId w:val="2"/>
        </w:numPr>
        <w:spacing w:after="80"/>
      </w:pPr>
      <w:r>
        <w:rPr>
          <w:rFonts w:ascii="Calibri" w:cs="Calibri" w:eastAsia="Calibri" w:hAnsi="Calibri"/>
          <w:sz w:val="22"/>
          <w:szCs w:val="22"/>
        </w:rPr>
        <w:t xml:space="preserve">Compliance dashboard (pending / approved / overdue counts)</w:t>
      </w:r>
    </w:p>
    <w:p>
      <w:pPr>
        <w:pStyle w:val="ListParagraph"/>
        <w:numPr>
          <w:ilvl w:val="0"/>
          <w:numId w:val="2"/>
        </w:numPr>
        <w:spacing w:after="80"/>
      </w:pPr>
      <w:r>
        <w:rPr>
          <w:rFonts w:ascii="Calibri" w:cs="Calibri" w:eastAsia="Calibri" w:hAnsi="Calibri"/>
          <w:sz w:val="22"/>
          <w:szCs w:val="22"/>
        </w:rPr>
        <w:t xml:space="preserve">Hash-chained, tamper-evident audit log</w:t>
      </w:r>
    </w:p>
    <w:p>
      <w:pPr>
        <w:pStyle w:val="Heading2"/>
        <w:spacing w:after="150" w:before="300"/>
      </w:pPr>
      <w:r>
        <w:t xml:space="preserve">7.2 Important (build if time allows)</w:t>
      </w:r>
    </w:p>
    <w:p>
      <w:pPr>
        <w:pStyle w:val="ListParagraph"/>
        <w:numPr>
          <w:ilvl w:val="0"/>
          <w:numId w:val="2"/>
        </w:numPr>
        <w:spacing w:after="80"/>
      </w:pPr>
      <w:r>
        <w:rPr>
          <w:rFonts w:ascii="Calibri" w:cs="Calibri" w:eastAsia="Calibri" w:hAnsi="Calibri"/>
          <w:sz w:val="22"/>
          <w:szCs w:val="22"/>
        </w:rPr>
        <w:t xml:space="preserve">Evidence file upload against a task</w:t>
      </w:r>
    </w:p>
    <w:p>
      <w:pPr>
        <w:pStyle w:val="ListParagraph"/>
        <w:numPr>
          <w:ilvl w:val="0"/>
          <w:numId w:val="2"/>
        </w:numPr>
        <w:spacing w:after="80"/>
      </w:pPr>
      <w:r>
        <w:rPr>
          <w:rFonts w:ascii="Calibri" w:cs="Calibri" w:eastAsia="Calibri" w:hAnsi="Calibri"/>
          <w:sz w:val="22"/>
          <w:szCs w:val="22"/>
        </w:rPr>
        <w:t xml:space="preserve">Rule-based risk/priority tagging</w:t>
      </w:r>
    </w:p>
    <w:p>
      <w:pPr>
        <w:pStyle w:val="ListParagraph"/>
        <w:numPr>
          <w:ilvl w:val="0"/>
          <w:numId w:val="2"/>
        </w:numPr>
        <w:spacing w:after="80"/>
      </w:pPr>
      <w:r>
        <w:rPr>
          <w:rFonts w:ascii="Calibri" w:cs="Calibri" w:eastAsia="Calibri" w:hAnsi="Calibri"/>
          <w:sz w:val="22"/>
          <w:szCs w:val="22"/>
        </w:rPr>
        <w:t xml:space="preserve">Regulatory-update diff between circular versions</w:t>
      </w:r>
    </w:p>
    <w:p>
      <w:pPr>
        <w:pStyle w:val="ListParagraph"/>
        <w:numPr>
          <w:ilvl w:val="0"/>
          <w:numId w:val="2"/>
        </w:numPr>
        <w:spacing w:after="80"/>
      </w:pPr>
      <w:r>
        <w:rPr>
          <w:rFonts w:ascii="Calibri" w:cs="Calibri" w:eastAsia="Calibri" w:hAnsi="Calibri"/>
          <w:sz w:val="22"/>
          <w:szCs w:val="22"/>
        </w:rPr>
        <w:t xml:space="preserve">Role-based access (Compliance Officer vs. Viewer)</w:t>
      </w:r>
    </w:p>
    <w:p>
      <w:pPr>
        <w:pStyle w:val="Heading2"/>
        <w:spacing w:after="150" w:before="300"/>
      </w:pPr>
      <w:r>
        <w:t xml:space="preserve">7.3 Nice-to-Have (roadmap only)</w:t>
      </w:r>
    </w:p>
    <w:p>
      <w:pPr>
        <w:pStyle w:val="ListParagraph"/>
        <w:numPr>
          <w:ilvl w:val="0"/>
          <w:numId w:val="2"/>
        </w:numPr>
        <w:spacing w:after="80"/>
      </w:pPr>
      <w:r>
        <w:rPr>
          <w:rFonts w:ascii="Calibri" w:cs="Calibri" w:eastAsia="Calibri" w:hAnsi="Calibri"/>
          <w:sz w:val="22"/>
          <w:szCs w:val="22"/>
        </w:rPr>
        <w:t xml:space="preserve">Full knowledge-graph representation (Neo4j)</w:t>
      </w:r>
    </w:p>
    <w:p>
      <w:pPr>
        <w:pStyle w:val="ListParagraph"/>
        <w:numPr>
          <w:ilvl w:val="0"/>
          <w:numId w:val="2"/>
        </w:numPr>
        <w:spacing w:after="80"/>
      </w:pPr>
      <w:r>
        <w:rPr>
          <w:rFonts w:ascii="Calibri" w:cs="Calibri" w:eastAsia="Calibri" w:hAnsi="Calibri"/>
          <w:sz w:val="22"/>
          <w:szCs w:val="22"/>
        </w:rPr>
        <w:t xml:space="preserve">Multi-intermediary corpus support (AMCs, RTAs, investment advisers)</w:t>
      </w:r>
    </w:p>
    <w:p>
      <w:pPr>
        <w:pStyle w:val="ListParagraph"/>
        <w:numPr>
          <w:ilvl w:val="0"/>
          <w:numId w:val="2"/>
        </w:numPr>
        <w:spacing w:after="80"/>
      </w:pPr>
      <w:r>
        <w:rPr>
          <w:rFonts w:ascii="Calibri" w:cs="Calibri" w:eastAsia="Calibri" w:hAnsi="Calibri"/>
          <w:sz w:val="22"/>
          <w:szCs w:val="22"/>
        </w:rPr>
        <w:t xml:space="preserve">Predictive, ML-trained compliance risk scoring</w:t>
      </w:r>
    </w:p>
    <w:p>
      <w:pPr>
        <w:pStyle w:val="ListParagraph"/>
        <w:numPr>
          <w:ilvl w:val="0"/>
          <w:numId w:val="2"/>
        </w:numPr>
        <w:spacing w:after="80"/>
      </w:pPr>
      <w:r>
        <w:rPr>
          <w:rFonts w:ascii="Calibri" w:cs="Calibri" w:eastAsia="Calibri" w:hAnsi="Calibri"/>
          <w:sz w:val="22"/>
          <w:szCs w:val="22"/>
        </w:rPr>
        <w:t xml:space="preserve">Email/Slack deadline alerting</w:t>
      </w:r>
    </w:p>
    <w:p>
      <w:pPr>
        <w:pStyle w:val="ListParagraph"/>
        <w:numPr>
          <w:ilvl w:val="0"/>
          <w:numId w:val="2"/>
        </w:numPr>
        <w:spacing w:after="80"/>
      </w:pPr>
      <w:r>
        <w:rPr>
          <w:rFonts w:ascii="Calibri" w:cs="Calibri" w:eastAsia="Calibri" w:hAnsi="Calibri"/>
          <w:sz w:val="22"/>
          <w:szCs w:val="22"/>
        </w:rPr>
        <w:t xml:space="preserve">Full OCR pipeline for scanned notifications</w:t>
      </w:r>
    </w:p>
    <w:p>
      <w:pPr>
        <w:pStyle w:val="Heading1"/>
        <w:spacing w:after="200" w:before="400"/>
      </w:pPr>
      <w:r>
        <w:t xml:space="preserve">8. Technology Stack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600"/>
      </w:tblGrid>
      <w:tr>
        <w:trPr>
          <w:tblHeader/>
        </w:trPr>
        <w:tc>
          <w:tcPr>
            <w:tcW w:type="dxa" w:w="2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4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Choice</w:t>
            </w:r>
          </w:p>
        </w:tc>
        <w:tc>
          <w:tcPr>
            <w:tcW w:type="dxa" w:w="4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 Tailwind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Fast to build; polished UI expected by judges</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Python + FastAPI</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Async-friendly; natural fit with the AI/Python ecosystem; auto-generated API docs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Primary Database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obligation chain is genuinely relational at this scale; simpler to build and debug than a graph database under time pressure</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Vector Store</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pgvector (Postgres extension)</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 RAG capability without running a second database service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Queue / Cache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Redis + Celery</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Standard, well-documented; decouples slow LLM calls from the request path</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Open-weight model via an India-available endpoint, or a hosted API with disclosed data handling</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residency and cost control stated explicitly as a design decision, not left unaddressed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Embeddings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all-MiniLM-L6-v2 (sentence-transformers)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Free, fast, local, sufficient for single-circular corpus size</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OCR</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used in prototype (pytesseract recommended for roadmap)</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Master circulars are digitally native; OCR adds build time without demo value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Lightweight, sufficient for a demo, upgradeable to SSO later</w:t>
            </w:r>
          </w:p>
        </w:tc>
      </w:tr>
      <w:tr>
        <w:tc>
          <w:tcPr>
            <w:tcW w:type="dxa" w:w="2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Deployment</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Docker Compose on a single VM</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Kubernetes needed at this scale; priority is a reliably working live demo</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Monitoring / Logging</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Structured logs + basic health/metrics endpoint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Enough to show operational awareness without consuming a build week</w:t>
            </w:r>
          </w:p>
        </w:tc>
      </w:tr>
    </w:tbl>
    <w:p>
      <w:pPr>
        <w:pStyle w:val="Heading1"/>
        <w:spacing w:after="200" w:before="400"/>
      </w:pPr>
      <w:r>
        <w:t xml:space="preserve">9. Prototype Status</w:t>
      </w:r>
    </w:p>
    <w:p>
      <w:pPr>
        <w:spacing w:after="160" w:line="276"/>
      </w:pPr>
      <w:r>
        <w:rPr>
          <w:rFonts w:ascii="Calibri" w:cs="Calibri" w:eastAsia="Calibri" w:hAnsi="Calibri"/>
          <w:sz w:val="22"/>
          <w:szCs w:val="22"/>
        </w:rPr>
        <w:t xml:space="preserve">A functional browser-based prototype has been built and demonstrates the complete Must-Have feature set end to end, using a rule-based extraction heuristic as a stand-in for the production LLM call. The heuristic and the LLM call share the same structured-output contract (obligation text, entity, deadline/frequency, confidence score, ambiguity flags), so swapping in a live model call is a configuration change, not an architecture change.</w:t>
      </w:r>
    </w:p>
    <w:p>
      <w:pPr>
        <w:pStyle w:val="Heading2"/>
        <w:spacing w:after="150" w:before="300"/>
      </w:pPr>
      <w:r>
        <w:t xml:space="preserve">9.1 What Is Demonstrated Live</w:t>
      </w:r>
    </w:p>
    <w:p>
      <w:pPr>
        <w:pStyle w:val="ListParagraph"/>
        <w:numPr>
          <w:ilvl w:val="0"/>
          <w:numId w:val="2"/>
        </w:numPr>
        <w:spacing w:after="80"/>
      </w:pPr>
      <w:r>
        <w:rPr>
          <w:rFonts w:ascii="Calibri" w:cs="Calibri" w:eastAsia="Calibri" w:hAnsi="Calibri"/>
          <w:sz w:val="22"/>
          <w:szCs w:val="22"/>
        </w:rPr>
        <w:t xml:space="preserve">Ingestion of a clause-numbered circular extract, with automatic segmentation into individually addressable clauses</w:t>
      </w:r>
    </w:p>
    <w:p>
      <w:pPr>
        <w:pStyle w:val="ListParagraph"/>
        <w:numPr>
          <w:ilvl w:val="0"/>
          <w:numId w:val="2"/>
        </w:numPr>
        <w:spacing w:after="80"/>
      </w:pPr>
      <w:r>
        <w:rPr>
          <w:rFonts w:ascii="Calibri" w:cs="Calibri" w:eastAsia="Calibri" w:hAnsi="Calibri"/>
          <w:sz w:val="22"/>
          <w:szCs w:val="22"/>
        </w:rPr>
        <w:t xml:space="preserve">Extraction of candidate obligations with a confidence score and stated extraction rationale per clause</w:t>
      </w:r>
    </w:p>
    <w:p>
      <w:pPr>
        <w:pStyle w:val="ListParagraph"/>
        <w:numPr>
          <w:ilvl w:val="0"/>
          <w:numId w:val="2"/>
        </w:numPr>
        <w:spacing w:after="80"/>
      </w:pPr>
      <w:r>
        <w:rPr>
          <w:rFonts w:ascii="Calibri" w:cs="Calibri" w:eastAsia="Calibri" w:hAnsi="Calibri"/>
          <w:sz w:val="22"/>
          <w:szCs w:val="22"/>
        </w:rPr>
        <w:t xml:space="preserve">Ambiguity flagging for cross-referenced, discretionary, or timeline-less clauses</w:t>
      </w:r>
    </w:p>
    <w:p>
      <w:pPr>
        <w:pStyle w:val="ListParagraph"/>
        <w:numPr>
          <w:ilvl w:val="0"/>
          <w:numId w:val="2"/>
        </w:numPr>
        <w:spacing w:after="80"/>
      </w:pPr>
      <w:r>
        <w:rPr>
          <w:rFonts w:ascii="Calibri" w:cs="Calibri" w:eastAsia="Calibri" w:hAnsi="Calibri"/>
          <w:sz w:val="22"/>
          <w:szCs w:val="22"/>
        </w:rPr>
        <w:t xml:space="preserve">A human review queue where every obligation must be approved, edited, or rejected before becoming a task</w:t>
      </w:r>
    </w:p>
    <w:p>
      <w:pPr>
        <w:pStyle w:val="ListParagraph"/>
        <w:numPr>
          <w:ilvl w:val="0"/>
          <w:numId w:val="2"/>
        </w:numPr>
        <w:spacing w:after="80"/>
      </w:pPr>
      <w:r>
        <w:rPr>
          <w:rFonts w:ascii="Calibri" w:cs="Calibri" w:eastAsia="Calibri" w:hAnsi="Calibri"/>
          <w:sz w:val="22"/>
          <w:szCs w:val="22"/>
        </w:rPr>
        <w:t xml:space="preserve">Automatic task generation with owner, frequency, deadline, evidence type, and priority</w:t>
      </w:r>
    </w:p>
    <w:p>
      <w:pPr>
        <w:pStyle w:val="ListParagraph"/>
        <w:numPr>
          <w:ilvl w:val="0"/>
          <w:numId w:val="2"/>
        </w:numPr>
        <w:spacing w:after="80"/>
      </w:pPr>
      <w:r>
        <w:rPr>
          <w:rFonts w:ascii="Calibri" w:cs="Calibri" w:eastAsia="Calibri" w:hAnsi="Calibri"/>
          <w:sz w:val="22"/>
          <w:szCs w:val="22"/>
        </w:rPr>
        <w:t xml:space="preserve">A clickable trace view connecting a task back through its obligation to its source clause and full audit history</w:t>
      </w:r>
    </w:p>
    <w:p>
      <w:pPr>
        <w:pStyle w:val="ListParagraph"/>
        <w:numPr>
          <w:ilvl w:val="0"/>
          <w:numId w:val="2"/>
        </w:numPr>
        <w:spacing w:after="80"/>
      </w:pPr>
      <w:r>
        <w:rPr>
          <w:rFonts w:ascii="Calibri" w:cs="Calibri" w:eastAsia="Calibri" w:hAnsi="Calibri"/>
          <w:sz w:val="22"/>
          <w:szCs w:val="22"/>
        </w:rPr>
        <w:t xml:space="preserve">A hash-chained audit log where each entry's hash incorporates the previous entry's hash, making retroactive tampering detectable</w:t>
      </w:r>
    </w:p>
    <w:p>
      <w:pPr>
        <w:pStyle w:val="ListParagraph"/>
        <w:numPr>
          <w:ilvl w:val="0"/>
          <w:numId w:val="2"/>
        </w:numPr>
        <w:spacing w:after="80"/>
      </w:pPr>
      <w:r>
        <w:rPr>
          <w:rFonts w:ascii="Calibri" w:cs="Calibri" w:eastAsia="Calibri" w:hAnsi="Calibri"/>
          <w:sz w:val="22"/>
          <w:szCs w:val="22"/>
        </w:rPr>
        <w:t xml:space="preserve">A live dashboard of clause, obligation, and task counts and average extraction confidence</w:t>
      </w:r>
    </w:p>
    <w:p>
      <w:pPr>
        <w:pStyle w:val="Heading2"/>
        <w:spacing w:after="150" w:before="300"/>
      </w:pPr>
      <w:r>
        <w:t xml:space="preserve">9.2 Known Limitations, Stated Honestly</w:t>
      </w:r>
    </w:p>
    <w:p>
      <w:pPr>
        <w:pStyle w:val="ListParagraph"/>
        <w:numPr>
          <w:ilvl w:val="0"/>
          <w:numId w:val="2"/>
        </w:numPr>
        <w:spacing w:after="80"/>
      </w:pPr>
      <w:r>
        <w:rPr>
          <w:rFonts w:ascii="Calibri" w:cs="Calibri" w:eastAsia="Calibri" w:hAnsi="Calibri"/>
          <w:sz w:val="22"/>
          <w:szCs w:val="22"/>
        </w:rPr>
        <w:t xml:space="preserve">Extraction in the prototype is rule-based (modal-verb and pattern detection), not a live LLM call — this keeps the demo fully reproducible without depending on external API availability during judging</w:t>
      </w:r>
    </w:p>
    <w:p>
      <w:pPr>
        <w:pStyle w:val="ListParagraph"/>
        <w:numPr>
          <w:ilvl w:val="0"/>
          <w:numId w:val="2"/>
        </w:numPr>
        <w:spacing w:after="80"/>
      </w:pPr>
      <w:r>
        <w:rPr>
          <w:rFonts w:ascii="Calibri" w:cs="Calibri" w:eastAsia="Calibri" w:hAnsi="Calibri"/>
          <w:sz w:val="22"/>
          <w:szCs w:val="22"/>
        </w:rPr>
        <w:t xml:space="preserve">The hash chain uses a lightweight deterministic hash for the browser demo rather than SHA-256; the production design specifies SHA-256 hash chaining</w:t>
      </w:r>
    </w:p>
    <w:p>
      <w:pPr>
        <w:pStyle w:val="ListParagraph"/>
        <w:numPr>
          <w:ilvl w:val="0"/>
          <w:numId w:val="2"/>
        </w:numPr>
        <w:spacing w:after="80"/>
      </w:pPr>
      <w:r>
        <w:rPr>
          <w:rFonts w:ascii="Calibri" w:cs="Calibri" w:eastAsia="Calibri" w:hAnsi="Calibri"/>
          <w:sz w:val="22"/>
          <w:szCs w:val="22"/>
        </w:rPr>
        <w:t xml:space="preserve">Corpus is a single circular extract; multi-circular and multi-intermediary support is roadmap</w:t>
      </w:r>
    </w:p>
    <w:p>
      <w:pPr>
        <w:pStyle w:val="ListParagraph"/>
        <w:numPr>
          <w:ilvl w:val="0"/>
          <w:numId w:val="2"/>
        </w:numPr>
        <w:spacing w:after="80"/>
      </w:pPr>
      <w:r>
        <w:rPr>
          <w:rFonts w:ascii="Calibri" w:cs="Calibri" w:eastAsia="Calibri" w:hAnsi="Calibri"/>
          <w:sz w:val="22"/>
          <w:szCs w:val="22"/>
        </w:rPr>
        <w:t xml:space="preserve">Regulatory-update diffing, evidence upload, and role-based access are Important-tier features, not yet built into the interactive prototype</w:t>
      </w:r>
    </w:p>
    <w:p>
      <w:pPr>
        <w:pStyle w:val="Heading1"/>
        <w:spacing w:after="200" w:before="400"/>
      </w:pPr>
      <w:r>
        <w:t xml:space="preserve">10. Development Roadmap</w:t>
      </w:r>
    </w:p>
    <w:p>
      <w:pPr>
        <w:spacing w:after="160" w:line="276"/>
      </w:pPr>
      <w:r>
        <w:rPr>
          <w:rFonts w:ascii="Calibri" w:cs="Calibri" w:eastAsia="Calibri" w:hAnsi="Calibri"/>
          <w:sz w:val="22"/>
          <w:szCs w:val="22"/>
        </w:rPr>
        <w:t xml:space="preserve">Four-week plan from 13 July to 9 August 2026, sized for a 2–5 person part-time student team.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500"/>
        <w:gridCol w:w="2800"/>
      </w:tblGrid>
      <w:tr>
        <w:trPr>
          <w:tblHeader/>
        </w:trPr>
        <w:tc>
          <w:tcPr>
            <w:tcW w:type="dxa" w:w="9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Week</w:t>
            </w:r>
          </w:p>
        </w:tc>
        <w:tc>
          <w:tcPr>
            <w:tcW w:type="dxa" w:w="1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Dates</w:t>
            </w:r>
          </w:p>
        </w:tc>
        <w:tc>
          <w:tcPr>
            <w:tcW w:type="dxa" w:w="55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Goals</w:t>
            </w:r>
          </w:p>
        </w:tc>
        <w:tc>
          <w:tcPr>
            <w:tcW w:type="dxa" w:w="2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13–19 Jul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Repo setup, Docker Compose skeleton, Postgres schema, PDF ingestion and clause segmentation on the real circular</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 of target clauses correctly segmented and stored</w:t>
            </w:r>
          </w:p>
        </w:tc>
      </w:tr>
      <w:tr>
        <w:tc>
          <w:tcPr>
            <w:tcW w:type="dxa" w:w="9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20–26 Jul</w:t>
            </w:r>
          </w:p>
        </w:tc>
        <w:tc>
          <w:tcPr>
            <w:tcW w:type="dxa" w:w="55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LLM obligation-extraction call with structured JSON output and confidence heuristic; embeddings in pgvector</w:t>
            </w:r>
          </w:p>
        </w:tc>
        <w:tc>
          <w:tcPr>
            <w:tcW w:type="dxa" w:w="2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 of clauses produce a correctly structured obligation object</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Jul–2 Aug</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Review queue UI, approve-to-task-generation logic, clause-to-task trace view, hash-chained audit log</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happy-path demo works locally, start to finish</w:t>
            </w:r>
          </w:p>
        </w:tc>
      </w:tr>
      <w:tr>
        <w:tc>
          <w:tcPr>
            <w:tcW w:type="dxa" w:w="9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3–9 Aug</w:t>
            </w:r>
          </w:p>
        </w:tc>
        <w:tc>
          <w:tcPr>
            <w:tcW w:type="dxa" w:w="55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basic auth, backup demo scenarios, public deployment, demo video recording</w:t>
            </w:r>
          </w:p>
        </w:tc>
        <w:tc>
          <w:tcPr>
            <w:tcW w:type="dxa" w:w="2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Submission-ready video and working deployed prototype</w:t>
            </w:r>
          </w:p>
        </w:tc>
      </w:tr>
    </w:tbl>
    <w:p>
      <w:pPr>
        <w:pStyle w:val="Heading1"/>
        <w:spacing w:after="200" w:before="400"/>
      </w:pPr>
      <w:r>
        <w:t xml:space="preserve">11. Risk Assessment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5800"/>
      </w:tblGrid>
      <w:tr>
        <w:trPr>
          <w:tblHeader/>
        </w:trPr>
        <w:tc>
          <w:tcPr>
            <w:tcW w:type="dxa" w:w="3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1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5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output format inconsistency breaks the pipeline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Technical</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Strict JSON schema validation, retry logic, fallback to manual-entry flag</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Extraction quality poor on ambiguous clauses</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AI</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Confidence flagging plus mandatory human review absorbs this by design</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demo network or deployment failure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Demo</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Pre-recorded backup video; rehearsed fallback to a local instance</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runs out of time before 9 August</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Operational</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Strict Must-Have / Important / Nice-to-Have scope discipline; cut Important features first</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Over-claiming capabilities to judges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Credibility</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Only state measured numbers; explicitly label roadmap items as not yet built</w:t>
            </w:r>
          </w:p>
        </w:tc>
      </w:tr>
      <w:tr>
        <w:tc>
          <w:tcPr>
            <w:tcW w:type="dxa" w:w="3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Judges question data residency or security</w:t>
            </w:r>
          </w:p>
        </w:tc>
        <w:tc>
          <w:tcPr>
            <w:tcW w:type="dxa" w:w="1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Regulatory</w:t>
            </w:r>
          </w:p>
        </w:tc>
        <w:tc>
          <w:tcPr>
            <w:tcW w:type="dxa" w:w="5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LLM provider choice and reasoning rehearsed as a direct, one-line answer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Corpus too narrow to look substantive in a demo</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Scalability</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Selected an obligation-dense, recognizable section (cybersecurity / risk management) so output looks substantive even from a subset</w:t>
            </w:r>
          </w:p>
        </w:tc>
      </w:tr>
    </w:tbl>
    <w:p>
      <w:pPr>
        <w:pStyle w:val="Heading1"/>
        <w:spacing w:after="200" w:before="400"/>
      </w:pPr>
      <w:r>
        <w:t xml:space="preserve">12. Demo &amp; Jury Preparation</w:t>
      </w:r>
    </w:p>
    <w:p>
      <w:pPr>
        <w:pStyle w:val="Heading2"/>
        <w:spacing w:after="150" w:before="300"/>
      </w:pPr>
      <w:r>
        <w:t xml:space="preserve">12.1 Demo Flow (approx. 7–8 minutes)</w:t>
      </w:r>
    </w:p>
    <w:p>
      <w:pPr>
        <w:pStyle w:val="ListParagraph"/>
        <w:numPr>
          <w:ilvl w:val="0"/>
          <w:numId w:val="2"/>
        </w:numPr>
        <w:spacing w:after="80"/>
      </w:pPr>
      <w:r>
        <w:rPr>
          <w:rFonts w:ascii="Calibri" w:cs="Calibri" w:eastAsia="Calibri" w:hAnsi="Calibri"/>
          <w:sz w:val="22"/>
          <w:szCs w:val="22"/>
        </w:rPr>
        <w:t xml:space="preserve">Problem framing in the judges' own language (30 sec)</w:t>
      </w:r>
    </w:p>
    <w:p>
      <w:pPr>
        <w:pStyle w:val="ListParagraph"/>
        <w:numPr>
          <w:ilvl w:val="0"/>
          <w:numId w:val="2"/>
        </w:numPr>
        <w:spacing w:after="80"/>
      </w:pPr>
      <w:r>
        <w:rPr>
          <w:rFonts w:ascii="Calibri" w:cs="Calibri" w:eastAsia="Calibri" w:hAnsi="Calibri"/>
          <w:sz w:val="22"/>
          <w:szCs w:val="22"/>
        </w:rPr>
        <w:t xml:space="preserve">Live upload of a real Stockbroker Master Circular section (1 min)</w:t>
      </w:r>
    </w:p>
    <w:p>
      <w:pPr>
        <w:pStyle w:val="ListParagraph"/>
        <w:numPr>
          <w:ilvl w:val="0"/>
          <w:numId w:val="2"/>
        </w:numPr>
        <w:spacing w:after="80"/>
      </w:pPr>
      <w:r>
        <w:rPr>
          <w:rFonts w:ascii="Calibri" w:cs="Calibri" w:eastAsia="Calibri" w:hAnsi="Calibri"/>
          <w:sz w:val="22"/>
          <w:szCs w:val="22"/>
        </w:rPr>
        <w:t xml:space="preserve">Live extraction run showing obligations and confidence scores populate (2 min)</w:t>
      </w:r>
    </w:p>
    <w:p>
      <w:pPr>
        <w:pStyle w:val="ListParagraph"/>
        <w:numPr>
          <w:ilvl w:val="0"/>
          <w:numId w:val="2"/>
        </w:numPr>
        <w:spacing w:after="80"/>
      </w:pPr>
      <w:r>
        <w:rPr>
          <w:rFonts w:ascii="Calibri" w:cs="Calibri" w:eastAsia="Calibri" w:hAnsi="Calibri"/>
          <w:sz w:val="22"/>
          <w:szCs w:val="22"/>
        </w:rPr>
        <w:t xml:space="preserve">Human review: approve one, edit one, reject one, showing the trust mechanism explicitly (1 min)</w:t>
      </w:r>
    </w:p>
    <w:p>
      <w:pPr>
        <w:pStyle w:val="ListParagraph"/>
        <w:numPr>
          <w:ilvl w:val="0"/>
          <w:numId w:val="2"/>
        </w:numPr>
        <w:spacing w:after="80"/>
      </w:pPr>
      <w:r>
        <w:rPr>
          <w:rFonts w:ascii="Calibri" w:cs="Calibri" w:eastAsia="Calibri" w:hAnsi="Calibri"/>
          <w:sz w:val="22"/>
          <w:szCs w:val="22"/>
        </w:rPr>
        <w:t xml:space="preserve">Generated tasks and live dashboard update (1 min)</w:t>
      </w:r>
    </w:p>
    <w:p>
      <w:pPr>
        <w:pStyle w:val="ListParagraph"/>
        <w:numPr>
          <w:ilvl w:val="0"/>
          <w:numId w:val="2"/>
        </w:numPr>
        <w:spacing w:after="80"/>
      </w:pPr>
      <w:r>
        <w:rPr>
          <w:rFonts w:ascii="Calibri" w:cs="Calibri" w:eastAsia="Calibri" w:hAnsi="Calibri"/>
          <w:sz w:val="22"/>
          <w:szCs w:val="22"/>
        </w:rPr>
        <w:t xml:space="preserve">Clause → task → audit-log trace walkthrough for one obligation (1 min)</w:t>
      </w:r>
    </w:p>
    <w:p>
      <w:pPr>
        <w:pStyle w:val="ListParagraph"/>
        <w:numPr>
          <w:ilvl w:val="0"/>
          <w:numId w:val="2"/>
        </w:numPr>
        <w:spacing w:after="80"/>
      </w:pPr>
      <w:r>
        <w:rPr>
          <w:rFonts w:ascii="Calibri" w:cs="Calibri" w:eastAsia="Calibri" w:hAnsi="Calibri"/>
          <w:sz w:val="22"/>
          <w:szCs w:val="22"/>
        </w:rPr>
        <w:t xml:space="preserve">Close with measured numbers and a one-sentence roadmap statement (30 sec)</w:t>
      </w:r>
    </w:p>
    <w:p>
      <w:pPr>
        <w:pStyle w:val="Heading2"/>
        <w:spacing w:after="150" w:before="300"/>
      </w:pPr>
      <w:r>
        <w:t xml:space="preserve">12.2 Anticipated Judge Questions</w:t>
      </w:r>
    </w:p>
    <w:p>
      <w:pPr>
        <w:pStyle w:val="ListParagraph"/>
        <w:numPr>
          <w:ilvl w:val="0"/>
          <w:numId w:val="2"/>
        </w:numPr>
        <w:spacing w:after="80"/>
      </w:pPr>
      <w:r>
        <w:rPr>
          <w:rFonts w:ascii="Calibri" w:cs="Calibri" w:eastAsia="Calibri" w:hAnsi="Calibri"/>
          <w:sz w:val="22"/>
          <w:szCs w:val="22"/>
        </w:rPr>
        <w:t xml:space="preserve">What happens if the AI hallucinates an obligation? — Nothing becomes binding without human approval; low-confidence extractions are automatically flagged.</w:t>
      </w:r>
    </w:p>
    <w:p>
      <w:pPr>
        <w:pStyle w:val="ListParagraph"/>
        <w:numPr>
          <w:ilvl w:val="0"/>
          <w:numId w:val="2"/>
        </w:numPr>
        <w:spacing w:after="80"/>
      </w:pPr>
      <w:r>
        <w:rPr>
          <w:rFonts w:ascii="Calibri" w:cs="Calibri" w:eastAsia="Calibri" w:hAnsi="Calibri"/>
          <w:sz w:val="22"/>
          <w:szCs w:val="22"/>
        </w:rPr>
        <w:t xml:space="preserve">How does this scale beyond one circular? — The pipeline is corpus-agnostic; scaling is a data/compute question, not an architecture rewrite.</w:t>
      </w:r>
    </w:p>
    <w:p>
      <w:pPr>
        <w:pStyle w:val="ListParagraph"/>
        <w:numPr>
          <w:ilvl w:val="0"/>
          <w:numId w:val="2"/>
        </w:numPr>
        <w:spacing w:after="80"/>
      </w:pPr>
      <w:r>
        <w:rPr>
          <w:rFonts w:ascii="Calibri" w:cs="Calibri" w:eastAsia="Calibri" w:hAnsi="Calibri"/>
          <w:sz w:val="22"/>
          <w:szCs w:val="22"/>
        </w:rPr>
        <w:t xml:space="preserve">Is the audit trail actually immutable? — It is tamper-evident via hash chaining; true WORM immutability is a straightforward infrastructure upgrade, not a redesign.</w:t>
      </w:r>
    </w:p>
    <w:p>
      <w:pPr>
        <w:pStyle w:val="ListParagraph"/>
        <w:numPr>
          <w:ilvl w:val="0"/>
          <w:numId w:val="2"/>
        </w:numPr>
        <w:spacing w:after="80"/>
      </w:pPr>
      <w:r>
        <w:rPr>
          <w:rFonts w:ascii="Calibri" w:cs="Calibri" w:eastAsia="Calibri" w:hAnsi="Calibri"/>
          <w:sz w:val="22"/>
          <w:szCs w:val="22"/>
        </w:rPr>
        <w:t xml:space="preserve">Why not a full knowledge graph? — At this data volume the relationships are shallow and well-typed enough that relational foreign keys represent them faithfully; a graph database is a scale-driven roadmap item.</w:t>
      </w:r>
    </w:p>
    <w:p>
      <w:pPr>
        <w:pStyle w:val="ListParagraph"/>
        <w:numPr>
          <w:ilvl w:val="0"/>
          <w:numId w:val="2"/>
        </w:numPr>
        <w:spacing w:after="80"/>
      </w:pPr>
      <w:r>
        <w:rPr>
          <w:rFonts w:ascii="Calibri" w:cs="Calibri" w:eastAsia="Calibri" w:hAnsi="Calibri"/>
          <w:sz w:val="22"/>
          <w:szCs w:val="22"/>
        </w:rPr>
        <w:t xml:space="preserve">What is your extraction accuracy? — Answered with the actual measured number from the test set, never an unmeasured claim.</w:t>
      </w:r>
    </w:p>
    <w:p>
      <w:pPr>
        <w:pStyle w:val="Heading1"/>
        <w:spacing w:after="200" w:before="400"/>
      </w:pPr>
      <w:r>
        <w:t xml:space="preserve">13. Conclusion</w:t>
      </w:r>
    </w:p>
    <w:p>
      <w:pPr>
        <w:spacing w:after="160" w:line="276"/>
      </w:pPr>
      <w:r>
        <w:rPr>
          <w:rFonts w:ascii="Calibri" w:cs="Calibri" w:eastAsia="Calibri" w:hAnsi="Calibri"/>
          <w:sz w:val="22"/>
          <w:szCs w:val="22"/>
        </w:rPr>
        <w:t xml:space="preserve">RegTrace addresses both challenges named in SEBI's problem statement — dynamic regulatory translation and ongoing compliance management — with a scoped, inspectable pipeline rather than an unverifiable sprawl of features. The working prototype already demonstrates the complete Must-Have feature set end to end on a real regulatory-text structure, with a clear, honestly-labeled path from the current heuristic extraction to a production LLM-based pipeline. The design prioritizes what a small student team can credibly build, demonstrate, and defend under jury questioning by 9 August 2026.</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2"/>
        <w:sz w:val="16"/>
        <w:szCs w:val="16"/>
      </w:rPr>
      <w:t xml:space="preserve">SEBI Securities Market TechSprint 2026 · Problem Statement 2  |  Page </w:t>
    </w:r>
    <w:r>
      <w:rPr>
        <w:rFonts w:ascii="Calibri" w:cs="Calibri" w:eastAsia="Calibri" w:hAnsi="Calibri"/>
        <w:color w:val="5B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space="4"/>
      </w:pBdr>
      <w:jc w:val="right"/>
    </w:pPr>
    <w:r>
      <w:rPr>
        <w:rFonts w:ascii="Calibri" w:cs="Calibri" w:eastAsia="Calibri" w:hAnsi="Calibri"/>
        <w:color w:val="5B6B72"/>
        <w:sz w:val="16"/>
        <w:szCs w:val="16"/>
      </w:rPr>
      <w:t xml:space="preserve">RegTrace — Solution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32A3A"/>
      <w:sz w:val="32"/>
      <w:szCs w:val="32"/>
    </w:rPr>
  </w:style>
  <w:style w:type="paragraph" w:styleId="Heading2">
    <w:name w:val="Heading 2"/>
    <w:basedOn w:val="Normal"/>
    <w:next w:val="Normal"/>
    <w:qFormat/>
    <w:pPr>
      <w:spacing w:after="150" w:before="300"/>
    </w:pPr>
    <w:rPr>
      <w:rFonts w:ascii="Calibri" w:cs="Calibri" w:eastAsia="Calibri" w:hAnsi="Calibri"/>
      <w:b/>
      <w:bCs/>
      <w:color w:val="132A3A"/>
      <w:sz w:val="26"/>
      <w:szCs w:val="26"/>
    </w:rPr>
  </w:style>
  <w:style w:type="paragraph" w:styleId="Heading3">
    <w:name w:val="Heading 3"/>
    <w:basedOn w:val="Normal"/>
    <w:next w:val="Normal"/>
    <w:qFormat/>
    <w:pPr>
      <w:spacing w:after="100" w:before="200"/>
    </w:pPr>
    <w:rPr>
      <w:rFonts w:ascii="Calibri" w:cs="Calibri" w:eastAsia="Calibri" w:hAnsi="Calibri"/>
      <w:b/>
      <w:bCs/>
      <w:color w:val="B08D3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2026-07-12T09:17:29.075Z</dcterms:created>
  <dcterms:modified xsi:type="dcterms:W3CDTF">2026-07-12T09:17:29.088Z</dcterms:modified>
</cp:coreProperties>
</file>

<file path=docProps/custom.xml><?xml version="1.0" encoding="utf-8"?>
<Properties xmlns="http://schemas.openxmlformats.org/officeDocument/2006/custom-properties" xmlns:vt="http://schemas.openxmlformats.org/officeDocument/2006/docPropsVTypes"/>
</file>