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liesstext"/>
      </w:pPr>
    </w:p>
    <w:p>
      <w:pPr>
        <w:pStyle w:val="Fliesstext"/>
      </w:pPr>
    </w:p>
    <w:p>
      <w:pPr>
        <w:pStyle w:val="Fliesstext"/>
      </w:pPr>
    </w:p>
    <w:p>
      <w:pPr>
        <w:pStyle w:val="Fliesstext"/>
      </w:pPr>
    </w:p>
    <w:p>
      <w:pPr>
        <w:pStyle w:val="TitelHaupt"/>
      </w:pPr>
      <w:r>
        <w:t>Erst kam die Angst, dann kam der Alltag</w:t>
      </w:r>
    </w:p>
    <w:p>
      <w:pPr>
        <w:pStyle w:val="TitelUnter"/>
      </w:pPr>
      <w:r>
        <w:t>Was Buchdruck, Dampflok und Smartphone über unsere Furcht vor künstlicher Intelligenz verraten</w:t>
      </w:r>
    </w:p>
    <w:p>
      <w:pPr>
        <w:pStyle w:val="TitelAutor"/>
      </w:pPr>
      <w:r>
        <w:t>Emre Sakalli</w:t>
      </w:r>
    </w:p>
    <w:p>
      <w:r>
        <w:br w:type="page"/>
      </w:r>
    </w:p>
    <w:p>
      <w:pPr>
        <w:pStyle w:val="Zwischen"/>
      </w:pPr>
      <w:r>
        <w:t>Impressum</w:t>
      </w:r>
    </w:p>
    <w:p>
      <w:pPr>
        <w:pStyle w:val="Klein"/>
      </w:pPr>
      <w:r>
        <w:t>Erst kam die Angst, dann kam der Alltag</w:t>
      </w:r>
    </w:p>
    <w:p>
      <w:pPr>
        <w:pStyle w:val="Klein"/>
      </w:pPr>
      <w:r>
        <w:t>Was Buchdruck, Dampflok und Smartphone über unsere Furcht vor künstlicher Intelligenz verraten</w:t>
      </w:r>
    </w:p>
    <w:p>
      <w:pPr>
        <w:pStyle w:val="Klein"/>
      </w:pPr>
    </w:p>
    <w:p>
      <w:pPr>
        <w:pStyle w:val="Klein"/>
      </w:pPr>
      <w:r>
        <w:t>© Emre Sakalli</w:t>
      </w:r>
    </w:p>
    <w:p>
      <w:pPr>
        <w:pStyle w:val="Klein"/>
      </w:pPr>
      <w:r>
        <w:t>Alle Rechte vorbehalten.</w:t>
      </w:r>
    </w:p>
    <w:p>
      <w:pPr>
        <w:pStyle w:val="Klein"/>
      </w:pPr>
    </w:p>
    <w:p>
      <w:pPr>
        <w:pStyle w:val="Klein"/>
      </w:pPr>
      <w:r>
        <w:t>Kontakt und Verlagsangaben: [vor Veröffentlichung ergänzen]</w:t>
      </w:r>
    </w:p>
    <w:p>
      <w:pPr>
        <w:pStyle w:val="Klein"/>
      </w:pPr>
    </w:p>
    <w:p>
      <w:pPr>
        <w:pStyle w:val="Klein"/>
      </w:pPr>
      <w:r>
        <w:t>Hinweis zu Quellen: Alle Tatsachenbehauptungen sind mit Endnoten belegt; der vollständige Nachweis steht im Anhang. Einschätzungen und Prognosen sind im Text als solche gekennzeichnet.</w:t>
      </w:r>
    </w:p>
    <w:p>
      <w:pPr>
        <w:pStyle w:val="Klein"/>
      </w:pPr>
    </w:p>
    <w:p>
      <w:pPr>
        <w:pStyle w:val="Klein"/>
      </w:pPr>
      <w:r>
        <w:t>Offenlegung: Der Autor arbeitet beruflich mit Automatisierungs- und KI-Technologie. Diese Befangenheit ist in der Einleitung offengelegt.</w:t>
      </w:r>
    </w:p>
    <w:p>
      <w:r>
        <w:br w:type="page"/>
      </w:r>
    </w:p>
    <w:p>
      <w:pPr>
        <w:pStyle w:val="KapitelTitel"/>
      </w:pPr>
      <w:r>
        <w:t>Inhalt</w:t>
      </w:r>
    </w:p>
    <w:p>
      <w:pPr>
        <w:pStyle w:val="InhaltEintrag"/>
        <w:ind w:left="227"/>
      </w:pPr>
      <w:r>
        <w:t>Einleitung — Wovor hast du eigentlich Angst?</w:t>
      </w:r>
    </w:p>
    <w:p>
      <w:pPr>
        <w:pStyle w:val="InhaltEintrag"/>
      </w:pPr>
      <w:r>
        <w:rPr>
          <w:b/>
        </w:rPr>
        <w:t>TEIL I — Das Muster: Warum wir uns immer fürchten</w:t>
      </w:r>
    </w:p>
    <w:p>
      <w:pPr>
        <w:pStyle w:val="InhaltEintrag"/>
        <w:ind w:left="227"/>
      </w:pPr>
      <w:r>
        <w:t>Kapitel 1 — Die Angst ist älter als die Maschine</w:t>
      </w:r>
    </w:p>
    <w:p>
      <w:pPr>
        <w:pStyle w:val="InhaltEintrag"/>
        <w:ind w:left="227"/>
      </w:pPr>
      <w:r>
        <w:t>Kapitel 2 — Tempo, Strom und der Tod des Abendlands</w:t>
      </w:r>
    </w:p>
    <w:p>
      <w:pPr>
        <w:pStyle w:val="InhaltEintrag"/>
        <w:ind w:left="227"/>
      </w:pPr>
      <w:r>
        <w:t>Kapitel 3 — „Das Telefon wird die Familie zerstören"</w:t>
      </w:r>
    </w:p>
    <w:p>
      <w:pPr>
        <w:pStyle w:val="InhaltEintrag"/>
        <w:ind w:left="227"/>
      </w:pPr>
      <w:r>
        <w:t>Kapitel 4 — Warum wir nie aus der Geschichte lernen</w:t>
      </w:r>
    </w:p>
    <w:p>
      <w:pPr>
        <w:pStyle w:val="InhaltEintrag"/>
      </w:pPr>
      <w:r>
        <w:rPr>
          <w:b/>
        </w:rPr>
        <w:t>TEIL II — Die ehrliche Bilanz: Was KI wirklich kann (und kostet)</w:t>
      </w:r>
    </w:p>
    <w:p>
      <w:pPr>
        <w:pStyle w:val="InhaltEintrag"/>
        <w:ind w:left="227"/>
      </w:pPr>
      <w:r>
        <w:t>Kapitel 5 — Der Taschenrechner-Moment</w:t>
      </w:r>
    </w:p>
    <w:p>
      <w:pPr>
        <w:pStyle w:val="InhaltEintrag"/>
        <w:ind w:left="227"/>
      </w:pPr>
      <w:r>
        <w:t>Kapitel 6 — Nimmt die KI mir die Arbeit weg?</w:t>
      </w:r>
    </w:p>
    <w:p>
      <w:pPr>
        <w:pStyle w:val="InhaltEintrag"/>
        <w:ind w:left="227"/>
      </w:pPr>
      <w:r>
        <w:t>Kapitel 7 — Werden wir dümmer?</w:t>
      </w:r>
    </w:p>
    <w:p>
      <w:pPr>
        <w:pStyle w:val="InhaltEintrag"/>
        <w:ind w:left="227"/>
      </w:pPr>
      <w:r>
        <w:t>Kapitel 8 — Die echten Risiken</w:t>
      </w:r>
    </w:p>
    <w:p>
      <w:pPr>
        <w:pStyle w:val="InhaltEintrag"/>
      </w:pPr>
      <w:r>
        <w:rPr>
          <w:b/>
        </w:rPr>
        <w:t>TEIL III — Vom Fürchten zum Vertrauen: Wie wir mit KI leben</w:t>
      </w:r>
    </w:p>
    <w:p>
      <w:pPr>
        <w:pStyle w:val="InhaltEintrag"/>
        <w:ind w:left="227"/>
      </w:pPr>
      <w:r>
        <w:t>Kapitel 9 — Die Stimmen der Propheten</w:t>
      </w:r>
    </w:p>
    <w:p>
      <w:pPr>
        <w:pStyle w:val="InhaltEintrag"/>
        <w:ind w:left="227"/>
      </w:pPr>
      <w:r>
        <w:t>Kapitel 10 — Was vom Menschen bleibt</w:t>
      </w:r>
    </w:p>
    <w:p>
      <w:pPr>
        <w:pStyle w:val="InhaltEintrag"/>
        <w:ind w:left="227"/>
      </w:pPr>
      <w:r>
        <w:t>Kapitel 11 — Vertrauen ist eine Fähigkeit</w:t>
      </w:r>
    </w:p>
    <w:p>
      <w:pPr>
        <w:pStyle w:val="InhaltEintrag"/>
        <w:ind w:left="227"/>
      </w:pPr>
      <w:r>
        <w:t>Kapitel 12 — Wovor wir uns wirklich fürchten sollten</w:t>
      </w:r>
    </w:p>
    <w:p>
      <w:pPr>
        <w:pStyle w:val="InhaltEintrag"/>
        <w:ind w:left="227"/>
      </w:pPr>
      <w:r>
        <w:t>Schluss — Der nächste Alltag</w:t>
      </w:r>
    </w:p>
    <w:p>
      <w:r>
        <w:br w:type="page"/>
      </w:r>
    </w:p>
    <w:p>
      <w:pPr>
        <w:pStyle w:val="KapitelNummer"/>
      </w:pPr>
      <w:r>
        <w:rPr>
          <w:i/>
        </w:rPr>
        <w:t>Einleitung</w:t>
      </w:r>
    </w:p>
    <w:p>
      <w:pPr>
        <w:pStyle w:val="KapitelTitel"/>
      </w:pPr>
      <w:r>
        <w:t>Wovor hast du eigentlich Angst?</w:t>
      </w:r>
    </w:p>
    <w:p>
      <w:pPr>
        <w:pStyle w:val="Fliesstext"/>
      </w:pPr>
      <w:r>
        <w:t>Mein erster Bot hat Stunden gezählt.</w:t>
      </w:r>
    </w:p>
    <w:p>
      <w:pPr>
        <w:pStyle w:val="Fliesstext"/>
        <w:ind w:firstLine="283"/>
      </w:pPr>
      <w:r>
        <w:t>Genauer gesagt hat er Stundenbuchungen aus einem System genommen und in ein zweites übertragen. Zwei Programme, die nichts voneinander wissen wollten: In dem einen buchten die Kolleginnen und Kollegen ihre Zeiten, aus dem anderen kamen die Auswertungen. Dazwischen war eine Lücke, und in dieser Lücke saß ein Mensch.</w:t>
      </w:r>
    </w:p>
    <w:p>
      <w:pPr>
        <w:pStyle w:val="Fliesstext"/>
        <w:ind w:firstLine="283"/>
      </w:pPr>
      <w:r>
        <w:t>Sie saß da schon lange. Eine Kollegin, die diese Übertragung jahrelang gepflegt hatte, jeden Monat aufs Neue, zwei Fenster nebeneinander auf dem Bildschirm, links lesen, rechts eintragen, Zeile für Zeile. Sie war gut darin. Sie hatte sich einen Rhythmus zurechtgelegt, kleine Kontrollpunkte, eine eigene Reihenfolge, mit der sie sich absicherte. Sie beschwerte sich nicht. Wenn du jemanden fragst, der so eine Aufgabe erledigt, ob sie ihn stört, sagt er meistens erst mal nein. Man arrangiert sich. Man ist stolz darauf, dass es funktioniert, gerade weil es niemand sonst so sauber hinbekommt.</w:t>
      </w:r>
    </w:p>
    <w:p>
      <w:pPr>
        <w:pStyle w:val="Fliesstext"/>
        <w:ind w:firstLine="283"/>
      </w:pPr>
      <w:r>
        <w:t>Aber jeder Tippfehler wanderte weiter. Eine vertauschte Ziffer stand am Ende in einer Auswertung, auf die sich andere verließen. Und wenn zum Monatsende alles gleichzeitig fällig war, wurde es eng.</w:t>
      </w:r>
    </w:p>
    <w:p>
      <w:pPr>
        <w:pStyle w:val="Fliesstext"/>
        <w:ind w:firstLine="283"/>
      </w:pPr>
      <w:r>
        <w:t>Dann kam der Bot. Kein besonders kluges Ding, ehrlich gesagt: ein Ablauf, der nachts anlief, sich in beide Systeme einloggte, die Datensätze abglich und übertrug. Regeln, keine Intelligenz. Ich erinnere mich an den Morgen nach dem ersten sauberen Durchlauf. Man geht an den Rechner, öffnet das Protokoll und rechnet fest damit, dass irgendwo etwas rot ist. Es war nichts rot. Die Zahlen stimmten. Etwas, das jahrelang Stunden gefressen hatte, war über Nacht passiert, während niemand im Haus war.</w:t>
      </w:r>
    </w:p>
    <w:p>
      <w:pPr>
        <w:pStyle w:val="Fliesstext"/>
        <w:ind w:firstLine="283"/>
      </w:pPr>
      <w:r>
        <w:t>Die Erleichterung im Team war mit Händen zu greifen. Und die Kollegin, die das all die Jahre gemacht hatte, sah mich an und sagte etwas, das ich nicht vergessen habe.</w:t>
      </w:r>
    </w:p>
    <w:p>
      <w:pPr>
        <w:pStyle w:val="Fliesstext"/>
        <w:ind w:firstLine="283"/>
      </w:pPr>
      <w:r>
        <w:t>Erst: „Gott sei Dank."</w:t>
      </w:r>
    </w:p>
    <w:p>
      <w:pPr>
        <w:pStyle w:val="Fliesstext"/>
        <w:ind w:firstLine="283"/>
      </w:pPr>
      <w:r>
        <w:t>Und kurz danach, leiser: „Und was mache ich jetzt?"</w:t>
      </w:r>
    </w:p>
    <w:p>
      <w:pPr>
        <w:pStyle w:val="Fliesstext"/>
        <w:ind w:firstLine="283"/>
      </w:pPr>
      <w:r>
        <w:t>Beide Sätze in zehn Sekunden. Ich habe damals gelacht, weil ich dachte, das sei ein Witz. War es nicht. Es war der ehrlichste Satz, den ich in diesem Projekt gehört habe, und er hat mir mehr über Automatisierung beigebracht als jede Schulung.</w:t>
      </w:r>
    </w:p>
    <w:p>
      <w:pPr>
        <w:pStyle w:val="Fliesstext"/>
        <w:ind w:firstLine="283"/>
      </w:pPr>
      <w:r>
        <w:t>Denn die beiden Sätze widersprechen sich nicht. Sie stimmen beide gleichzeitig. Die Arbeit war stumpf, und sie loszuwerden war eine Befreiung. Und dieselbe Arbeit war ein Stück Sicherheit gewesen: etwas, das ihr gehörte, wofür man sie brauchte, was sie besser konnte als alle anderen. Der Bot hat ihr nicht nur eine lästige Tätigkeit abgenommen. Er hat ihr eine Antwort auf die Frage weggenommen, wozu sie da ist. Und diese Antwort hatte ihr niemand ersetzt, bevor die Maschine kam. Wir hatten wochenlang über Fehlerquoten und Laufzeiten gesprochen und keine fünf Minuten darüber, was das für die Frau bedeutet, die bis dahin die Schnittstelle war. Gefragt hatte sie auch niemand. Automatisierung wird fast immer über die Köpfe derer hinweg entschieden, deren Arbeit sie betrifft, nicht aus Bosheit, sondern weil es in den Projektunterlagen keine Zeile dafür gibt. Ich mache das heute anders herum: erst mit den Leuten reden, deren Aufgabe verschwinden soll, dann bauen. Es kostet ein paar Wochen mehr. Es erspart einem den Satz, den ich damals gehört habe.</w:t>
      </w:r>
    </w:p>
    <w:p>
      <w:pPr>
        <w:pStyle w:val="Fliesstext"/>
        <w:ind w:firstLine="283"/>
      </w:pPr>
      <w:r>
        <w:t>Das war vor einigen Jahren, in der Frühzeit dessen, was die Branche RPA nennt, Robotic Process Automation. Damals war die Skepsis ein Grundrauschen in jedem Meeting. Man wurde in Besprechungen gebeten, das Wort „Roboter" lieber nicht zu benutzen, weil sonst gleich die falschen Bilder im Kopf entstanden. In den Wochen nach dem ersten Bot kamen Leute aus anderen Abteilungen zu mir, und die Frage war fast nie „Kann das auch meinen Prozess?". Sie lautete „Kommt das jetzt bei uns auch?", und der Tonfall entschied darüber, was gemeint war. Manche hofften. Manche rechneten. Heute baue ich mir abends mit Werkzeugen wie Claude Code kleine Programme, die mir den Alltag erleichtern, und diese Werkzeuge sind unvergleichlich mächtiger als alles, was ich damals gebaut habe. Sie schreiben Code, lesen Dokumente, formulieren Texte. Der zweite Satz meiner Kollegin ist trotzdem geblieben. Er hat nur das Gewand gewechselt. Aus „Und was mache ich jetzt?" ist „Was, wenn die KI uns alle ersetzt?" geworden.</w:t>
      </w:r>
    </w:p>
    <w:p>
      <w:pPr>
        <w:pStyle w:val="Fliesstext"/>
        <w:ind w:firstLine="283"/>
      </w:pPr>
      <w:r>
        <w:t>Diese Frage ist nicht neu. Sie ist nicht einmal hundert Jahre alt. Sie ist Jahrhunderte alt, und genau darum geht es in diesem Buch.</w:t>
      </w:r>
    </w:p>
    <w:p>
      <w:pPr>
        <w:pStyle w:val="Zwischen"/>
      </w:pPr>
      <w:r>
        <w:t>Ein Mönch, der gegen den Buchdruck anschrieb</w:t>
      </w:r>
    </w:p>
    <w:p>
      <w:pPr>
        <w:pStyle w:val="Fliesstext"/>
      </w:pPr>
      <w:r>
        <w:t xml:space="preserve">Im Jahr 1492 setzte sich der Abt Johannes Trithemius hin und verfasste eine flammende Verteidigung der Handschrift. Sein Text trägt den Titel </w:t>
      </w:r>
      <w:r>
        <w:rPr>
          <w:i/>
        </w:rPr>
        <w:t>De laude scriptorum</w:t>
      </w:r>
      <w:r>
        <w:t>, „Lob der Schreiber".[1] Seine Sorge: Der neumodische Buchdruck werde die Mönche faul machen, das Gedächtnis verkümmern lassen, das mühevoll abgeschriebene Wort entwerten. Gedrucktes Papier vergilbe ohnehin in zweihundert Jahren, während ordentliches Pergament Jahrhunderte überdauere. Der Mensch verlerne das Denken, wenn ihm die Maschine die Arbeit abnehme.</w:t>
      </w:r>
    </w:p>
    <w:p>
      <w:pPr>
        <w:pStyle w:val="Fliesstext"/>
        <w:ind w:firstLine="283"/>
      </w:pPr>
      <w:r>
        <w:t>Du ahnst, was kommt. Trithemius ließ seine Streitschrift gegen den Buchdruck — drucken. Anders hätte sie kaum jemand gelesen. Der Mann, der vor der Maschine warnte, benutzte die Maschine, weil sie schlicht besser funktionierte.</w:t>
      </w:r>
    </w:p>
    <w:p>
      <w:pPr>
        <w:pStyle w:val="Fliesstext"/>
        <w:ind w:firstLine="283"/>
      </w:pPr>
      <w:r>
        <w:t>Wenige Jahrzehnte später beklagte sich der Gelehrte Erasmus von Rotterdam über etwas, das uns sehr vertraut vorkommt: die schiere Flut an Büchern, diese „Schwärme neuer Bücher", in denen niemand mehr das Wichtige vom Belanglosen unterscheiden könne.[2] Informationsüberflutung, anno 1525.</w:t>
      </w:r>
    </w:p>
    <w:p>
      <w:pPr>
        <w:pStyle w:val="Fliesstext"/>
        <w:ind w:firstLine="283"/>
      </w:pPr>
      <w:r>
        <w:t>Halte diesen Gedanken einen Moment fest. Das Gefühl, dass die neue Technik uns das Denken abgewöhnt, dass wir in Information ertrinken, dass etwas Wesentliches verloren geht — dieses Gefühl ist kein Produkt von ChatGPT. Es ist ein menschlicher Reflex, und er wird zuverlässig ausgelöst, seit wir Werkzeuge bauen, die uns über den Kopf zu wachsen scheinen.</w:t>
      </w:r>
    </w:p>
    <w:p>
      <w:pPr>
        <w:pStyle w:val="Zwischen"/>
      </w:pPr>
      <w:r>
        <w:t>Die Sache mit der Eisenbahn</w:t>
      </w:r>
    </w:p>
    <w:p>
      <w:pPr>
        <w:pStyle w:val="Fliesstext"/>
      </w:pPr>
      <w:r>
        <w:t>Wahrscheinlich kennst du die Geschichte: Als die ersten Eisenbahnen fuhren, hätten Ärzte gewarnt, das menschliche Gehirn halte Geschwindigkeiten über dreißig Stundenkilometer nicht aus, die Reisenden würden wahnsinnig. Oft wird ein bayerisches Medizinalkollegium als Quelle genannt.</w:t>
      </w:r>
    </w:p>
    <w:p>
      <w:pPr>
        <w:pStyle w:val="Fliesstext"/>
        <w:ind w:firstLine="283"/>
      </w:pPr>
      <w:r>
        <w:t>Diese Geschichte ist großartig. Sie hat nur einen Haken: Sie stimmt vermutlich nicht.[3] Für das angeblich so berühmte Gutachten gibt es keinen belastbaren Beleg. In den bayerischen Archiven wurde trotz intensiver Suche nichts dergleichen gefunden, und die zitierte Behörde lässt sich für die Zeit um 1835 nicht einmal nachweisen. Als Ursprung gilt heute eine Polemik des Historikers Heinrich von Treitschke, Jahrzehnte nach den ersten Zügen geschrieben, danach endlos weitergereicht.[3]</w:t>
      </w:r>
    </w:p>
    <w:p>
      <w:pPr>
        <w:pStyle w:val="Fliesstext"/>
        <w:ind w:firstLine="283"/>
      </w:pPr>
      <w:r>
        <w:t>Ich erzähle dir das gleich zu Beginn, weil es den Ton dieses Buches setzt. Ich bin nicht hier, um dir alte Schauergeschichten aufzutischen, über die wir gemeinsam lachen können, damit du dich der KI gegenüber überlegen fühlst. Das wäre billig. Und es wäre unehrlich. Wer die KI-Skepsis mit „damals hatte man ja auch Angst vor der Eisenbahn" abräumt, beruft sich ausgerechnet auf eine erfundene Warnung. Das ist kein guter Start für ein Gespräch über Belege.</w:t>
      </w:r>
    </w:p>
    <w:p>
      <w:pPr>
        <w:pStyle w:val="Fliesstext"/>
        <w:ind w:firstLine="283"/>
      </w:pPr>
      <w:r>
        <w:t>Denn die Wahrheit ist komplizierter, und sie ist interessanter. Manche Technikängste waren erfunden. Manche wurden bewusst geschürt, von Leuten, die etwas davon hatten. Und manche waren vollkommen berechtigt. Diese drei auseinanderzuhalten — darum geht es. Wer alles in einen Topf wirft und „war doch alles halb so wild" darüberstreut, betreibt dasselbe Geschäft wie die Panikmacher, nur mit umgekehrtem Vorzeichen.</w:t>
      </w:r>
    </w:p>
    <w:p>
      <w:pPr>
        <w:pStyle w:val="Zwischen"/>
      </w:pPr>
      <w:r>
        <w:t>Ein Muster, das sich wiederholt</w:t>
      </w:r>
    </w:p>
    <w:p>
      <w:pPr>
        <w:pStyle w:val="Fliesstext"/>
      </w:pPr>
      <w:r>
        <w:t>Wenn du die letzten fünfhundert Jahre durchgehst, taucht dasselbe Muster auf, immer wieder, fast schon langweilig in seiner Regelmäßigkeit. Eine neue Technik erscheint. Sie macht Angst. Es wird gewarnt, gespottet, verboten, gepredigt. Dann, nach einer Weile, wird sie Alltag, so selbstverständlich, dass die nächste Generation sich kaum vorstellen kann, dass jemand je Angst davor hatte.</w:t>
      </w:r>
    </w:p>
    <w:p>
      <w:pPr>
        <w:pStyle w:val="Fliesstext"/>
        <w:ind w:firstLine="283"/>
      </w:pPr>
      <w:r>
        <w:t>Der Buchdruck. Die Eisenbahn. Die Elektrizität, vor der man sich fürchtete wie heute mancher vor dem Mobilfunkmast. Das Telefon, das angeblich die Familie zerrütten würde. Das Auto. Das Radio, das Fernsehen, der Taschenrechner, der Computer, das Internet, das Smartphone. Jedes Mal dieselbe Kurve: erst der Schrecken, dann der Alltag.</w:t>
      </w:r>
    </w:p>
    <w:p>
      <w:pPr>
        <w:pStyle w:val="Fliesstext"/>
        <w:ind w:firstLine="283"/>
      </w:pPr>
      <w:r>
        <w:t>Die Wissenschaft hat dafür inzwischen einen Namen. Die Psychologin Amy Orben nennt es den „Sisyphos-Zyklus der Technikpaniken": Jede Generation rollt denselben Stein den Berg hinauf, fürchtet sich vor dem Neuen mit fast denselben Argumenten wie die Generation davor, vergisst es anschließend und ist dann ehrlich überrascht, wenn die eigenen Kinder dasselbe mit der nächsten Technik durchmachen.[4] Wir lernen das Muster nicht, weil wir es nach jedem Durchlauf wieder vergessen.</w:t>
      </w:r>
    </w:p>
    <w:p>
      <w:pPr>
        <w:pStyle w:val="Fliesstext"/>
        <w:ind w:firstLine="283"/>
      </w:pPr>
      <w:r>
        <w:t>Genau dieses Vergessen will dieses Buch beheben. Wenn du das Muster einmal klar vor dir siehst, verändert sich, wie du auf die künstliche Intelligenz schaust. Nicht weil das Muster beweist, dass alles gut wird. Sondern weil es dir die Panik aus den Knochen nimmt und den Kopf frei macht für die Fragen, die wirklich zählen.</w:t>
      </w:r>
    </w:p>
    <w:p>
      <w:pPr>
        <w:pStyle w:val="Zwischen"/>
      </w:pPr>
      <w:r>
        <w:t>Drei Sorten von Angst</w:t>
      </w:r>
    </w:p>
    <w:p>
      <w:pPr>
        <w:pStyle w:val="Fliesstext"/>
      </w:pPr>
      <w:r>
        <w:t>Ich muss an dieser Stelle ehrlich sein, sonst können wir uns die nächsten zweihundert Seiten sparen.</w:t>
      </w:r>
    </w:p>
    <w:p>
      <w:pPr>
        <w:pStyle w:val="Fliesstext"/>
        <w:ind w:firstLine="283"/>
      </w:pPr>
      <w:r>
        <w:t>Nicht jede Angst vor neuer Technik war Unsinn. Als die Kodak-Kamera Ende des 19. Jahrhunderts plötzlich jeden zum Schnappschuss-Fotografen machte, brach eine echte Sorge um die Privatsphäre aus. Wildfremde Leute konnten dich auf der Straße ablichten, ohne zu fragen, und das Bild landete irgendwo, wo du es nie zu sehen bekamst. Diese Sorge war so berechtigt, dass zwei amerikanische Juristen 1890 einen Aufsatz schrieben, der das moderne Recht auf Privatsphäre begründete.[5] Die Angst hatte recht, und sie hinterließ etwas Bleibendes. Oder das Smartphone: Dass die ständige Erreichbarkeit unseren Schlaf stört, ist keine Kulturpessimisten-Behauptung, sondern inzwischen gut belegt.[6] Manchmal liegt die Angst eben richtig.</w:t>
      </w:r>
    </w:p>
    <w:p>
      <w:pPr>
        <w:pStyle w:val="Fliesstext"/>
        <w:ind w:firstLine="283"/>
      </w:pPr>
      <w:r>
        <w:t>Die zweite Sorte ist unangenehmer, weil sie berechnend ist. Ende der 1880er Jahre führte Thomas Edison eine regelrechte Angstkampagne gegen den Wechselstrom seiner Konkurrenten Westinghouse und Tesla. Wechselstrom war technisch überlegen, und genau das war das Problem: Edison hatte auf Gleichstrom gesetzt. Also ließ sein Umfeld öffentlich Tiere mit Wechselstrom töten, um ihn als Killerstrom vorzuführen, und prägte für den Tod durch Stromschlag den Ausdruck „to be Westinghoused".[7] Auf Empfehlung aus demselben Lager wählte der Staat New York für die Todesstrafe Wechselstrom; am 6. August 1890 wurde William Kemmler als erster Mensch auf dem elektrischen Stuhl hingerichtet, ein qualvoller Vorgang.[8] Hier warnte niemand aus Sorge. Hier verteidigte ein etablierter Anbieter sein Geschäftsmodell mit Leichenbildern. Wenn dir heute jemand mit sehr drastischen Bildern erklärt, warum eine bestimmte Technik gefährlich ist, lohnt die Frage, wem die Antwort nützt.</w:t>
      </w:r>
    </w:p>
    <w:p>
      <w:pPr>
        <w:pStyle w:val="Fliesstext"/>
        <w:ind w:firstLine="283"/>
      </w:pPr>
      <w:r>
        <w:t>Und dann gibt es die dritte Sorte, die schlicht verpufft ist. Der Schriftsteller Robert Louis Stevenson schrieb 1878 einen Aufsatz gegen das elektrische Licht: Es sei grauenhaft, überirdisch, eine Zumutung für das menschliche Auge, ein Licht, das nur auf Morde und Verbrechen scheinen sollte oder in die Gänge von Irrenanstalten.[9] In England musste vor motorisierten Fahrzeugen jahrelang ein Mann mit roter Fahne herlaufen; die Fahne verschwand 1878 aus dem Gesetz, die Tempolimits von Schrittgeschwindigkeit blieben noch Jahrzehnte.[10] Beides klingt heute komisch. Beides war damals ernst gemeint, von ernst zu nehmenden Leuten.</w:t>
      </w:r>
    </w:p>
    <w:p>
      <w:pPr>
        <w:pStyle w:val="Fliesstext"/>
        <w:ind w:firstLine="283"/>
      </w:pPr>
      <w:r>
        <w:t>Drei Sorten, ein Gefühl. Von außen sehen sie identisch aus, und das ist der eigentliche Ärger: Im Moment der Angst kannst du nicht erkennen, in welcher der drei Kategorien du gerade steckst. Die Aufregung fühlt sich bei einer erfundenen Warnung genauso echt an wie bei einer berechtigten. Nachträglich sortieren kann jeder; im Rückblick sind wir alle klug. Die Kunst ist, die Sortierung zu versuchen, während man mittendrin steht, mit unvollständigen Informationen und einem Bauchgefühl, das laut dazwischenredet. Dafür braucht man kein Orakel, sondern ein paar unbequeme Fragen: Wer behauptet das? Woher weiß er es? Was hat er davon? Und was müsste passieren, damit ich meine Meinung ändere?</w:t>
      </w:r>
    </w:p>
    <w:p>
      <w:pPr>
        <w:pStyle w:val="Zwischen"/>
      </w:pPr>
      <w:r>
        <w:t>Kompass statt Beruhigungspille</w:t>
      </w:r>
    </w:p>
    <w:p>
      <w:pPr>
        <w:pStyle w:val="Fliesstext"/>
      </w:pPr>
      <w:r>
        <w:t>Deshalb verspreche ich dir nicht, dass die KI harmlos ist. Ich verspreche dir etwas Nützlicheres: einen ehrlichen Kompass. Und weil das eine große Behauptung ist, sage ich dir konkret, wie dieses Buch arbeitet.</w:t>
      </w:r>
    </w:p>
    <w:p>
      <w:pPr>
        <w:pStyle w:val="Fliesstext"/>
        <w:ind w:firstLine="283"/>
      </w:pPr>
      <w:r>
        <w:t xml:space="preserve">Erstens trenne ich drei Dinge, die in Debatten dauernd ineinanderlaufen. Ein </w:t>
      </w:r>
      <w:r>
        <w:rPr>
          <w:b/>
        </w:rPr>
        <w:t>Beleg</w:t>
      </w:r>
      <w:r>
        <w:t xml:space="preserve"> ist etwas, das passiert ist oder gemessen wurde: eine Studie, ein Gesetz, ein Datum, ein Urteil. Eine </w:t>
      </w:r>
      <w:r>
        <w:rPr>
          <w:b/>
        </w:rPr>
        <w:t>Prognose</w:t>
      </w:r>
      <w:r>
        <w:t xml:space="preserve"> ist eine Schätzung über die Zukunft, egal wie seriös die Institution ist, die sie ausspricht. Eine </w:t>
      </w:r>
      <w:r>
        <w:rPr>
          <w:b/>
        </w:rPr>
        <w:t>Meinung</w:t>
      </w:r>
      <w:r>
        <w:t xml:space="preserve"> ist eine Position, meine oder die von jemand anderem. Wenn ich meine Meinung sage, schreibe ich dazu, dass es meine Meinung ist. Wenn ich eine Zahl bringe, findest du in den Endnoten, woher sie kommt, damit du es selbst nachprüfen kannst. Erfundene Studien und herbeizitierte Experten gibt es hier nicht.</w:t>
      </w:r>
    </w:p>
    <w:p>
      <w:pPr>
        <w:pStyle w:val="Fliesstext"/>
        <w:ind w:firstLine="283"/>
      </w:pPr>
      <w:r>
        <w:t>Zweitens zeige ich dir bei strittigen Fragen beide Seiten mit Namen und Zahlen. Ein Beispiel, das dich in Teil drei wieder einholen wird: Goldman Sachs schätzte 2023, generative KI könne die weltweite Wirtschaftsleistung um rund sieben Prozent steigern.[11] Der MIT-Ökonom Daron Acemoglu rechnete 2024 vor, der Produktivitätseffekt liege über zehn Jahre bei höchstens 0,66 Prozent.[12] Das ist keine kleine Meinungsverschiedenheit, das ist ein Faktor von rund zehn, zwischen zwei Adressen, die beide ernst zu nehmen sind. Beide Zahlen sind Prognosen, keine Messwerte. Wer dir nur eine davon zeigt, verkauft dir etwas.</w:t>
      </w:r>
    </w:p>
    <w:p>
      <w:pPr>
        <w:pStyle w:val="Fliesstext"/>
        <w:ind w:firstLine="283"/>
      </w:pPr>
      <w:r>
        <w:t>Drittens: Wo ich es nicht weiß, sage ich, dass ich es nicht weiß. Das kommt öfter vor, als mir lieb ist. Die Forschung zu vielen KI-Wirkungen ist zwei, drei Jahre alt, teilweise als Vorabdruck veröffentlicht und noch nicht unabhängig wiederholt. Ich werde dir das jedes Mal dazusagen, statt eine wacklige Zahl fett zu setzen, weil sie gut in meine Argumentation passt.</w:t>
      </w:r>
    </w:p>
    <w:p>
      <w:pPr>
        <w:pStyle w:val="Fliesstext"/>
        <w:ind w:firstLine="283"/>
      </w:pPr>
      <w:r>
        <w:t>Und viertens sage ich dir, wo ich befangen bin. Ich verdiene mein Geld damit, dass Automatisierung funktioniert. Ich baue diese Dinge, ich mag sie, und ich freue mich, wenn sie laufen. Jemand mit dieser Biografie hat einen eingebauten Drall zur guten Nachricht. Ich kann diesen Drall nicht abstellen, aber ich kann ihn dir offenlegen und mich zwingen, die Zahlen, die mir nicht passen, genauso ausführlich zu behandeln wie die anderen. An mindestens einer Stelle in Teil zwei wirst du merken, dass mir eine Studie sichtlich gegen den Strich geht. Sie steht trotzdem drin, mit allem, was für sie spricht.</w:t>
      </w:r>
    </w:p>
    <w:p>
      <w:pPr>
        <w:pStyle w:val="Fliesstext"/>
        <w:ind w:firstLine="283"/>
      </w:pPr>
      <w:r>
        <w:t>Das ist der Unterschied zwischen Beruhigung und Vertrauen. Beruhigung ist, wenn dir jemand sagt, du sollst dir keine Sorgen machen. Vertrauen ist, wenn du genug verstehst, um selbst zu entscheiden, worüber du dir Sorgen machen musst und worüber nicht. Das eine macht dich abhängig. Das andere macht dich frei.</w:t>
      </w:r>
    </w:p>
    <w:p>
      <w:pPr>
        <w:pStyle w:val="Zwischen"/>
      </w:pPr>
      <w:r>
        <w:t>Wer hier mit dir redet</w:t>
      </w:r>
    </w:p>
    <w:p>
      <w:pPr>
        <w:pStyle w:val="Fliesstext"/>
      </w:pPr>
      <w:r>
        <w:t>Ein Wort zu mir, damit du weißt, aus welcher Ecke ich komme. Aus dem Ruhrgebiet, um genau zu sein, aus Oberhausen.</w:t>
      </w:r>
    </w:p>
    <w:p>
      <w:pPr>
        <w:pStyle w:val="Fliesstext"/>
        <w:ind w:firstLine="283"/>
      </w:pPr>
      <w:r>
        <w:t>Mein Großvater kam als Gastarbeiter nach Deutschland. Mein Vater wurde mit vierzehn nachgeholt, ohne ein Wort Deutsch, und machte eine Ausbildung zum Schlosser. Meine Mutter lernte er in einem Dorf in der Türkei kennen; als ich zur Welt kam, war sie siebzehn. Ein Kind, das ein Kind bekam, tausend Kilometer von der eigenen Familie entfernt, in einer Sprache, die ihr auch nach fünfunddreißig Jahren noch schwerfällt. Ich habe als Jugendlicher gern Ausreden gesucht und dabei auch mal auf die Herkunft geschoben, wenn etwas nicht lief. Heute weiß ich es besser: Jeder ist seines Glückes Schmied. Und Technik ist eines der mächtigsten Werkzeuge, die einem das Schmieden erleichtern, wenn man keine Angst davor hat, sie in die Hand zu nehmen.</w:t>
      </w:r>
    </w:p>
    <w:p>
      <w:pPr>
        <w:pStyle w:val="Fliesstext"/>
        <w:ind w:firstLine="283"/>
      </w:pPr>
      <w:r>
        <w:t>Angefangen habe ich mit sieben. Erste Webseiten, HTML, zusammengeklaubt aus dem, was ich finden konnte, mit dieser vollkommen unverhältnismäßigen Begeisterung darüber, dass da etwas auf dem Bildschirm erscheint, weil ich es hingeschrieben habe. Später in der Schulzeit kamen erste kleine Programme dazu. Dann eine Ausbildung zum Informatikkaufmann, wo ich anfing, mit VBA und Access meine eigenen Aufgaben zu automatisieren, ganz eigennützig, weil ich keine Lust auf Fleißarbeit hatte. Irgendwann bekam ich die Chance, ein RPA-Team mitaufzubauen, und automatisierte als Entwickler die Prozesse der Kolleginnen und Kollegen. Da entstand auch der Bot vom Anfang dieses Buches.</w:t>
      </w:r>
    </w:p>
    <w:p>
      <w:pPr>
        <w:pStyle w:val="Fliesstext"/>
        <w:ind w:firstLine="283"/>
      </w:pPr>
      <w:r>
        <w:t>Heute leite ich ein Team, in dem Delivery Manager die Verantwortung für Crews tragen, die Automatisierungslösungen bauen: mal mit klassischen, regelbasierten Werkzeugen, mal mit künstlicher Intelligenz, je nachdem, was die Aufgabe braucht. Nicht KI um der KI willen. Ein sauber gebauter, stumpfsinniger Ablauf ist oft die bessere Lösung als ein Sprachmodell, das kreativ wird, wo niemand Kreativität bestellt hat. Privat baue ich mir abends mit Claude Code kleine Helfer für Dinge, die mich stören: flexibel, auf mich zugeschnitten, statt für jede Kleinigkeit ein weiteres Abo abzuschließen. Das ist übrigens der Teil, der mich an dieser Technik am meisten begeistert. Nicht dass sie Konzernen Kosten spart, sondern dass eine einzelne Person sich abends etwas bauen kann, wofür man vor zehn Jahren ein Projektbudget gebraucht hätte. Ich bin kein Philosoph und kein Zukunftsforscher, sondern Praktiker. Ich habe die Skepsis nicht aus Studien gelernt, sondern an echten Schreibtischen gesehen, auf den Gesichtern von Menschen, die nicht wussten, ob die Maschine ihr Freund oder ihr Nachfolger sein würde.</w:t>
      </w:r>
    </w:p>
    <w:p>
      <w:pPr>
        <w:pStyle w:val="Fliesstext"/>
        <w:ind w:firstLine="283"/>
      </w:pPr>
      <w:r>
        <w:t>Schon als Student habe ich in einer Facharbeit eine These vertreten, an die ich bis heute glaube: Automatisierung nimmt uns nicht einfach die Arbeit weg, sie verschiebt die Tätigkeit. Sie räumt das Stumpfe ab und schiebt uns das Anspruchsvollere zu. Das ist keine bequeme These, denn die Verschiebung tut weh, solange sie passiert, und sie trifft nicht alle gleich. Ob sie auch für die KI trägt, ist eine offene Frage, und ich werde sie in Teil zwei gegen die Daten laufen lassen, auch gegen die, die ihr widersprechen.</w:t>
      </w:r>
    </w:p>
    <w:p>
      <w:pPr>
        <w:pStyle w:val="Fliesstext"/>
        <w:ind w:firstLine="283"/>
      </w:pPr>
      <w:r>
        <w:t>Warum mich das umtreibt: Ich erlebe zu viele Menschen, die sich vor dem Neuen wegducken, nach dem Motto, früher sei alles besser gewesen. War es nicht. Wer dem Fortschritt grundsätzlich misstraut, müsste konsequenterweise mit dem Pferd zur Arbeit reiten statt mit Auto oder Bus. Macht aber keiner. Wir nehmen die Bequemlichkeiten, die uns die alten, einst gefürchteten Techniken schenken, völlig selbstverständlich. Meine Frau und ich arbeiten ehrenamtlich mit Jugendlichen, und dort sehe ich beides: die, die sich alles zutrauen, und die, die von vornherein glauben, das sei nichts für sie. Ich hatte in meiner Jugend keinen Mentor. Ich weiß ziemlich genau, was mir das gekostet hat. Dieses Buch ist der Versuch, für ein Thema die Rolle zu übernehmen, die mir damals gefehlt hat.</w:t>
      </w:r>
    </w:p>
    <w:p>
      <w:pPr>
        <w:pStyle w:val="Zwischen"/>
      </w:pPr>
      <w:r>
        <w:t>Wie dieses Buch gebaut ist</w:t>
      </w:r>
    </w:p>
    <w:p>
      <w:pPr>
        <w:pStyle w:val="Fliesstext"/>
      </w:pPr>
      <w:r>
        <w:t>Damit du weißt, was dich erwartet, hier die Landkarte.</w:t>
      </w:r>
    </w:p>
    <w:p>
      <w:pPr>
        <w:pStyle w:val="Fliesstext"/>
        <w:ind w:firstLine="283"/>
      </w:pPr>
      <w:r>
        <w:t xml:space="preserve">Der </w:t>
      </w:r>
      <w:r>
        <w:rPr>
          <w:b/>
        </w:rPr>
        <w:t>erste Teil</w:t>
      </w:r>
      <w:r>
        <w:t xml:space="preserve"> zeigt dir das Muster. Wir gehen zurück zu Trithemius und seinem Buchdruck, steigen in einen frühen Zug, sehen dem Stromkrieg zu, hören beim Telefon und beim Fernsehen zu, wie dieselben Sätze in neuen Kostümen wiederkehren. Und wir schauen uns an, warum unser Verstand auf Neues so verlässlich mit Furcht reagiert und warum das evolutionär eine ziemlich gute Idee war. Dazu kommen die Werkzeuge, mit denen die Forschung solche Wellen beschreibt: was eine moralische Panik ausmacht, warum wir kurzfristig immer zu viel und langfristig immer zu wenig erwarten, und warum man eine Technik am Anfang leicht steuern könnte, aber noch nicht versteht — und am Ende versteht, aber kaum noch steuern kann. Am Ende des ersten Teils wirst du den Reflex erkennen, sobald du ihn siehst, auch bei dir selbst. Das ist keine Immunisierung. Ich erkenne ihn bei mir auch und habe ihn trotzdem.</w:t>
      </w:r>
    </w:p>
    <w:p>
      <w:pPr>
        <w:pStyle w:val="Fliesstext"/>
        <w:ind w:firstLine="283"/>
      </w:pPr>
      <w:r>
        <w:t xml:space="preserve">Der </w:t>
      </w:r>
      <w:r>
        <w:rPr>
          <w:b/>
        </w:rPr>
        <w:t>zweite Teil</w:t>
      </w:r>
      <w:r>
        <w:t xml:space="preserve"> zieht eine ehrliche Bilanz der KI von heute. Nimmt sie dir die Arbeit weg? Macht sie uns dümmer? Was ist mit Diskriminierung, Datenschutz, Falschinformation, Energieverbrauch? Hier wird es konkret. Rechenzentren verbrauchten 2024 rund 415 Terawattstunden Strom, etwa anderthalb Prozent des weltweiten Verbrauchs[13] — und die eigentliche Arbeit beginnt genau da: Ist das viel? Verglichen womit? Solche Fragen sind der Alltag dieses Teils. Hier trenne ich Beleg, Prognose und Meinung besonders streng, und hier schenke ich dir nichts, in keine Richtung. Du wirst Studien finden, die eine deutliche Produktivitätssteigerung messen, und daneben eine, in der erfahrene Entwickler mit KI-Unterstützung langsamer wurden, obwohl sie selbst überzeugt waren, schneller zu sein.[14] Beide sind seriös. Beide stehen drin.</w:t>
      </w:r>
    </w:p>
    <w:p>
      <w:pPr>
        <w:pStyle w:val="Fliesstext"/>
        <w:ind w:firstLine="283"/>
      </w:pPr>
      <w:r>
        <w:t xml:space="preserve">Der </w:t>
      </w:r>
      <w:r>
        <w:rPr>
          <w:b/>
        </w:rPr>
        <w:t>dritte Teil</w:t>
      </w:r>
      <w:r>
        <w:t xml:space="preserve"> führt vom Fürchten zum Vertrauen. Wir hören uns die großen Prognosen an, die euphorischen wie die düsteren, und lernen, sie zu lesen. Das ist eine Fähigkeit für sich: 1995 erklärte der Astronom und frühe Netzpionier Clifford Stoll in </w:t>
      </w:r>
      <w:r>
        <w:rPr>
          <w:i/>
        </w:rPr>
        <w:t>Newsweek</w:t>
      </w:r>
      <w:r>
        <w:t>, warum das Internet weder den Handel noch die Zeitungen noch die Schule ernsthaft verändern werde.[15] Er war klug, er kannte das Netz besser als fast jeder andere, und er lag daneben. Danach reden wir darüber, was vom Menschen bleibt, wenn die Maschine immer mehr kann. Im zwölften Kapitel sage ich dir, wovor ich tatsächlich Angst habe, und das ist nicht das, was in den Schlagzeilen steht. Und am Ende bekommst du etwas Praktisches in die Hand: wie man Vertrauen aufbaut, ohne naiv zu werden. Vertrauen ist keine Stimmung, es ist eine Fähigkeit, und Fähigkeiten kann man lernen.</w:t>
      </w:r>
    </w:p>
    <w:p>
      <w:pPr>
        <w:pStyle w:val="Fliesstext"/>
        <w:ind w:firstLine="283"/>
      </w:pPr>
      <w:r>
        <w:t>Die Kollegin von damals hat ihren Job übrigens behalten. Sie macht heute nicht mehr die nächtliche Übertragung, die der Bot erledigt. Sie macht das, wofür vorher nie Zeit war. Ihre Tätigkeit hat sich verschoben, genau wie in meiner Facharbeit. Ob das auch im großen Maßstab so kommt, mit der KI, das ist keine ausgemachte Sache, und wir werden den Daten dazu auf den Grund gehen.</w:t>
      </w:r>
    </w:p>
    <w:p>
      <w:pPr>
        <w:pStyle w:val="Fliesstext"/>
        <w:ind w:firstLine="283"/>
      </w:pPr>
      <w:r>
        <w:t>Aber eines steht fest: Die Lok fährt los, ob wir nun Angst haben oder nicht. Die Frage ist bloß, ob wir am Bahnsteig stehen bleiben — oder einsteigen und schauen, wohin sie fährt. Ich finde, einsteigen ist die klügere Wahl. Lass mich dir zeigen, warum.</w:t>
      </w:r>
    </w:p>
    <w:p>
      <w:r>
        <w:br w:type="page"/>
      </w:r>
    </w:p>
    <w:p>
      <w:pPr>
        <w:pStyle w:val="Fliesstext"/>
      </w:pPr>
    </w:p>
    <w:p>
      <w:pPr>
        <w:pStyle w:val="Fliesstext"/>
      </w:pPr>
    </w:p>
    <w:p>
      <w:pPr>
        <w:pStyle w:val="Fliesstext"/>
      </w:pPr>
    </w:p>
    <w:p>
      <w:pPr>
        <w:pStyle w:val="Fliesstext"/>
      </w:pPr>
    </w:p>
    <w:p>
      <w:pPr>
        <w:pStyle w:val="Fliesstext"/>
      </w:pPr>
    </w:p>
    <w:p>
      <w:pPr>
        <w:pStyle w:val="Fliesstext"/>
      </w:pPr>
    </w:p>
    <w:p>
      <w:pPr>
        <w:pStyle w:val="TeilLabel"/>
      </w:pPr>
      <w:r>
        <w:t>TEIL I</w:t>
      </w:r>
    </w:p>
    <w:p>
      <w:pPr>
        <w:pStyle w:val="TeilTitel"/>
      </w:pPr>
      <w:r>
        <w:t>Das Muster: Warum wir uns immer fürchten</w:t>
      </w:r>
    </w:p>
    <w:p>
      <w:r>
        <w:br w:type="page"/>
      </w:r>
    </w:p>
    <w:p>
      <w:pPr>
        <w:pStyle w:val="KapitelNummer"/>
      </w:pPr>
      <w:r>
        <w:rPr>
          <w:i/>
        </w:rPr>
        <w:t>Kapitel 1</w:t>
      </w:r>
    </w:p>
    <w:p>
      <w:pPr>
        <w:pStyle w:val="KapitelTitel"/>
      </w:pPr>
      <w:r>
        <w:t>Die Angst ist älter als die Maschine</w:t>
      </w:r>
    </w:p>
    <w:p>
      <w:pPr>
        <w:pStyle w:val="Fliesstext"/>
      </w:pPr>
      <w:r>
        <w:t>Vor einiger Zeit saß ich in einem Workshop, in dem wir einem Fachbereich zeigten, wie ein KI-Assistent ihre Recherchearbeit abkürzen könnte. Es lief gut. Die Leute stellten Fragen, probierten Formulierungen aus, jemand lachte über eine Antwort, die daneben lag. Dann meldete sich ein Kollege, seit zwanzig Jahren im Haus, sehr gut in dem, was er tut, und sagte den Satz, den ich seither in Variationen überall höre:</w:t>
      </w:r>
    </w:p>
    <w:p>
      <w:pPr>
        <w:pStyle w:val="Fliesstext"/>
        <w:ind w:firstLine="283"/>
      </w:pPr>
      <w:r>
        <w:t>„Wenn ich das Ding jeden Tag benutze — verlerne ich dann nicht, selbst zu denken?"</w:t>
      </w:r>
    </w:p>
    <w:p>
      <w:pPr>
        <w:pStyle w:val="Fliesstext"/>
        <w:ind w:firstLine="283"/>
      </w:pPr>
      <w:r>
        <w:t>Es war keine rhetorische Frage. Er wollte es wirklich wissen. Und ich muss zugeben: Es ist eine gute Frage. Wir kommen im siebten Kapitel darauf zurück, wo ich dir Daten dazu zeige, die dir vielleicht nicht gefallen werden.</w:t>
      </w:r>
    </w:p>
    <w:p>
      <w:pPr>
        <w:pStyle w:val="Fliesstext"/>
        <w:ind w:firstLine="283"/>
      </w:pPr>
      <w:r>
        <w:t>Aber in diesem Moment fiel mir etwas anderes auf. Ich hatte diesen Satz schon einmal gelesen. Nicht in einer Studie, nicht auf LinkedIn. In einem Text aus dem Jahr 1492.</w:t>
      </w:r>
    </w:p>
    <w:p>
      <w:pPr>
        <w:pStyle w:val="Zwischen"/>
      </w:pPr>
      <w:r>
        <w:t>Ein Abt schreibt gegen die Maschine</w:t>
      </w:r>
    </w:p>
    <w:p>
      <w:pPr>
        <w:pStyle w:val="Fliesstext"/>
      </w:pPr>
      <w:r>
        <w:t>Sponheim liegt in der Nähe von Bad Kreuznach, an der Nahe, im Hügelland zwischen Hunsrück und Rheinebene. Dort stand ein Benediktinerkloster, das in den 1480er Jahren keinen besonders guten Ruf hatte: heruntergewirtschaftet, unterbesetzt, mit einer Bibliothek, die aus ein paar Dutzend Bänden bestand. 1483 bekam es einen neuen Abt. Johannes Trithemius, geboren 1462 in Trittenheim an der Mosel, war zu diesem Zeitpunkt einundzwanzig Jahre alt.[9]</w:t>
      </w:r>
    </w:p>
    <w:p>
      <w:pPr>
        <w:pStyle w:val="Fliesstext"/>
        <w:ind w:firstLine="283"/>
      </w:pPr>
      <w:r>
        <w:t xml:space="preserve">Er blieb dreiundzwanzig Jahre, und was er in dieser Zeit aufbaute, machte ihn im Reich berühmt. Die Bibliothek von Sponheim wuchs von den paar Dutzend Bänden auf rund zweitausend an — für ein Kloster dieser Größenordnung eine Sammlung, wegen der Gelehrte anreisten.[9] Trithemius war kein weltferner Betbruder. Er korrespondierte mit Humanisten, er schrieb über Geschichte, über Kryptografie, über Dinge am Rand des Erlaubten. Sein bekanntestes Werk, die </w:t>
      </w:r>
      <w:r>
        <w:rPr>
          <w:i/>
        </w:rPr>
        <w:t>Steganographia</w:t>
      </w:r>
      <w:r>
        <w:t>, ist ein Buch über verschlüsselte Nachrichtenübermittlung, verkleidet als Beschwörungsliteratur; es wurde erst 1606 gedruckt und landete kurz darauf auf dem Index der verbotenen Bücher.[11] Darauf komme ich am Ende zurück.</w:t>
      </w:r>
    </w:p>
    <w:p>
      <w:pPr>
        <w:pStyle w:val="Fliesstext"/>
        <w:ind w:firstLine="283"/>
      </w:pPr>
      <w:r>
        <w:t xml:space="preserve">Um 1492, mit dreißig, setzte sich dieser Mann hin und verfasste eine Streitschrift mit dem Titel </w:t>
      </w:r>
      <w:r>
        <w:rPr>
          <w:i/>
        </w:rPr>
        <w:t>De laude scriptorum</w:t>
      </w:r>
      <w:r>
        <w:t>: „Lob der Schreiber".[1]</w:t>
      </w:r>
    </w:p>
    <w:p>
      <w:pPr>
        <w:pStyle w:val="Fliesstext"/>
        <w:ind w:firstLine="283"/>
      </w:pPr>
      <w:r>
        <w:t>Der Anlass war der Buchdruck. Gutenbergs Verfahren mit den beweglichen Lettern war zu diesem Zeitpunkt gut vierzig Jahre alt und hatte Europa in einer Geschwindigkeit überzogen, auf die ich gleich genauer eingehe. Wo 1450 noch Mönche Zeile für Zeile abschrieben, standen jetzt in Hunderten von Städten Pressen. Bücher, die vorher ein Vermögen kosteten und Monate der Arbeit, wurden in Auflagen hergestellt. Es war die größte Umwälzung im Umgang mit Wissen, die der Kontinent bis dahin gesehen hatte.</w:t>
      </w:r>
    </w:p>
    <w:p>
      <w:pPr>
        <w:pStyle w:val="Fliesstext"/>
        <w:ind w:firstLine="283"/>
      </w:pPr>
      <w:r>
        <w:t>Und Trithemius hielt dagegen. Seine Argumente lohnen es, sie einzeln anzusehen, denn du wirst sie wiedererkennen.</w:t>
      </w:r>
    </w:p>
    <w:p>
      <w:pPr>
        <w:pStyle w:val="Fliesstext"/>
        <w:ind w:firstLine="283"/>
      </w:pPr>
      <w:r>
        <w:rPr>
          <w:b/>
        </w:rPr>
        <w:t>Erstens: Der Mensch wird faul.</w:t>
      </w:r>
      <w:r>
        <w:t xml:space="preserve"> Das Abschreiben von Hand, so Trithemius, sei eine geistige und geistliche Übung. Wer einen Text kopiert, geht ihn Wort für Wort durch, verinnerlicht ihn, arbeitet ihn in sich hinein. Der Druck nehme dem Mönch diese Arbeit ab und damit den Nutzen der Arbeit. Es gebe, schrieb er sinngemäß, keinen größeren Feind der frommen Seele als den Müßiggang.[1] Man muss sich das im Kontext eines Klosters vorstellen: Der Tag war in Gebet und Arbeit eingeteilt, und das Skriptorium war der Ort, an dem beides zusammenfiel. Wer schrieb, betete mit der Hand. Fällt die Handarbeit weg, fällt eine Form der Frömmigkeit weg, und was bleibt, ist ein Mönch, der Zeit hat. Übersetzt in heutige Sprache: Wenn die Maschine die Denkarbeit übernimmt, hört der Mensch auf zu denken.</w:t>
      </w:r>
    </w:p>
    <w:p>
      <w:pPr>
        <w:pStyle w:val="Fliesstext"/>
        <w:ind w:firstLine="283"/>
      </w:pPr>
      <w:r>
        <w:rPr>
          <w:b/>
        </w:rPr>
        <w:t>Zweitens: Die Qualität verfällt.</w:t>
      </w:r>
      <w:r>
        <w:t xml:space="preserve"> Gedruckte Bücher waren zunächst oft fehlerhaft. Wo ein sorgfältiger Schreiber ein Manuskript prüfte und beim Kopieren mitdachte, spuckte die Presse hundert identische Exemplare eines Fehlers aus. Skalierte Schlamperei, würde man heute sagen. Und anders als beim Abschreiben, wo jeder Fehler ein Einzelfall bleibt, wird der Druckfehler zum Standard.</w:t>
      </w:r>
    </w:p>
    <w:p>
      <w:pPr>
        <w:pStyle w:val="Fliesstext"/>
        <w:ind w:firstLine="283"/>
      </w:pPr>
      <w:r>
        <w:rPr>
          <w:b/>
        </w:rPr>
        <w:t>Drittens, und das ist mein Lieblingsargument: Das Papier hält nicht.</w:t>
      </w:r>
      <w:r>
        <w:t xml:space="preserve"> Trithemius wandte ein, gedruckte Bücher auf Papier zerfielen nach zwei Jahrhunderten, während sorgfältig beschriebenes Pergament ein Jahrtausend überdauere.[1][3] Eine Warnung über die Langzeitarchivierung von Wissen, vorgetragen 1492. Wenn du dich schon einmal gefragt hast, ob deine Fotos auf der alten Festplatte in dreißig Jahren noch lesbar sein werden, hast du gerade Trithemius zitiert.</w:t>
      </w:r>
    </w:p>
    <w:p>
      <w:pPr>
        <w:pStyle w:val="Fliesstext"/>
        <w:ind w:firstLine="283"/>
      </w:pPr>
      <w:r>
        <w:t>Und jetzt die Pointe, die den ganzen Fall erst wertvoll macht.</w:t>
      </w:r>
    </w:p>
    <w:p>
      <w:pPr>
        <w:pStyle w:val="Fliesstext"/>
        <w:ind w:firstLine="283"/>
      </w:pPr>
      <w:r>
        <w:t xml:space="preserve">Trithemius ließ seine Streitschrift gegen den Buchdruck </w:t>
      </w:r>
      <w:r>
        <w:rPr>
          <w:b/>
        </w:rPr>
        <w:t>drucken</w:t>
      </w:r>
      <w:r>
        <w:t>. 1494, bei Peter von Friedberg in Mainz.[1][2] Handschriftlich hätte sie vielleicht ein Dutzend Menschen erreicht. Gedruckt erreichte sie ein Publikum. Er war außerdem ein begeisterter Sammler gedruckter Bücher und baute die Bibliothek seines Klosters mit ihnen massiv aus.</w:t>
      </w:r>
    </w:p>
    <w:p>
      <w:pPr>
        <w:pStyle w:val="Fliesstext"/>
        <w:ind w:firstLine="283"/>
      </w:pPr>
      <w:r>
        <w:t xml:space="preserve">Es kommt noch dicker. Im selben Jahr 1494 erschien in Basel ein weiteres Werk von ihm, der </w:t>
      </w:r>
      <w:r>
        <w:rPr>
          <w:i/>
        </w:rPr>
        <w:t>Liber de scriptoribus ecclesiasticis</w:t>
      </w:r>
      <w:r>
        <w:t>, ein Verzeichnis kirchlicher Schriftsteller mit ihren Werken.[10] Das ist, wenn man es nüchtern betrachtet, eine der frühen gedruckten Bibliografien: ein Hilfsmittel, um sich in einer wachsenden Menge von Texten zurechtzufinden. Der Mann, der gegen die Bücherproduktion anschrieb, lieferte im selben Atemzug ein Werkzeug zur Bewältigung der Bücherproduktion. Und er ließ es drucken, weil ein Verzeichnis, das nur einmal existiert, ungefähr so nützlich ist wie ein Telefonbuch in einer Auflage von eins.</w:t>
      </w:r>
    </w:p>
    <w:p>
      <w:pPr>
        <w:pStyle w:val="Fliesstext"/>
        <w:ind w:firstLine="283"/>
      </w:pPr>
      <w:r>
        <w:t>Man kann das billig finden und ihn einen Heuchler nennen. Ich halte das für den falschen Schluss, und ich glaube, hier steckt die eigentliche Lehre für uns. Trithemius war kein Dummkopf und kein Heuchler. Er war ein Mensch mitten in einem Umbruch, der die neue Technik gleichzeitig fürchtete und benutzte, weil sie schlicht funktionierte. Genau da stehen heute Millionen Menschen mit der KI. Sie posten Bedenken über KI in Netzwerken, deren Feed von KI sortiert wird. Sie schreiben Texte darüber, dass KI das Schreiben ruiniert, und lassen sich die Rechtschreibung von einem Modell prüfen. Das ist keine Doppelmoral. Das ist der Normalzustand während einer Umwälzung: Man nutzt, was besser funktioniert, und die Angst läuft nebenher mit.</w:t>
      </w:r>
    </w:p>
    <w:p>
      <w:pPr>
        <w:pStyle w:val="Fliesstext"/>
        <w:ind w:firstLine="283"/>
      </w:pPr>
      <w:r>
        <w:t>Übrigens ist die Frage, wer in der Sache recht hatte, komplizierter, als es der Spott nahelegt. Zum Papier: Trithemius lag nicht völlig falsch. Papier aus dem 19. Jahrhundert zerfällt tatsächlich, Säurefraß ist ein reales und teures Problem in jeder großen Bibliothek. Nur hatte er die Rechnung falsch aufgestellt. Der Druck gleicht die schlechtere Haltbarkeit durch Menge aus. Ein Text, der in tausend Exemplaren existiert, überlebt, auch wenn neunhundert davon vergammeln. Ein Unikat auf bestem Pergament ist weg, wenn die Bibliothek brennt. Redundanz schlägt Materialqualität. Das ist, nebenbei, exakt das Prinzip, nach dem heute jedes Rechenzentrum deine Daten sichert.</w:t>
      </w:r>
    </w:p>
    <w:p>
      <w:pPr>
        <w:pStyle w:val="Zwischen"/>
      </w:pPr>
      <w:r>
        <w:t>Was er tatsächlich vor sich sah</w:t>
      </w:r>
    </w:p>
    <w:p>
      <w:pPr>
        <w:pStyle w:val="Fliesstext"/>
      </w:pPr>
      <w:r>
        <w:t>Damit du verstehst, warum ein vernünftiger Mensch 1492 in Panik geriet, muss ich dir zeigen, was in den vierzig Jahren davor passiert war. Denn „der Buchdruck kam auf" klingt nach einer allmählichen Sache. Es war keine.</w:t>
      </w:r>
    </w:p>
    <w:p>
      <w:pPr>
        <w:pStyle w:val="Fliesstext"/>
        <w:ind w:firstLine="283"/>
      </w:pPr>
      <w:r>
        <w:t>Um 1454/55 lag in Mainz die erste größere Arbeit aus Gutenbergs Werkstatt vor, die zweiundvierzigzeilige Bibel, hergestellt vermutlich in einer Auflage von unter zweihundert Exemplaren.[7] Von dort aus ging es schneller, als irgendjemand vorbereitet war. Bamberg und Straßburg noch in den späten 1450er Jahren. Köln 1465. Im selben Jahr richteten zwei Deutsche im italienischen Kloster Subiaco die erste Presse südlich der Alpen ein. Venedig 1469. Paris 1470. Krakau 1473. Westminster 1476, wo William Caxton anfing, englisch zu drucken. Bis zum Jahr 1500 wurde in mehr als zweihundertfünfzig europäischen Städten gedruckt.[7]</w:t>
      </w:r>
    </w:p>
    <w:p>
      <w:pPr>
        <w:pStyle w:val="Fliesstext"/>
        <w:ind w:firstLine="283"/>
      </w:pPr>
      <w:r>
        <w:t>Die Bücher aus dieser Zeit — alles, was vor dem 1. Januar 1501 gedruckt wurde — nennt man Inkunabeln, Wiegendrucke. Der zentrale Katalog dieser Frühdrucke verzeichnet um die dreißigtausend verschiedene Ausgaben. Wie viele Exemplare das insgesamt waren, weiß niemand genau; die Schätzungen der Forschung schwanken erheblich und liegen meist zwischen acht und zwanzig Millionen Stück.[7] Kein Ort druckte mehr als Venedig.</w:t>
      </w:r>
    </w:p>
    <w:p>
      <w:pPr>
        <w:pStyle w:val="Fliesstext"/>
        <w:ind w:firstLine="283"/>
      </w:pPr>
      <w:r>
        <w:t>Und wie sah das aus, konkret? Der Ablauf lässt sich aus zeitgenössischen Bildquellen und späteren Handbüchern gut rekonstruieren.[8] Stell dir einen Raum vor, in dem es nach Leinöl und Ruß riecht, denn daraus wird die Druckfarbe angerührt, eine zähe, klebrige Sache, näher an Ölfarbe als an Tinte. An der Wand stehen schräge Kästen mit Fächern für die einzelnen Buchstaben. Davor steht der Setzer und nimmt Letter für Letter heraus, seitenverkehrt, und reiht sie in einem Winkelhaken aneinander. Eine Seite Text sind ein paar tausend Handgriffe. Ist der Satz fertig, wird er in einen Rahmen gespannt und festgekeilt, damit sich nichts verschiebt.</w:t>
      </w:r>
    </w:p>
    <w:p>
      <w:pPr>
        <w:pStyle w:val="Fliesstext"/>
        <w:ind w:firstLine="283"/>
      </w:pPr>
      <w:r>
        <w:t>An der Presse arbeiten zwei. Der eine schwärzt die Form mit zwei Lederballen ein, die mit Hundehaar ausgestopft sind, weil Hundehaar keine Poren hat und die Farbe nicht aufsaugt. Der andere legt den angefeuchteten Bogen ein, fährt den Karren unter den Tiegel, zieht am Bengel, fährt zurück, verschiebt, zieht noch einmal — bei den meisten Formaten braucht ein Bogen zwei Züge. Ein eingespieltes Paar schaffte grob zweihundert bis zweihundertfünfzig Abzüge in der Stunde.[8]</w:t>
      </w:r>
    </w:p>
    <w:p>
      <w:pPr>
        <w:pStyle w:val="Fliesstext"/>
        <w:ind w:firstLine="283"/>
      </w:pPr>
      <w:r>
        <w:t xml:space="preserve">Rechne das gegen einen Mönch im Skriptorium, der an einem umfangreichen Buch Monate sitzt. Große Häuser fuhren mehrere Pressen gleichzeitig; die Offizin des Nürnbergers Anton Koberger, der 1493 die </w:t>
      </w:r>
      <w:r>
        <w:rPr>
          <w:i/>
        </w:rPr>
        <w:t>Schedelsche Weltchronik</w:t>
      </w:r>
      <w:r>
        <w:t xml:space="preserve"> herausbrachte, gilt als der größte Betrieb dieser Art im Reich.[8]</w:t>
      </w:r>
    </w:p>
    <w:p>
      <w:pPr>
        <w:pStyle w:val="Fliesstext"/>
        <w:ind w:firstLine="283"/>
      </w:pPr>
      <w:r>
        <w:t>Das war die Lage, als Trithemius zur Feder griff. Er stand nicht am Anfang einer Entwicklung und warnte vorsorglich. Er stand mittendrin und sah in einer einzigen Generation ein Handwerk verschwinden, das seit tausend Jahren die Grundlage klösterlicher Gelehrsamkeit gewesen war. Das ist keine dumme Reaktion. Das ist die Reaktion eines Menschen, der begriffen hat, was gerade passiert.</w:t>
      </w:r>
    </w:p>
    <w:p>
      <w:pPr>
        <w:pStyle w:val="Zwischen"/>
      </w:pPr>
      <w:r>
        <w:t>Noch älter: der Gott, der das Schreiben erfand</w:t>
      </w:r>
    </w:p>
    <w:p>
      <w:pPr>
        <w:pStyle w:val="Fliesstext"/>
      </w:pPr>
      <w:r>
        <w:t>Wenn du glaubst, 1492 sei früh, muss ich dich enttäuschen. Der Reflex ist noch deutlich älter, und zwar so alt, dass er sich gegen eine Technik richtete, die wir heute nicht einmal mehr als Technik wahrnehmen: die Schrift selbst.</w:t>
      </w:r>
    </w:p>
    <w:p>
      <w:pPr>
        <w:pStyle w:val="Fliesstext"/>
        <w:ind w:firstLine="283"/>
      </w:pPr>
      <w:r>
        <w:t xml:space="preserve">Die Szene, in der das steht, ist eine der bekanntesten der antiken Literatur. In Platons Dialog </w:t>
      </w:r>
      <w:r>
        <w:rPr>
          <w:i/>
        </w:rPr>
        <w:t>Phaidros</w:t>
      </w:r>
      <w:r>
        <w:t>, etwa 370 vor Christus geschrieben, gehen Sokrates und der junge Phaidros an einem heißen Mittag aus Athen hinaus, an den Fluss Ilissos, waten barfuß durchs Wasser und legen sich unter eine Platane. Phaidros hat eine Rede dabei — als Text, unter dem Mantel versteckt. Aus dieser Situation heraus, ein geschriebener Text als Gesprächsgegenstand, kommt Sokrates am Ende auf die Frage, was das Schreiben eigentlich mit uns macht. Und er erzählt eine ägyptische Geschichte.[4][12]</w:t>
      </w:r>
    </w:p>
    <w:p>
      <w:pPr>
        <w:pStyle w:val="Fliesstext"/>
        <w:ind w:firstLine="283"/>
      </w:pPr>
      <w:r>
        <w:t>Der Gott Theuth, so Sokrates, habe die Zahl erfunden, das Rechnen, die Geometrie, die Sternkunde, das Brettspiel und das Würfelspiel — und schließlich die Buchstaben. Damit sei er zum König Thamus gegangen, um die Erfindungen vorzuführen, damit der König sie an die Ägypter weitergebe. Beim Alphabet hält Theuth seinen Vortrag, stolz wie ein Gründer beim Pitch: Diese Kunst werde die Ägypter weiser machen und ihr Gedächtnis stärken; er habe ein Mittel für Erinnerung und Weisheit gefunden.</w:t>
      </w:r>
    </w:p>
    <w:p>
      <w:pPr>
        <w:pStyle w:val="Fliesstext"/>
        <w:ind w:firstLine="283"/>
      </w:pPr>
      <w:r>
        <w:t xml:space="preserve">Thamus widerspricht, und er widerspricht auf eine Weise, die es in sich hat. Erstens verweigert er dem Erfinder das Urteil über die eigene Erfindung: Wer etwas hervorbringt, sagt der König sinngemäß, ist nicht deshalb auch in der Lage zu beurteilen, was es den Nutzern nützt oder schadet. Zweitens dreht er die Wirkung um. Die Schrift werde in den Seelen derer, die sie lernen, Vergessen erzeugen, weil sie das Gedächtnis nicht mehr üben. Sie würden sich auf äußere, fremde Zeichen verlassen statt auf das Erinnern von innen heraus. Theuth habe kein Mittel für das Erinnern gefunden, sondern nur eines fürs Erinnertwerden. Und drittens, der Satz, der bis heute sitzt: Die Schüler würden vieles gehört haben, ohne unterrichtet worden zu sein, und deshalb </w:t>
      </w:r>
      <w:r>
        <w:rPr>
          <w:b/>
        </w:rPr>
        <w:t>scheinbar</w:t>
      </w:r>
      <w:r>
        <w:t xml:space="preserve"> weise sein statt weise.[4]</w:t>
      </w:r>
    </w:p>
    <w:p>
      <w:pPr>
        <w:pStyle w:val="Fliesstext"/>
        <w:ind w:firstLine="283"/>
      </w:pPr>
      <w:r>
        <w:t>Lies das noch einmal und denke an jemanden, der sich einen Sachverhalt von einem Chatbot zusammenfassen lässt und danach im Meeting so redet, als hätte er die Materie durchdrungen. Zweitausendvierhundert Jahre. Dieselbe Sorge, fast wortgleich.</w:t>
      </w:r>
    </w:p>
    <w:p>
      <w:pPr>
        <w:pStyle w:val="Fliesstext"/>
        <w:ind w:firstLine="283"/>
      </w:pPr>
      <w:r>
        <w:t>Sokrates lässt es dabei nicht bewenden, und der zweite Teil seiner Kritik ist der schärfere. Geschriebene Worte, sagt er, seien wie Gemälde: Sie stehen da wie lebendig, aber wenn du sie etwas fragst, schweigen sie feierlich. Sie antworten immer nur dasselbe, egal wer fragt und warum. Ein Text kann sich seine Leser nicht aussuchen; er rollt überallhin, zu denen, die ihn verstehen, und zu denen, die ihn nicht verstehen, und er weiß nicht, zu wem er reden soll und zu wem nicht. Und wenn er ungerecht angegriffen wird, braucht er immer die Hilfe seines Vaters, weil er sich nicht selbst verteidigen kann.[12]</w:t>
      </w:r>
    </w:p>
    <w:p>
      <w:pPr>
        <w:pStyle w:val="Fliesstext"/>
        <w:ind w:firstLine="283"/>
      </w:pPr>
      <w:r>
        <w:t>Nimm den letzten Punkt ernst. Das ist keine Kulturkritik, das ist eine präzise Beschreibung dessen, was passiert, wenn Inhalte sich vom Sprecher lösen und allein weiterwandern. Jeder, der schon einmal einen aus dem Zusammenhang gerissenen Satz von sich in einem fremden Kommentarbereich wiedergefunden hat, weiß, was Sokrates meint. Die heutige Version ist noch eine Stufe härter: Ein Modell antwortet zwar auf Rückfragen, aber es weiß ebenso wenig, wer da fragt und was der Fragende mit der Antwort vorhat.</w:t>
      </w:r>
    </w:p>
    <w:p>
      <w:pPr>
        <w:pStyle w:val="Fliesstext"/>
        <w:ind w:firstLine="283"/>
      </w:pPr>
      <w:r>
        <w:t xml:space="preserve">Es kommt noch besser. Platon schrieb diese Kritik an der Schrift auf. Er hätte auch das nicht tun müssen; seine ganze Philosophie kreiste um das lebendige Gespräch, und im </w:t>
      </w:r>
      <w:r>
        <w:rPr>
          <w:i/>
        </w:rPr>
        <w:t>Phaidros</w:t>
      </w:r>
      <w:r>
        <w:t xml:space="preserve"> selbst nennt er die eigentliche Rede diejenige, die mit Wissen in die Seele des Lernenden geschrieben wird und die sich wehren kann. Aber ohne die Schrift, gegen die er argumentierte, hätte kein Mensch je davon erfahren.</w:t>
      </w:r>
    </w:p>
    <w:p>
      <w:pPr>
        <w:pStyle w:val="Fliesstext"/>
        <w:ind w:firstLine="283"/>
      </w:pPr>
      <w:r>
        <w:t>Warum hat er es trotzdem getan? Die ehrlichste Antwort ist: Wir wissen es nicht sicher. Es gibt aber zwei Beobachtungen, die man machen kann, ohne zu spekulieren. Die erste ist die Form. Platon schreibt keine Traktate, er schreibt Dialoge — Texte, die so tun, als wären sie Gespräche, mit Einwänden, Umwegen, Missverständnissen und Sprechern, die einander unterbrechen. Das ist der Versuch, das Beste der mündlichen Form in das neue Medium hinüberzuretten. Er hat die Schrift nicht abgelehnt, er hat sie umgebaut. Die zweite Beobachtung: Im sogenannten Siebten Brief, dessen Echtheit die Forschung bis heute bestreitet, steht die Bemerkung, über die letzten und wichtigsten Dinge gebe es von ihm keine Schrift und werde es keine geben.[13] Wenn der Brief echt ist, hat Platon eine Grenze gezogen statt eines Verbots: Das meiste kann man schreiben, das Wichtigste nicht. Ich halte das für die klügere Haltung, aber sie ist nicht meine, ich habe sie nur geerbt.</w:t>
      </w:r>
    </w:p>
    <w:p>
      <w:pPr>
        <w:pStyle w:val="Fliesstext"/>
        <w:ind w:firstLine="283"/>
      </w:pPr>
      <w:r>
        <w:t>Trithemius hat also nicht einmal die Ironie erfunden. Auch die hat er geerbt.</w:t>
      </w:r>
    </w:p>
    <w:p>
      <w:pPr>
        <w:pStyle w:val="Fliesstext"/>
        <w:ind w:firstLine="283"/>
      </w:pPr>
      <w:r>
        <w:t>Und noch etwas ist bemerkenswert. Thamus lag nicht komplett daneben. Unser Gedächtnis für Texte ist tatsächlich schwächer geworden. Homers Epen wurden über Generationen mündlich weitergegeben, Zehntausende Verse, auswendig. Kein normaler Mensch heute kann das. Wir haben diese Fähigkeit gegen etwas anderes eingetauscht, und zwar gegen ein Vielfaches an verfügbarem Wissen. Die Frage ist nie, ob wir etwas verlieren. Wir verlieren immer etwas. Die Frage ist, was wir dafür bekommen und ob der Tausch sich lohnt. Bei der Schrift würde heute niemand ernsthaft rückabwickeln wollen.</w:t>
      </w:r>
    </w:p>
    <w:p>
      <w:pPr>
        <w:pStyle w:val="Fliesstext"/>
        <w:ind w:firstLine="283"/>
      </w:pPr>
      <w:r>
        <w:t>Merke dir diese Formulierung. Sie ist eines der wichtigsten Werkzeuge in diesem Buch, und wir werden sie im fünften Kapitel schärfen und in Kapitel sieben auf die KI anwenden: Nicht „Was verlieren wir?", sondern „Was verlieren wir, was gewinnen wir, und wie steht die Bilanz?"</w:t>
      </w:r>
    </w:p>
    <w:p>
      <w:pPr>
        <w:pStyle w:val="Zwischen"/>
      </w:pPr>
      <w:r>
        <w:t>Die Bücherflut, anno 1525</w:t>
      </w:r>
    </w:p>
    <w:p>
      <w:pPr>
        <w:pStyle w:val="Fliesstext"/>
      </w:pPr>
      <w:r>
        <w:t>Eine Generation nach Trithemius war der Kampf entschieden. Der Buchdruck war überall, die Pressen liefen, niemand debattierte mehr ernsthaft, ob er sich durchsetzen würde. Man hätte meinen können, damit sei die Sorge erledigt.</w:t>
      </w:r>
    </w:p>
    <w:p>
      <w:pPr>
        <w:pStyle w:val="Fliesstext"/>
        <w:ind w:firstLine="283"/>
      </w:pPr>
      <w:r>
        <w:t>War sie nicht. Sie hatte nur die Form gewechselt.</w:t>
      </w:r>
    </w:p>
    <w:p>
      <w:pPr>
        <w:pStyle w:val="Fliesstext"/>
        <w:ind w:firstLine="283"/>
      </w:pPr>
      <w:r>
        <w:t xml:space="preserve">Erasmus von Rotterdam war der berühmteste Gelehrte Europas, ein Mann, der von seiner Feder lebte und dessen Bücher in ganz Europa nachgedruckt wurden. Er war das Gegenteil eines Druckgegners. Sein bekanntestes Werk, die </w:t>
      </w:r>
      <w:r>
        <w:rPr>
          <w:i/>
        </w:rPr>
        <w:t>Adagia</w:t>
      </w:r>
      <w:r>
        <w:t>, eine kommentierte Sammlung antiker Sprichwörter, wuchs über Jahrzehnte von einigen hundert Einträgen auf mehrere tausend an — ein Buch, das ohne die Möglichkeit ständig erweiterter Neuauflagen gar nicht denkbar wäre.[14] Er wusste, was er der Presse verdankte.</w:t>
      </w:r>
    </w:p>
    <w:p>
      <w:pPr>
        <w:pStyle w:val="Fliesstext"/>
        <w:ind w:firstLine="283"/>
      </w:pPr>
      <w:r>
        <w:t xml:space="preserve">Trotzdem klagte er, und zwar über etwas anderes als Trithemius: über die schiere Masse. In dem Adagium </w:t>
      </w:r>
      <w:r>
        <w:rPr>
          <w:i/>
        </w:rPr>
        <w:t>Festina lente</w:t>
      </w:r>
      <w:r>
        <w:t xml:space="preserve"> — „Eile mit Weile" —, das er in der Ausgabe von 1525/26 stark ausbaute, beschwert er sich über die „Schwärme neuer Bücher", die den Markt überschwemmten.[5] Sein Vorwurf richtete sich nicht gegen die Technik, sondern gegen die Gewöhnlichen unter den Druckern, denen ein elendes Goldstück mehr wert sei als das gesamte Reich der Wissenschaft. Sie druckten schnell, billig und schlecht, und das Ergebnis war eine Flut, in der das Gute unterging.</w:t>
      </w:r>
    </w:p>
    <w:p>
      <w:pPr>
        <w:pStyle w:val="Fliesstext"/>
        <w:ind w:firstLine="283"/>
      </w:pPr>
      <w:r>
        <w:t>Das ist, wenn man ehrlich ist, eine der ersten ausführlich dokumentierten Klagen über Informationsüberflutung. Und sie ist strukturell identisch mit dem, was heute unter dem Stichwort „AI slop" diskutiert wird: mit KI in Sekunden erzeugte, mittelmäßige Inhalte, die das Netz volllaufen lassen, sodass man die guten Sachen nicht mehr findet. Erasmus hatte kein Empfehlungsalgorithmus-Problem, aber er hatte exakt das Problem dahinter.</w:t>
      </w:r>
    </w:p>
    <w:p>
      <w:pPr>
        <w:pStyle w:val="Fliesstext"/>
        <w:ind w:firstLine="283"/>
      </w:pPr>
      <w:r>
        <w:t xml:space="preserve">Und wieder ist es interessanter, als bloß „siehste, ging doch gut aus" zu sagen. Denn Erasmus hatte recht. Es </w:t>
      </w:r>
      <w:r>
        <w:rPr>
          <w:i/>
        </w:rPr>
        <w:t>wurde</w:t>
      </w:r>
      <w:r>
        <w:t xml:space="preserve"> viel Müll gedruckt. Die Kritik traf zu.</w:t>
      </w:r>
    </w:p>
    <w:p>
      <w:pPr>
        <w:pStyle w:val="Zwischen"/>
      </w:pPr>
      <w:r>
        <w:t>Wie man eine Flut sortiert</w:t>
      </w:r>
    </w:p>
    <w:p>
      <w:pPr>
        <w:pStyle w:val="Fliesstext"/>
      </w:pPr>
      <w:r>
        <w:t>Was Erasmus nicht vorhersehen konnte, war die Antwort darauf. Die Gesellschaft löste das Problem nicht, indem sie weniger druckte, sondern indem sie Werkzeuge erfand, um mit der Menge umzugehen. Die Historikerin Ann Blair hat diesem Vorgang ein ganzes Buch gewidmet: wie die frühe Neuzeit sich Hilfsmittel gegen die eigene Textfülle baute.[15] Die wichtigsten benutzt du heute noch, ohne darüber nachzudenken.</w:t>
      </w:r>
    </w:p>
    <w:p>
      <w:pPr>
        <w:pStyle w:val="Fliesstext"/>
        <w:ind w:firstLine="283"/>
      </w:pPr>
      <w:r>
        <w:rPr>
          <w:b/>
        </w:rPr>
        <w:t>Die Titelseite.</w:t>
      </w:r>
      <w:r>
        <w:t xml:space="preserve"> Handschriften begannen einfach mit dem Text. Wer wissen wollte, was er in der Hand hielt, musste lesen. Erst mit dem Druck entstand die Seite, die vorneweg sagt, was das hier ist, von wem, gedruckt von wem, wo und wann. Das ist eine Erfindung, die aussieht wie keine. Sie ist eines der wirksamsten Filterinstrumente überhaupt: Sie erlaubt eine Entscheidung in zwei Sekunden.</w:t>
      </w:r>
    </w:p>
    <w:p>
      <w:pPr>
        <w:pStyle w:val="Fliesstext"/>
        <w:ind w:firstLine="283"/>
      </w:pPr>
      <w:r>
        <w:rPr>
          <w:b/>
        </w:rPr>
        <w:t>Seitenzahlen, Register, Inhaltsverzeichnisse.</w:t>
      </w:r>
      <w:r>
        <w:t xml:space="preserve"> In einem Unikat, das du dein Leben lang liest, brauchst du keinen Index. In einer Bibliothek von tausend Büchern, die du nach einer bestimmten Stelle durchsuchen willst, brauchst du dringend einen. Das alphabetische Register ist keine Nebensache der Buchgeschichte, es ist die Suchfunktion vor der Suchfunktion.</w:t>
      </w:r>
    </w:p>
    <w:p>
      <w:pPr>
        <w:pStyle w:val="Fliesstext"/>
        <w:ind w:firstLine="283"/>
      </w:pPr>
      <w:r>
        <w:rPr>
          <w:b/>
        </w:rPr>
        <w:t>Bibliografien und Kataloge.</w:t>
      </w:r>
      <w:r>
        <w:t xml:space="preserve"> Trithemius' Autorenverzeichnis von 1494 gehört an den Anfang dieser Linie. Ihren großen Moment hatte sie 1545, als Conrad Gessner in Zürich die </w:t>
      </w:r>
      <w:r>
        <w:rPr>
          <w:i/>
        </w:rPr>
        <w:t>Bibliotheca universalis</w:t>
      </w:r>
      <w:r>
        <w:t xml:space="preserve"> veröffentlichte, den Versuch, alle bekannten Bücher in Latein, Griechisch und Hebräisch zu verzeichnen[16] — den Überblick über das Ganze behalten wollen, genau in dem Moment, in dem das unmöglich zu werden beginnt. Ab 1564 kamen die Messkataloge der Frankfurter Buchmesse dazu, gedruckte Listen der Neuerscheinungen.[17]</w:t>
      </w:r>
    </w:p>
    <w:p>
      <w:pPr>
        <w:pStyle w:val="Fliesstext"/>
        <w:ind w:firstLine="283"/>
      </w:pPr>
      <w:r>
        <w:rPr>
          <w:b/>
        </w:rPr>
        <w:t>Der Name als Qualitätssignal.</w:t>
      </w:r>
      <w:r>
        <w:t xml:space="preserve"> Aldus Manutius, den Erasmus in derselben Schrift ausdrücklich lobt, gründete 1494/95 in Venedig eine Offizin, die vieles anders machte: sorgfältig edierte griechische und lateinische Texte, ein handliches Oktavformat, das man mitnehmen konnte, und ab 1501 eine neue, schmale Kursivschrift, geschnitten von Francesco Griffo. Sein Signet, Delphin und Anker, stand für </w:t>
      </w:r>
      <w:r>
        <w:rPr>
          <w:i/>
        </w:rPr>
        <w:t>festina lente</w:t>
      </w:r>
      <w:r>
        <w:t xml:space="preserve"> — und für Qualität.[14] Erasmus reiste 1508 selbst nach Venedig und ließ die erweiterten </w:t>
      </w:r>
      <w:r>
        <w:rPr>
          <w:i/>
        </w:rPr>
        <w:t>Adagia</w:t>
      </w:r>
      <w:r>
        <w:t xml:space="preserve"> dort drucken; er wusste, was dieser Name auf dem Titelblatt wert war.</w:t>
      </w:r>
    </w:p>
    <w:p>
      <w:pPr>
        <w:pStyle w:val="Fliesstext"/>
        <w:ind w:firstLine="283"/>
      </w:pPr>
      <w:r>
        <w:t>Und jetzt der Teil, den ich am aufschlussreichsten finde: Der Name war so viel wert, dass er gefälscht wurde. In Lyon erschienen Nachdrucke, die die aldinische Aufmachung kopierten, und Aldus sah sich genötigt, öffentlich vor diesen Fälschungen zu warnen und Erkennungsmerkmale zu nennen.[14] Ein Filter entsteht — und im selben Moment entsteht der Angriff auf den Filter. Wer heute überlegt, wie man KI-generierte Inhalte kennzeichnet, und wie lange es dauern wird, bis jemand die Kennzeichnung fälscht, findet das Muster hier schon vollständig ausgebildet, um 1503.</w:t>
      </w:r>
    </w:p>
    <w:p>
      <w:pPr>
        <w:pStyle w:val="Fliesstext"/>
        <w:ind w:firstLine="283"/>
      </w:pPr>
      <w:r>
        <w:rPr>
          <w:b/>
        </w:rPr>
        <w:t>Die Zeitschrift und die Begutachtung.</w:t>
      </w:r>
      <w:r>
        <w:t xml:space="preserve"> 1665 erschienen im Abstand weniger Wochen das </w:t>
      </w:r>
      <w:r>
        <w:rPr>
          <w:i/>
        </w:rPr>
        <w:t>Journal des sçavans</w:t>
      </w:r>
      <w:r>
        <w:t xml:space="preserve"> in Paris und die </w:t>
      </w:r>
      <w:r>
        <w:rPr>
          <w:i/>
        </w:rPr>
        <w:t>Philosophical Transactions</w:t>
      </w:r>
      <w:r>
        <w:t xml:space="preserve"> der Royal Society in London.[18] Damit war eine Form da, die vorher nicht existierte: nicht das Buch, das man einmal schreibt, sondern die laufende, datierte, zitierbare Veröffentlichung, mit einem Herausgeber, der entscheidet, was hineinkommt. Die systematische Begutachtung durch Fachkollegen hat sich daraus über lange Zeit entwickelt. Sie ist ein Filter, kein Wahrheitsbeweis — dazu mehr im siebten Kapitel.</w:t>
      </w:r>
    </w:p>
    <w:p>
      <w:pPr>
        <w:pStyle w:val="Fliesstext"/>
        <w:ind w:firstLine="283"/>
      </w:pPr>
      <w:r>
        <w:t xml:space="preserve">Das ist ein Muster, das dich durch dieses Buch begleiten wird. </w:t>
      </w:r>
      <w:r>
        <w:rPr>
          <w:b/>
        </w:rPr>
        <w:t>Auf eine Technikflut folgt nicht der Untergang, sondern die Erfindung von Filtern.</w:t>
      </w:r>
      <w:r>
        <w:t xml:space="preserve"> Immer. Und es dauert immer eine Weile, und in dieser Weile ist es tatsächlich unangenehm.</w:t>
      </w:r>
    </w:p>
    <w:p>
      <w:pPr>
        <w:pStyle w:val="Fliesstext"/>
        <w:ind w:firstLine="283"/>
      </w:pPr>
      <w:r>
        <w:t>Ich habe das im Kleinen erlebt, und die Parallele ist mir erst beim Schreiben dieses Kapitels aufgefallen. In einer Organisation, in der ich gearbeitet habe, gab es ein internes Wiki. Anfangs war es großartig: Endlich schrieb jemand auf, wie die Dinge funktionieren. Nach ein paar Jahren hatte es mehrere tausend Seiten, davon ein erheblicher Teil veraltet, doppelt oder von jemandem, der längst nicht mehr im Haus war. Die Suche fand alles und half bei nichts. Die Leute fingen wieder an, sich gegenseitig zu fragen — nicht weil das Wiki keine Antwort enthielt, sondern weil es zu viele enthielt. Gelöst wurde das durch Verantwortliche pro Seite, ein Ablaufdatum und ein halbes Jahr Aufräumen. Register, Titelseite, Verlagsruf. Nur mit Jira-Tickets.</w:t>
      </w:r>
    </w:p>
    <w:p>
      <w:pPr>
        <w:pStyle w:val="Fliesstext"/>
        <w:ind w:firstLine="283"/>
      </w:pPr>
      <w:r>
        <w:t>Wir stecken bei der KI genau in dieser Phase. Die Filter sind noch nicht da, oder sie sind schlecht, oder sie werden gerade erst erfunden. Herkunftsnachweise für Inhalte, Kennzeichnungspflichten, Prüfwerkzeuge, neue Formen von Redaktion. Wenn dich die Flut aus generierten Texten und Bildern nervt, dann nicht, weil das Problem unlösbar wäre, sondern weil wir mitten im Erasmus-Moment stecken. Die Register sind noch nicht geschrieben.</w:t>
      </w:r>
    </w:p>
    <w:p>
      <w:pPr>
        <w:pStyle w:val="Zwischen"/>
      </w:pPr>
      <w:r>
        <w:t>Was tatsächlich passierte</w:t>
      </w:r>
    </w:p>
    <w:p>
      <w:pPr>
        <w:pStyle w:val="Fliesstext"/>
      </w:pPr>
      <w:r>
        <w:t>Halten wir die Bilanz fest, denn ohne sie bleibt das alles Anekdote.</w:t>
      </w:r>
    </w:p>
    <w:p>
      <w:pPr>
        <w:pStyle w:val="Fliesstext"/>
        <w:ind w:firstLine="283"/>
      </w:pPr>
      <w:r>
        <w:t>Der Buchdruck hat nicht die Faulheit gebracht, die Trithemius fürchtete. Er hat in einem Ausmaß das Gegenteil bewirkt, das schwer zu überschätzen ist.</w:t>
      </w:r>
    </w:p>
    <w:p>
      <w:pPr>
        <w:pStyle w:val="Fliesstext"/>
        <w:ind w:firstLine="283"/>
      </w:pPr>
      <w:r>
        <w:t>Er machte die Reformation möglich. Als Martin Luther am 31. Oktober 1517 seine Thesen gegen den Ablasshandel formulierte, war das eine akademische Streitschrift auf Latein, gedacht für Fachleute. Was daraus wurde, verdankt sich der Presse. Luther begriff schnell, was das neue Medium konnte, und schrieb fortan kurz, deutsch und für den Druck: Flugschriften von wenigen Blatt, billig herzustellen, in Tagen nachzudrucken. Wittenberg, das vorher kaum ein Buchgewerbe hatte, wurde binnen weniger Jahre zu einem der wichtigsten Druckorte des Reiches. Der Buchhistoriker Andrew Pettegree hat das im Detail aufgearbeitet und kommt zu dem Befund, dass Luthers Schriften in den Jahren nach 1518 einen erheblichen Teil der gesamten deutschen Druckproduktion ausmachten.[20] Seine deutsche Übersetzung des Neuen Testaments, im September 1522 erschienen, war trotz eines für damalige Verhältnisse hohen Preises innerhalb weniger Monate vergriffen; noch im Dezember musste nachgedruckt werden.[20] Eine theologische Universitätsdebatte wurde zur europäischen Massenbewegung, und das lag nicht nur an der Theologie.</w:t>
      </w:r>
    </w:p>
    <w:p>
      <w:pPr>
        <w:pStyle w:val="Fliesstext"/>
        <w:ind w:firstLine="283"/>
      </w:pPr>
      <w:r>
        <w:t xml:space="preserve">Er machte die wissenschaftliche Revolution möglich. Der entscheidende Punkt ist unspektakulär und deshalb leicht zu übersehen: identische Kopien. Solange jede Abschrift ein bisschen anders war, konnte kein Forscher sicher sein, ob die Abweichung in der Sternentafel eine Beobachtung oder ein Kopierfehler war. Mit dem Druck lagen erstmals überall dieselben Tabellen, dieselben Diagramme, dieselben Zahlen auf dem Tisch, und man konnte aufeinander aufbauen, statt jeder mit seiner eigenen leicht verfälschten Fassung zu arbeiten. Bei Abbildungen wiegt das noch schwerer als bei Text: Ein Holzschnitt liefert in jedem Exemplar exakt dieselbe Linie. Das Jahr 1543 zeigt beides auf einmal — in Nürnberg erschien Kopernikus' </w:t>
      </w:r>
      <w:r>
        <w:rPr>
          <w:i/>
        </w:rPr>
        <w:t>De revolutionibus orbium coelestium</w:t>
      </w:r>
      <w:r>
        <w:t xml:space="preserve">, in Basel Vesalius' </w:t>
      </w:r>
      <w:r>
        <w:rPr>
          <w:i/>
        </w:rPr>
        <w:t>De humani corporis fabrica</w:t>
      </w:r>
      <w:r>
        <w:t xml:space="preserve"> mit seinen anatomischen Tafeln.[21] Zwei Bücher, die man ohne Presse so nicht hätte in die Welt bringen können.</w:t>
      </w:r>
    </w:p>
    <w:p>
      <w:pPr>
        <w:pStyle w:val="Fliesstext"/>
        <w:ind w:firstLine="283"/>
      </w:pPr>
      <w:r>
        <w:t>Ganz unstrittig ist diese Deutung allerdings nicht, und das gehört dazu. Die Historikerin Elizabeth Eisenstein hat 1979 die große These formuliert, der Druck sei durch seine Standardisierung und Verbreitungsfähigkeit selbst ein Motor des Wandels gewesen. Ihr wurde später widersprochen, am gründlichsten von Adrian Johns, der zeigte, wie unzuverlässig frühe Drucke tatsächlich waren und dass Verlässlichkeit gerade keine Eigenschaft der Maschine war, sondern etwas, das Menschen mühsam herstellen mussten — durch Institutionen, Regeln und Ruf.[19] Mich überzeugt an diesem Streit, dass beide Seiten recht behalten, und zwar in genau der Reihenfolge, um die es in diesem Kapitel geht: Die Technik lieferte die Möglichkeit, die Filter lieferten das Vertrauen.</w:t>
      </w:r>
    </w:p>
    <w:p>
      <w:pPr>
        <w:pStyle w:val="Fliesstext"/>
        <w:ind w:firstLine="283"/>
      </w:pPr>
      <w:r>
        <w:t>Er machte auf lange Sicht die Massenalphabetisierung möglich, weil Lesenlernen sich erst lohnt, wenn es etwas zu lesen gibt. Das dauerte Jahrhunderte und lässt sich schlecht in eine einzige Zahl fassen. Aber die Richtung ist eindeutig, und der Anschub kam von Texten in der Volkssprache: Bibeln, Katechismen, Gesangbücher, Flugschriften, Kalender.</w:t>
      </w:r>
    </w:p>
    <w:p>
      <w:pPr>
        <w:pStyle w:val="Fliesstext"/>
        <w:ind w:firstLine="283"/>
      </w:pPr>
      <w:r>
        <w:t>Die Fähigkeit, die Trithemius verschwinden sah, verschwand tatsächlich. Kaum jemand kopiert heute Bücher von Hand ab. Aber der Tausch war so eindeutig zu unseren Gunsten, dass die Frage lächerlich wirkt.</w:t>
      </w:r>
    </w:p>
    <w:p>
      <w:pPr>
        <w:pStyle w:val="Fliesstext"/>
        <w:ind w:firstLine="283"/>
      </w:pPr>
      <w:r>
        <w:t>Nur ist damit die Rechnung noch nicht fertig.</w:t>
      </w:r>
    </w:p>
    <w:p>
      <w:pPr>
        <w:pStyle w:val="Zwischen"/>
      </w:pPr>
      <w:r>
        <w:t>Die unbequeme Hälfte</w:t>
      </w:r>
    </w:p>
    <w:p>
      <w:pPr>
        <w:pStyle w:val="Fliesstext"/>
      </w:pPr>
      <w:r>
        <w:t>Ich habe dir in der Einleitung versprochen, dass dieses Buch keine Beruhigungspille ist. Hier ist die erste Stelle, an der ich das einlösen muss, und ich tue es gern, weil sie mich selbst am meisten interessiert.</w:t>
      </w:r>
    </w:p>
    <w:p>
      <w:pPr>
        <w:pStyle w:val="Fliesstext"/>
        <w:ind w:firstLine="283"/>
      </w:pPr>
      <w:r>
        <w:t>Der Buchdruck hat nicht nur Aufklärung verbreitet. Er hat auch verbreitet, was schlecht war, und zwar mit derselben Effizienz.</w:t>
      </w:r>
    </w:p>
    <w:p>
      <w:pPr>
        <w:pStyle w:val="Fliesstext"/>
        <w:ind w:firstLine="283"/>
      </w:pPr>
      <w:r>
        <w:t xml:space="preserve">Das bekannteste Beispiel ist der </w:t>
      </w:r>
      <w:r>
        <w:rPr>
          <w:i/>
        </w:rPr>
        <w:t>Hexenhammer</w:t>
      </w:r>
      <w:r>
        <w:t xml:space="preserve">, der </w:t>
      </w:r>
      <w:r>
        <w:rPr>
          <w:i/>
        </w:rPr>
        <w:t>Malleus Maleficarum</w:t>
      </w:r>
      <w:r>
        <w:t>, ein Handbuch zur Verfolgung von Hexen. Verfasst hat ihn der Dominikaner Heinrich Kramer, latinisiert Institoris; der Erstdruck erschien 1486/87 in Speyer.[6][22] Zwei Dinge daran sind für unser Thema aufschlussreich.</w:t>
      </w:r>
    </w:p>
    <w:p>
      <w:pPr>
        <w:pStyle w:val="Fliesstext"/>
        <w:ind w:firstLine="283"/>
      </w:pPr>
      <w:r>
        <w:t xml:space="preserve">Erstens, wie das Buch sich Autorität beschaffte. Vorne eingebunden war die päpstliche Bulle </w:t>
      </w:r>
      <w:r>
        <w:rPr>
          <w:i/>
        </w:rPr>
        <w:t>Summis desiderantes affectibus</w:t>
      </w:r>
      <w:r>
        <w:t xml:space="preserve"> von 1484, die Kramer selbst erwirkt hatte und die mit dem Buchinhalt nichts zu tun hatte — im gedruckten Band sah es aus, als segne der Papst den Text ab. Dazu kam eine Zustimmungserklärung der Kölner theologischen Fakultät, die die Forschung für zumindest teilweise manipuliert hält.[22] Autoritätssignale, angeheftet an einen Text, den sie nicht decken. Auch das kennst du in der heutigen Fassung: die Studie, die es nicht gibt, das Institut, das anders heißt, das Zitat, das der zitierte Fachmann nie gesagt hat.</w:t>
      </w:r>
    </w:p>
    <w:p>
      <w:pPr>
        <w:pStyle w:val="Fliesstext"/>
        <w:ind w:firstLine="283"/>
      </w:pPr>
      <w:r>
        <w:t>Zweitens, wie wenig der Ruf des Autors dagegen wog. Kramer war schon 1485 in Innsbruck gescheitert: Der dortige Bischof hatte seinen Hexenprozess abgebrochen und ihn des Landes verwiesen.[22] Der Mann war in Fachkreisen unten durch. Sein Buch lief trotzdem. Es erschien über die folgenden knapp zwei Jahrhunderte in mehreren Dutzend Auflagen, in zwei deutlich getrennten Wellen — eine um 1487 bis 1520, dann eine lange Pause, dann eine zweite ab den 1570er Jahren.[22] Handschriftlich hätte es wenige Leser gefunden. Gedruckt wurde es zu einem Werkzeug, das Verfolgungswissen standardisierte und in die Provinz trug.</w:t>
      </w:r>
    </w:p>
    <w:p>
      <w:pPr>
        <w:pStyle w:val="Fliesstext"/>
        <w:ind w:firstLine="283"/>
      </w:pPr>
      <w:r>
        <w:t xml:space="preserve">Und hier muss ich ehrlich bremsen, weil der Fall gern zu glatt erzählt wird. Historiker streiten über das Gewicht dieses einen Buches, und sie haben gute Gründe dafür. Der Höhepunkt der europäischen Hexenverfolgung lag ungefähr zwischen 1560 und 1630, also rund ein Jahrhundert nach dem Erstdruck. Die Schätzungen der Forschung für die Zahl der Hingerichteten in ganz Europa liegen meist im Bereich von vierzig- bis sechzigtausend Menschen.[23] Wer daraus eine gerade Linie vom Buch zum Scheiterhaufen zieht, macht es sich zu einfach; die Verfolgungen hatten wirtschaftliche, konfessionelle, rechtliche und lokale Ursachen, und mancherorts wurde ohne den </w:t>
      </w:r>
      <w:r>
        <w:rPr>
          <w:i/>
        </w:rPr>
        <w:t>Malleus</w:t>
      </w:r>
      <w:r>
        <w:t xml:space="preserve"> verfolgt und anderswo mit ihm in der Hand nicht. Was sich belastbar sagen lässt, ist bescheidener und trotzdem hart genug: Der Druck machte ein bestimmtes Verfolgungswissen überregional verfügbar und wiederholbar. Er war neutral gegenüber dem Inhalt. Er skalierte Bibeln, und er skalierte Anleitungen zur Folter.</w:t>
      </w:r>
    </w:p>
    <w:p>
      <w:pPr>
        <w:pStyle w:val="Fliesstext"/>
        <w:ind w:firstLine="283"/>
      </w:pPr>
      <w:r>
        <w:t xml:space="preserve">Aber — und das ist der Teil, der in der empörten Kurzfassung fehlt — er skalierte auch den Widerspruch. 1563 erschien in Basel Johann Weyers </w:t>
      </w:r>
      <w:r>
        <w:rPr>
          <w:i/>
        </w:rPr>
        <w:t>De praestigiis daemonum</w:t>
      </w:r>
      <w:r>
        <w:t xml:space="preserve">, eine der frühen großen Streitschriften gegen die Hexenprozesse, verfasst von einem Arzt, der die Angeklagten für krank oder unschuldig hielt. 1631 veröffentlichte der Jesuit Friedrich Spee anonym die </w:t>
      </w:r>
      <w:r>
        <w:rPr>
          <w:i/>
        </w:rPr>
        <w:t>Cautio Criminalis</w:t>
      </w:r>
      <w:r>
        <w:t>, eine Abrechnung mit der Folterjustiz, geschrieben von jemandem, der Verurteilte zum Richtplatz begleitet hatte.[24] Beide wurden gedruckt, nachgedruckt, übersetzt und gelesen, und beide gehören zu den Kräften, die die Verfolgung am Ende gestoppt haben. Dieselbe Maschine, beide Richtungen. Das ist keine Entlastung, sondern eine Präzisierung — und sie erklärt, warum Verbieten nie die Antwort war.</w:t>
      </w:r>
    </w:p>
    <w:p>
      <w:pPr>
        <w:pStyle w:val="Fliesstext"/>
        <w:ind w:firstLine="283"/>
      </w:pPr>
      <w:r>
        <w:t>Dasselbe Doppelgesicht zeigen die konfessionellen Hetzschriften des 16. Jahrhunderts. Die Reformation war nicht nur die Verbreitung einer Lehre, sie war der erste Medienkrieg der europäischen Geschichte: Flugschriften und Karikaturen in Serie, mit Bildern, die auch der erreichte, der nicht lesen konnte. Das polarisierte einen Kontinent über mehr als hundert Jahre hinweg mit einer Wucht, die ohne billige Massendrucke unmöglich gewesen wäre. Wer heute über Desinformation im Netz klagt, beschreibt ein Problem, das mit Gutenberg beginnt, nicht mit Facebook.</w:t>
      </w:r>
    </w:p>
    <w:p>
      <w:pPr>
        <w:pStyle w:val="Fliesstext"/>
        <w:ind w:firstLine="283"/>
      </w:pPr>
      <w:r>
        <w:t xml:space="preserve">Und die Obrigkeit reagierte, wie Obrigkeiten reagieren: mit Kontrolle. Und zwar früh. Schon 1485 erließ der Mainzer Erzbischof Berthold von Henneberg ein Zensuredikt, das sich gegen volkssprachliche Übersetzungen richtete — dreißig Jahre nach der Gutenberg-Bibel. 1501 verfügte Papst Alexander VI. für die deutschen Kirchenprovinzen eine Vorabgenehmigungspflicht, 1515 machte das Fünfte Laterankonzil die Vorzensur allgemein. 1559 erschien unter Paul IV. der römische </w:t>
      </w:r>
      <w:r>
        <w:rPr>
          <w:i/>
        </w:rPr>
        <w:t>Index Librorum Prohibitorum</w:t>
      </w:r>
      <w:r>
        <w:t>, das Verzeichnis der verbotenen Bücher, 1564 folgte die Fassung des Konzils von Trient. Abgeschafft wurde der Index erst 1966.[25]</w:t>
      </w:r>
    </w:p>
    <w:p>
      <w:pPr>
        <w:pStyle w:val="Fliesstext"/>
        <w:ind w:firstLine="283"/>
      </w:pPr>
      <w:r>
        <w:t xml:space="preserve">In England ging man einen anderen, wirksameren Weg: 1557 erhielt die Londoner Buchdruckergilde, die Stationers' Company, ein königliches Privileg, das ihr das Druckgewerbe faktisch monopolisierte — und die Krone bekam damit eine Handvoll Leute, die sie kontrollieren musste, statt hunderter Drucker. Gegen die Lizenzpflicht, die daraus erwuchs, schrieb John Milton 1644 die </w:t>
      </w:r>
      <w:r>
        <w:rPr>
          <w:i/>
        </w:rPr>
        <w:t>Areopagitica</w:t>
      </w:r>
      <w:r>
        <w:t>, eine Verteidigung der Pressefreiheit, die er selbst ohne Lizenz drucken ließ.[25] Dass wir heute Meinungsfreiheit als Grundrecht formulieren, hat sehr viel damit zu tun, dass es nach Gutenberg erstmals etwas zu unterdrücken gab, das sich schlecht unterdrücken ließ.</w:t>
      </w:r>
    </w:p>
    <w:p>
      <w:pPr>
        <w:pStyle w:val="Fliesstext"/>
        <w:ind w:firstLine="283"/>
      </w:pPr>
      <w:r>
        <w:t xml:space="preserve">Nicht jede Regulierung war Unterdrückung. Aus demselben Instrumentarium entstand auch das, was wir heute Urheberrecht nennen. Venedig vergab schon 1469 ein Druckprivileg an Johannes von Speyer und erließ 1474 ein Patentgesetz; die Privilegien schützten zunächst den Drucker vor Nachdruck, nicht den Autor. Bis daraus ein Recht des Urhebers wurde, dauerte es bis 1710, als das englische </w:t>
      </w:r>
      <w:r>
        <w:rPr>
          <w:i/>
        </w:rPr>
        <w:t>Statute of Anne</w:t>
      </w:r>
      <w:r>
        <w:t xml:space="preserve"> das erste moderne Urheberrechtsgesetz schuf.[26] Zweihundertvierzig Jahre von der ersten Schutzmaßnahme bis zum Prinzip. Wenn dir die aktuelle Debatte um KI und Urheberrecht zäh vorkommt: Sie ist zwei Jahre alt.</w:t>
      </w:r>
    </w:p>
    <w:p>
      <w:pPr>
        <w:pStyle w:val="Fliesstext"/>
        <w:ind w:firstLine="283"/>
      </w:pPr>
      <w:r>
        <w:t xml:space="preserve">Nebenbei bemerkt hat dieses Kontrollsystem am Ende auch Trithemius selbst erwischt. Seine </w:t>
      </w:r>
      <w:r>
        <w:rPr>
          <w:i/>
        </w:rPr>
        <w:t>Steganographia</w:t>
      </w:r>
      <w:r>
        <w:t>, das Buch über verschlüsselte Nachrichten, wurde 1606 gedruckt und landete auf dem Index.[11] Der Abt, der vor der Presse gewarnt hatte, wurde hundert Jahre nach seinem Tod von der Presse veröffentlicht und dafür verboten. Man müsste sich das ausdenken können.</w:t>
      </w:r>
    </w:p>
    <w:p>
      <w:pPr>
        <w:pStyle w:val="Fliesstext"/>
        <w:ind w:firstLine="283"/>
      </w:pPr>
      <w:r>
        <w:t>Die ehrliche Bilanz lautet also nicht „alles halb so wild". Sie lautet ungefähr so:</w:t>
      </w:r>
    </w:p>
    <w:p>
      <w:pPr>
        <w:pStyle w:val="Fliesstext"/>
        <w:ind w:firstLine="283"/>
      </w:pPr>
      <w:r>
        <w:t xml:space="preserve">Trithemius' Sorge um die geistige Disziplin: </w:t>
      </w:r>
      <w:r>
        <w:rPr>
          <w:b/>
        </w:rPr>
        <w:t>überwiegend widerlegt</w:t>
      </w:r>
      <w:r>
        <w:t>, aber im Kern auf etwas Reales zielend, das wir bis heute nicht ganz verstanden haben, nämlich den Zusammenhang zwischen Anstrengung und Verstehen.</w:t>
      </w:r>
    </w:p>
    <w:p>
      <w:pPr>
        <w:pStyle w:val="Fliesstext"/>
        <w:ind w:firstLine="283"/>
      </w:pPr>
      <w:r>
        <w:t xml:space="preserve">Erasmus' Sorge um die Qualitätsflut: </w:t>
      </w:r>
      <w:r>
        <w:rPr>
          <w:b/>
        </w:rPr>
        <w:t>zutreffend</w:t>
      </w:r>
      <w:r>
        <w:t>, aber lösbar, und gelöst durch neue Filter statt durch Verzicht.</w:t>
      </w:r>
    </w:p>
    <w:p>
      <w:pPr>
        <w:pStyle w:val="Fliesstext"/>
        <w:ind w:firstLine="283"/>
      </w:pPr>
      <w:r>
        <w:t xml:space="preserve">Die Sorge, dass die Presse gefährliches Wissen verbreitet: </w:t>
      </w:r>
      <w:r>
        <w:rPr>
          <w:b/>
        </w:rPr>
        <w:t>voll zutreffend</w:t>
      </w:r>
      <w:r>
        <w:t>, tatsächlich eingetreten, mit einem Leichenberg als Beleg — und trotzdem hat niemand mit klarem Verstand daraus geschlossen, den Buchdruck abzuschaffen. Stattdessen entstand über Jahrhunderte ein Gerüst aus Recht, Institutionen und Kulturtechniken, das den Schaden begrenzt, ohne den Nutzen zu töten.</w:t>
      </w:r>
    </w:p>
    <w:p>
      <w:pPr>
        <w:pStyle w:val="Fliesstext"/>
        <w:ind w:firstLine="283"/>
      </w:pPr>
      <w:r>
        <w:t>Merk dir dieses dritte Muster besonders gut. Es ist die Antwort auf die Frage, was man tun soll, wenn eine Technik echte Gefahren mitbringt. Nicht verbieten, nicht schönreden, sondern einhegen. Wir kommen im achten Kapitel darauf zurück, wenn es um den europäischen KI-Rechtsrahmen geht, und im zwölften, wenn ich dir sage, wovor ich tatsächlich Angst habe.</w:t>
      </w:r>
    </w:p>
    <w:p>
      <w:pPr>
        <w:pStyle w:val="Zwischen"/>
      </w:pPr>
      <w:r>
        <w:t>Und heute?</w:t>
      </w:r>
    </w:p>
    <w:p>
      <w:pPr>
        <w:pStyle w:val="Fliesstext"/>
      </w:pPr>
      <w:r>
        <w:t>Zurück in den Workshop, zurück zu dem Kollegen mit seiner sehr guten Frage.</w:t>
      </w:r>
    </w:p>
    <w:p>
      <w:pPr>
        <w:pStyle w:val="Fliesstext"/>
        <w:ind w:firstLine="283"/>
      </w:pPr>
      <w:r>
        <w:t>Was ich ihm damals geantwortet habe, war ehrlich gesagt nicht besonders gut. Irgendetwas mit „kommt drauf an, wie man es einsetzt", was stimmt und trotzdem nichts hilft. Heute würde ich anders antworten, und zwar so:</w:t>
      </w:r>
    </w:p>
    <w:p>
      <w:pPr>
        <w:pStyle w:val="Fliesstext"/>
        <w:ind w:firstLine="283"/>
      </w:pPr>
      <w:r>
        <w:t>Deine Frage ist fünfhundert Jahre alt, mindestens. Das ist kein Grund, sie wegzuwischen. Es ist ein Grund, sie genauer zu stellen.</w:t>
      </w:r>
    </w:p>
    <w:p>
      <w:pPr>
        <w:pStyle w:val="Fliesstext"/>
        <w:ind w:firstLine="283"/>
      </w:pPr>
      <w:r>
        <w:t>Denn schau, was in den Fällen dieses Kapitels wirklich passiert ist. Bei der Schrift und beim Buchdruck haben wir eine geistige Fähigkeit tatsächlich abgegeben. Das Auswendiglernen ganzer Epen, das Abschreiben als Denkübung, beides ist weg. Was wir dafür bekommen haben, war so überwältigend viel mehr, dass die Rechnung nicht knapp ausging, sondern eindeutig. Aber die Rechnung ging nur deshalb auf, weil sich um die neue Technik herum etwas gebildet hat: Titelseiten und Register, Kataloge und Bibliografien, Quellenkritik, Verlagsruf, Bibliotheken, Zensurstreit und Pressefreiheit, Urheberrecht, Zeitungswesen, Wissenschaftsbetrieb. Kein einziges dieser Dinge war eine Eigenschaft der Druckerpresse. Sie waren die Antwort der Gesellschaft auf die Druckerpresse, und die meisten von ihnen brauchten Jahrzehnte oder Jahrhunderte.</w:t>
      </w:r>
    </w:p>
    <w:p>
      <w:pPr>
        <w:pStyle w:val="Fliesstext"/>
        <w:ind w:firstLine="283"/>
      </w:pPr>
      <w:r>
        <w:t>Das ist der Grund, warum ich mit der KI zuversichtlich bin und trotzdem nicht entspannt. Zuversichtlich, weil das Muster stabil ist: Wir haben jede dieser Wellen nicht nur überstanden, sondern sind an ihr gewachsen. Nicht entspannt, weil das Wachsen nie von allein geschah. Es geschah, weil Menschen sich hingesetzt und Filter, Regeln und Fähigkeiten erfunden haben — und weil andere Menschen währenddessen den Schaden abbekamen, den die Lücke zwischen Technik und Filter erzeugte. Diese Lücke ist kein Betriebsunfall der Geschichte. Sie ist die Regel. Und in ihr leben wir gerade.</w:t>
      </w:r>
    </w:p>
    <w:p>
      <w:pPr>
        <w:pStyle w:val="Fliesstext"/>
        <w:ind w:firstLine="283"/>
      </w:pPr>
      <w:r>
        <w:t>Noch etwas nehme ich aus dem Fall Trithemius mit, ganz praktisch, aus meinem eigenen Berufsalltag.</w:t>
      </w:r>
    </w:p>
    <w:p>
      <w:pPr>
        <w:pStyle w:val="Fliesstext"/>
        <w:ind w:firstLine="283"/>
      </w:pPr>
      <w:r>
        <w:t>Ich habe schon oft erlebt, dass die schärfsten Kritiker einer Automatisierung nach ein paar Monaten ihre eifrigsten Nutzer waren. Nicht, weil man sie überredet hätte. Sondern weil sie im Umgang mit dem Ding merkten, wo es hilft und wo nicht, und weil aus einer diffusen Angst dabei ein konkretes Urteil wurde. Das ist der Unterschied zwischen Angst und Skepsis. Angst ist ein Gefühl über etwas, das man nicht kennt. Skepsis ist ein Urteil über etwas, das man kennt. Skepsis ist wertvoll, und ich hätte in meinem Beruf gern mehr davon. Angst ist meistens nur laut.</w:t>
      </w:r>
    </w:p>
    <w:p>
      <w:pPr>
        <w:pStyle w:val="Fliesstext"/>
        <w:ind w:firstLine="283"/>
      </w:pPr>
      <w:r>
        <w:t>Man erkennt sie daran, dass ihre Einwände mit der Zeit präziser werden. Wer nach einem halben Jahr Nutzung immer noch dasselbe sagt wie am ersten Tag, hat nicht hingeschaut. Wer sagt: „Bei Textentwürfen spart es mir eine Stunde, bei Zahlen traue ich ihm keinen Meter weit", der hat gearbeitet.</w:t>
      </w:r>
    </w:p>
    <w:p>
      <w:pPr>
        <w:pStyle w:val="Fliesstext"/>
        <w:ind w:firstLine="283"/>
      </w:pPr>
      <w:r>
        <w:t>Trithemius hat gedruckt, weil er es ausprobiert hat. Und mein Verdacht ist: Hätte er zwanzig Jahre länger gelebt — er starb 1516, im Jahr, in dem Erasmus sein griechisches Neues Testament herausbrachte —, hätte er seine Streitschrift nicht widerrufen, aber er hätte sie präziser geschrieben. Er hätte nicht mehr gegen den Druck argumentiert, sondern für gute Drucker. Genau wie Erasmus es dann tat.</w:t>
      </w:r>
    </w:p>
    <w:p>
      <w:pPr>
        <w:pStyle w:val="Fliesstext"/>
        <w:ind w:firstLine="283"/>
      </w:pPr>
      <w:r>
        <w:t>Damit ist der Reflex freigelegt: Neue Technik zum Umgang mit Wissen löst zuverlässig die Sorge aus, dass wir das Denken verlernen. Der nächste Schritt ist zu verstehen, warum dieser Reflex auch dann anspringt, wenn es gar nicht ums Denken geht, sondern nur um Geschwindigkeit, um Strom in Leitungen, um eine Maschine, die schneller läuft als ein Pferd. Dafür verlassen wir das Kloster und steigen in einen Zug.</w:t>
      </w:r>
    </w:p>
    <w:p>
      <w:r>
        <w:br w:type="page"/>
      </w:r>
    </w:p>
    <w:p>
      <w:pPr>
        <w:pStyle w:val="KapitelNummer"/>
      </w:pPr>
      <w:r>
        <w:rPr>
          <w:i/>
        </w:rPr>
        <w:t>Kapitel 2</w:t>
      </w:r>
    </w:p>
    <w:p>
      <w:pPr>
        <w:pStyle w:val="KapitelTitel"/>
      </w:pPr>
      <w:r>
        <w:t>Tempo, Strom und der Tod des Abendlands</w:t>
      </w:r>
    </w:p>
    <w:p>
      <w:pPr>
        <w:pStyle w:val="Fliesstext"/>
      </w:pPr>
      <w:r>
        <w:t>Ich habe diese Folie jahrelang benutzt. Sie kam immer an Position vier, nach der Agenda und vor den Zahlen, und sie zeigte eine Dampflok. Darunter stand sinngemäß: „1835 warnten bayerische Ärzte, Bahnfahren über 30 km/h verursache Gehirnschäden." Dann eine Kunstpause, dann der Lacher im Raum, dann mein Satz: „Und heute reden wir über Automatisierung."</w:t>
      </w:r>
    </w:p>
    <w:p>
      <w:pPr>
        <w:pStyle w:val="Fliesstext"/>
        <w:ind w:firstLine="283"/>
      </w:pPr>
      <w:r>
        <w:t>Es funktionierte jedes Mal. Skeptiker im Raum wurden für einen Moment ruhig, weil niemand gern auf der Seite der Leute steht, die sich vor Zügen fürchten. Es war rhetorisch billig, es war wirksam, und es war, wie ich später herausfand, wahrscheinlich frei erfunden.</w:t>
      </w:r>
    </w:p>
    <w:p>
      <w:pPr>
        <w:pStyle w:val="Fliesstext"/>
        <w:ind w:firstLine="283"/>
      </w:pPr>
      <w:r>
        <w:t>Nicht die Angst vor der Eisenbahn. Die gab es. Sondern die Warnung, mit der ich sie belegte.</w:t>
      </w:r>
    </w:p>
    <w:p>
      <w:pPr>
        <w:pStyle w:val="Fliesstext"/>
        <w:ind w:firstLine="283"/>
      </w:pPr>
      <w:r>
        <w:t>Aufgefallen ist es mir nicht durch eigene Gründlichkeit. Jemand fragte nach dem Beleg. Nicht angriffslustig, eher beiläufig, so wie man nach einer Jahreszahl fragt, und ich merkte beim Antworten, dass ich keine Antwort hatte. Ich wusste nicht, wo ich das her hatte. Ich hatte es irgendwo gelesen, wahrscheinlich in einem Text, dessen Autor es auch irgendwo gelesen hatte. Der Abend, an dem ich der Sache dann nachging, hat mich ein Stück Selbstsicherheit gekostet, und dieses Kapitel ist das, was ich dafür bekommen habe.</w:t>
      </w:r>
    </w:p>
    <w:p>
      <w:pPr>
        <w:pStyle w:val="Fliesstext"/>
        <w:ind w:firstLine="283"/>
      </w:pPr>
      <w:r>
        <w:t xml:space="preserve">Denn beim Nachrecherchieren ist mir etwas aufgegangen, das mir seither bei jeder KI-Debatte im Kopf herumgeht: Technikangst kommt nicht in einer Sorte. Sie kommt in mindestens drei, und die drei sehen von außen fast gleich aus. Es gibt die </w:t>
      </w:r>
      <w:r>
        <w:rPr>
          <w:b/>
        </w:rPr>
        <w:t>erfundene</w:t>
      </w:r>
      <w:r>
        <w:t xml:space="preserve"> Angst, die nie jemand hatte und die trotzdem in jedem Vortrag zitiert wird. Es gibt die </w:t>
      </w:r>
      <w:r>
        <w:rPr>
          <w:b/>
        </w:rPr>
        <w:t>echte</w:t>
      </w:r>
      <w:r>
        <w:t xml:space="preserve"> Angst, die auf ein reales Problem zeigt. Und es gibt die </w:t>
      </w:r>
      <w:r>
        <w:rPr>
          <w:b/>
        </w:rPr>
        <w:t>interessengeleitete</w:t>
      </w:r>
      <w:r>
        <w:t xml:space="preserve"> Angst, die jemand bewusst produziert, weil er damit Geld verdient.</w:t>
      </w:r>
    </w:p>
    <w:p>
      <w:pPr>
        <w:pStyle w:val="Fliesstext"/>
        <w:ind w:firstLine="283"/>
      </w:pPr>
      <w:r>
        <w:t>Wer diese drei nicht auseinanderhält, redet über KI ungefähr so präzise wie ich damals auf Folie vier.</w:t>
      </w:r>
    </w:p>
    <w:p>
      <w:pPr>
        <w:pStyle w:val="Zwischen"/>
      </w:pPr>
      <w:r>
        <w:t>Die Warnung, die es nie gab</w:t>
      </w:r>
    </w:p>
    <w:p>
      <w:pPr>
        <w:pStyle w:val="Fliesstext"/>
      </w:pPr>
      <w:r>
        <w:t>Fangen wir mit meiner eigenen Blamage an, und zwar gründlich, weil dieser Fall exemplarisch ist.</w:t>
      </w:r>
    </w:p>
    <w:p>
      <w:pPr>
        <w:pStyle w:val="Fliesstext"/>
        <w:ind w:firstLine="283"/>
      </w:pPr>
      <w:r>
        <w:t>Am 7. Dezember 1835 wurde zwischen Nürnberg und Fürth die Ludwigsbahn eröffnet, die erste deutsche Eisenbahn mit Dampfkraft.[2] Ich würde dir jetzt gern erzählen, wie dieser Tag aussah. Wer am Gleis stand, was die Leute riefen, ob jemand geweint hat. Ich kann es nicht, jedenfalls nicht, ohne es mir auszudenken, und Ausdenken ist in genau diesem Kapitel aus naheliegenden Gründen verboten. Was ich belegen kann, ist schmal: ein Datum, eine kurze Strecke zwischen zwei Städten, die heute zusammengewachsen sind, und eine Reisegeschwindigkeit in der Größenordnung von dreißig Stundenkilometern.[1][2]</w:t>
      </w:r>
    </w:p>
    <w:p>
      <w:pPr>
        <w:pStyle w:val="Fliesstext"/>
        <w:ind w:firstLine="283"/>
      </w:pPr>
      <w:r>
        <w:t>Halt diese Zahl kurz fest, dreißig, denn sie ist der Angelpunkt der Legende.</w:t>
      </w:r>
    </w:p>
    <w:p>
      <w:pPr>
        <w:pStyle w:val="Fliesstext"/>
        <w:ind w:firstLine="283"/>
      </w:pPr>
      <w:r>
        <w:t xml:space="preserve">Die Geschichte, die praktisch jeder kennt, geht so: Vor der Eröffnung habe das </w:t>
      </w:r>
      <w:r>
        <w:rPr>
          <w:i/>
        </w:rPr>
        <w:t>Bayerische Obermedizinalkollegium</w:t>
      </w:r>
      <w:r>
        <w:t xml:space="preserve"> ein Gutachten abgegeben. Darin habe gestanden, Geschwindigkeiten über 30 Kilometer pro Stunde erzeugten zwangsläufig schwere Gehirnkrankheiten, ein „delirium furiosum". Betroffen seien nicht nur die Reisenden, sondern auch die Zuschauer am Gleis, weshalb man die Strecken vorsichtshalber mit hohen Bretterwänden einzäunen müsse.[1]</w:t>
      </w:r>
    </w:p>
    <w:p>
      <w:pPr>
        <w:pStyle w:val="Fliesstext"/>
        <w:ind w:firstLine="283"/>
      </w:pPr>
      <w:r>
        <w:t>Das ist eine großartige Geschichte. Sie hat alles: die Autorität mit dem lächerlich langen Namen, die medizinisch klingende Diagnose auf Latein, das absurde Detail mit den Bretterwänden. Man kann sie in zwanzig Sekunden erzählen und das Publikum hat sie sofort.</w:t>
      </w:r>
    </w:p>
    <w:p>
      <w:pPr>
        <w:pStyle w:val="Fliesstext"/>
        <w:ind w:firstLine="283"/>
      </w:pPr>
      <w:r>
        <w:t>Nur findet sie sich nirgends.</w:t>
      </w:r>
    </w:p>
    <w:p>
      <w:pPr>
        <w:pStyle w:val="Fliesstext"/>
        <w:ind w:firstLine="283"/>
      </w:pPr>
      <w:r>
        <w:t>Es gibt für dieses angebliche Gutachten keine Archivquelle. Trotz intensiver Suche in bayerischen Beständen ist niemals ein Dokument aufgetaucht, das die Warnung enthält oder auch nur erwähnt.[1] Das allein wäre noch kein Beweis — Archive verlieren Dinge, Brände und Umzüge haben ganze Registraturen gefressen. Aber es kommt schlimmer für die Legende. Der Eisenbahnhistoriker Wolfgang Mück, der über die Ludwigsbahn die Standardarbeit geschrieben hat, seine Dissertation von 1967, in zweiter Auflage 1985 erschienen, konnte für die Zeit um 1835 in Bayern überhaupt kein „Obermedizinalkollegium" nachweisen.[1][2] Die Behörde, die das Gutachten geschrieben haben soll, scheint in dieser Form gar nicht existiert zu haben.</w:t>
      </w:r>
    </w:p>
    <w:p>
      <w:pPr>
        <w:pStyle w:val="Fliesstext"/>
        <w:ind w:firstLine="283"/>
      </w:pPr>
      <w:r>
        <w:t>Das ist der Punkt, an dem eine Geschichte nicht mehr bloß unbelegt ist. Ein verschollenes Papier kann man sich vorstellen. Eine verschollene Behörde ist etwas anderes.</w:t>
      </w:r>
    </w:p>
    <w:p>
      <w:pPr>
        <w:pStyle w:val="Fliesstext"/>
        <w:ind w:firstLine="283"/>
      </w:pPr>
      <w:r>
        <w:t xml:space="preserve">Und woher kommt die Sache dann? Als Ursprung gilt eine Polemik des nationalliberalen Historikers Heinrich von Treitschke. Das Motiv taucht in seiner </w:t>
      </w:r>
      <w:r>
        <w:rPr>
          <w:i/>
        </w:rPr>
        <w:t>Deutschen Geschichte im neunzehnten Jahrhundert</w:t>
      </w:r>
      <w:r>
        <w:t xml:space="preserve"> auf, deren Bände ab 1879 erschienen, und wurde von dort aus endlos weitergereicht.[1]</w:t>
      </w:r>
    </w:p>
    <w:p>
      <w:pPr>
        <w:pStyle w:val="Fliesstext"/>
        <w:ind w:firstLine="283"/>
      </w:pPr>
      <w:r>
        <w:t>Treitschke wurde 1834 geboren. Er war bei der Eröffnung der Ludwigsbahn ein Säugling.</w:t>
      </w:r>
    </w:p>
    <w:p>
      <w:pPr>
        <w:pStyle w:val="Fliesstext"/>
        <w:ind w:firstLine="283"/>
      </w:pPr>
      <w:r>
        <w:t>Was er lieferte, war also kein Bericht, sondern eine Pointe, und die Pointe hatte einen Zweck. Treitschke schrieb die Geschichte eines Deutschlands, das erst durch die Reichsgründung zu sich selbst gekommen war. In so einer Erzählung braucht das Davor ein Gesicht, und zwar ein enges, ängstliches, provinzielles. Ein Kleinstaat, dessen Ärzte Bretterwände gegen den Anblick von Zügen fordern, ist dieses Gesicht. Ob Treitschke das Detail erfunden, aufgeschnappt oder zugespitzt hat, weiß ich nicht, und ich behaupte es auch nicht. Belegt ist, dass die Spur dort beginnt und dass niemand sie weiter zurückverfolgen konnte.[1]</w:t>
      </w:r>
    </w:p>
    <w:p>
      <w:pPr>
        <w:pStyle w:val="Fliesstext"/>
        <w:ind w:firstLine="283"/>
      </w:pPr>
      <w:r>
        <w:t>Zweifel an der Echtheit gab es schon um 1920.[1] Hundert Jahre. Die Geschichte hat sie überlebt, und sie hat sie mühelos überlebt.</w:t>
      </w:r>
    </w:p>
    <w:p>
      <w:pPr>
        <w:pStyle w:val="Fliesstext"/>
        <w:ind w:firstLine="283"/>
      </w:pPr>
      <w:r>
        <w:t>Im Umlauf sind neben den Bretterwänden noch andere Tempo-Schreckensbilder aus jener Zeit: dass der Fahrtwind die Reisenden ersticken lasse, dass Menschen bei solchen Geschwindigkeiten zerplatzen könnten. Ich führe sie hier nur als das an, was ich von ihnen sicher weiß, nämlich als kolportierte Motive, deren Beleglage ich nicht besser einschätzen kann als die der Bretterwand-Warnung. Vielleicht hat jemand so etwas gesagt. Wahrscheinlich sogar; in jeder Umbruchszeit sagt irgendwer irgendwas. Nur ist „irgendwer hat mal" keine Quelle. Wenn dir eines dieser Zitate begegnet, frag nach der Fundstelle, und beobachte, wie oft du keine bekommst.</w:t>
      </w:r>
    </w:p>
    <w:p>
      <w:pPr>
        <w:pStyle w:val="Fliesstext"/>
        <w:ind w:firstLine="283"/>
      </w:pPr>
      <w:r>
        <w:t>Und noch etwas fällt beim Nachrecherchieren auf, und es ist ein bisschen bitter. Über die Legende weiß ich inzwischen mehr als über die Sache selbst. Wovor die Leute in Nürnberg und Fürth 1835 tatsächlich Angst hatten, wie viele es waren, wie lange es anhielt — dazu finde ich sehr viel weniger Handfestes als zu der Warnung, die es nie gab. Die Erfindung ist besser dokumentiert als die Wirklichkeit. Das liegt nicht an den Archiven. Das liegt daran, dass die Erfindung erzählbar war und die Wirklichkeit nicht.</w:t>
      </w:r>
    </w:p>
    <w:p>
      <w:pPr>
        <w:pStyle w:val="Zwischen"/>
      </w:pPr>
      <w:r>
        <w:t>Wie eine Legende arbeitet</w:t>
      </w:r>
    </w:p>
    <w:p>
      <w:pPr>
        <w:pStyle w:val="Fliesstext"/>
      </w:pPr>
      <w:r>
        <w:t>Das ist die Frage, die mich an dem Fall inzwischen mehr interessiert als der Fall selbst: Warum stirbt so etwas nicht?</w:t>
      </w:r>
    </w:p>
    <w:p>
      <w:pPr>
        <w:pStyle w:val="Fliesstext"/>
        <w:ind w:firstLine="283"/>
      </w:pPr>
      <w:r>
        <w:t>Ich habe keine Studie dazu, das Folgende ist meine Erklärung und nichts weiter. Aber sie deckt sich mit allem, was ich beim eigenen Nachbauen des Irrtums beobachtet habe.</w:t>
      </w:r>
    </w:p>
    <w:p>
      <w:pPr>
        <w:pStyle w:val="Fliesstext"/>
        <w:ind w:firstLine="283"/>
      </w:pPr>
      <w:r>
        <w:t>Erstens: Die Geschichte steht nie an der Stelle, an der geprüft wird. Sie ist in keinem Text die tragende Behauptung. Sie ist der Einstieg, der Auflockerer, der Absatz vor dem eigentlichen Argument. Ein Autor, der über Innovationsmanagement schreibt, belegt seine Thesen zum Innovationsmanagement. Die Anekdote auf Seite eins belegt er nicht, weil sie nichts trägt. Also wandert sie ungeprüft von Text zu Text, und jede Weitergabe verleiht ihr Alter, und Alter sieht aus wie Belegtheit.</w:t>
      </w:r>
    </w:p>
    <w:p>
      <w:pPr>
        <w:pStyle w:val="Fliesstext"/>
        <w:ind w:firstLine="283"/>
      </w:pPr>
      <w:r>
        <w:t>Zweitens: Sie hat die perfekte Bauform. Das Detail mit den Bretterwänden ist so absurd, dass es niemand erfunden zu haben scheint. Genau deshalb wirkt es echt. Wer eine Lüge baut, denkt man, macht sie plausibel — und deshalb hält man das Unplausible für authentisch. Das ist ein Denkfehler, aber ein sehr angenehmer.</w:t>
      </w:r>
    </w:p>
    <w:p>
      <w:pPr>
        <w:pStyle w:val="Fliesstext"/>
        <w:ind w:firstLine="283"/>
      </w:pPr>
      <w:r>
        <w:t>Drittens, und das ist der wichtigste Grund: Sie erledigt in einem Satz eine ganze Debatte. Wer sie erzählt, muss weder die Gegenseite kennen noch ihre Argumente. Er muss nur das Bild von den Bretterwänden setzen, und schon ist geklärt, wer im Raum der Vernünftige ist. Belege prüft man bei Behauptungen, die einem widersprechen. Bei Behauptungen, die einem recht geben, prüft man selten nach. Das gilt für Technikskeptiker genauso wie für Technikbegeisterte, und ich habe in diesem Fall auf der begeisterten Seite gestanden und nicht nachgeprüft.</w:t>
      </w:r>
    </w:p>
    <w:p>
      <w:pPr>
        <w:pStyle w:val="Fliesstext"/>
        <w:ind w:firstLine="283"/>
      </w:pPr>
      <w:r>
        <w:t>Viertens: Sie hat einen Beruf. Eine Anekdote, die man gebrauchen kann, wird gebraucht. Die Eisenbahnlegende taucht seit Jahrzehnten immer dann wieder auf, wenn eine neue Technik umstritten ist; in der deutschen Mobilfunkdebatte etwa wurde sie routiniert als Analogie eingesetzt, um Bedenkenträger vorzuführen.[12] Für Impfungen, Gentechnik oder KI funktioniert sie genauso, weil sie inhaltlich leer ist und deshalb überall passt. Das ist die eigentliche Ironie: Eine erfundene Warnung dient seit über hundert Jahren als Beweismittel gegen echte Warnungen.</w:t>
      </w:r>
    </w:p>
    <w:p>
      <w:pPr>
        <w:pStyle w:val="Fliesstext"/>
        <w:ind w:firstLine="283"/>
      </w:pPr>
      <w:r>
        <w:t>Fünftens, und das ist die Stelle, an der Aufklärung an ihre Grenze kommt: Die Richtigstellung reist nicht mit. „Diese Warnung ist wahrscheinlich erfunden, es gibt keine Archivbelege und die zitierte Behörde ist nicht nachweisbar" ist ein korrekter Satz und ein miserabler Vortragseinstieg. Er hat keine Pointe, er braucht Erläuterung, und er lässt das Publikum mit weniger Gewissheit zurück, als es vorher hatte. Die Legende bietet einen Lacher, die Korrektur bietet Hausaufgaben. Man muss kein Zyniker sein, um zu ahnen, welche der beiden sich schneller verbreitet.</w:t>
      </w:r>
    </w:p>
    <w:p>
      <w:pPr>
        <w:pStyle w:val="Fliesstext"/>
        <w:ind w:firstLine="283"/>
      </w:pPr>
      <w:r>
        <w:t>Und eine Sache noch, die ich mir selbst vorwerfe. Die Prüfung hätte mich nichts gekostet. Nicht drei Wochen Archivarbeit, nicht den Zugriff auf Spezialliteratur. Einen Abend. Der Grund, warum ich sie nicht gemacht habe, war nicht Zeitmangel, sondern dass ich die Folie mochte.</w:t>
      </w:r>
    </w:p>
    <w:p>
      <w:pPr>
        <w:pStyle w:val="Fliesstext"/>
        <w:ind w:firstLine="283"/>
      </w:pPr>
      <w:r>
        <w:t>Was ich an diesem Abend tatsächlich getan habe, war unspektakulär, und ich schreibe es auf, weil du es genauso machen kannst. Ich habe den angeblichen Wortlaut gesucht und geschaut, wer ihn wo zuerst gebracht hat. Ich bin auf lauter Texte gestoßen, die einander zitierten und irgendwann bei niemandem endeten. Dann habe ich den Namen der Behörde gesucht statt des Zitats, was der eigentliche Trick ist: Institutionen hinterlassen Akten, Etats, Personallisten. Wenn eine Behörde keine Spuren hat, hat sie meistens nicht existiert. Und zuletzt habe ich nach der Fachliteratur zur Ludwigsbahn gesucht, also nach den Leuten, die sich beruflich damit befassen, statt nach den Leuten, die die Anekdote benutzen. Drei Schritte. Keiner davon verlangt einen Bibliotheksausweis.</w:t>
      </w:r>
    </w:p>
    <w:p>
      <w:pPr>
        <w:pStyle w:val="Fliesstext"/>
        <w:ind w:firstLine="283"/>
      </w:pPr>
      <w:r>
        <w:t>Halten wir fest, was hier eigentlich passiert ist. Eine Erzählung über dumme Technikangst hat sich als das erwiesen, was sie den Ärzten von 1835 vorwirft: als unbelegte Behauptung, die alle nachplappern, weil sie so gut ins Weltbild passt. Der Spott über die Angst war selbst nicht besser recherchiert als die Angst.</w:t>
      </w:r>
    </w:p>
    <w:p>
      <w:pPr>
        <w:pStyle w:val="Fliesstext"/>
        <w:ind w:firstLine="283"/>
      </w:pPr>
      <w:r>
        <w:t>Das ist die erste Sorte, und sie ist heimtückisch, weil sie sich immer auf der vernünftigen Seite wähnt. Die erfundene Angst wird fast nie von Ängstlichen verbreitet. Sie wird von Fortschrittsfreunden verbreitet, von Leuten wie mir, die einen Lacher brauchen. Und sie richtet realen Schaden an, denn sie liefert eine bequeme Abkürzung: Wer heute Bedenken äußert, muss sich nicht mehr inhaltlich auseinandersetzen lassen, man legt ihm einfach die Bretterwand-Doktoren in die Schuhe.</w:t>
      </w:r>
    </w:p>
    <w:p>
      <w:pPr>
        <w:pStyle w:val="Fliesstext"/>
        <w:ind w:firstLine="283"/>
      </w:pPr>
      <w:r>
        <w:t>Merk dir das für Kapitel 9, wenn wir die großen KI-Prognosen lesen. Die Frage „Stimmt das Beispiel eigentlich, mit dem hier argumentiert wird?" ist die billigste und wirksamste Prüfung, die es gibt.</w:t>
      </w:r>
    </w:p>
    <w:p>
      <w:pPr>
        <w:pStyle w:val="Zwischen"/>
      </w:pPr>
      <w:r>
        <w:t>Was wirklich weh tat</w:t>
      </w:r>
    </w:p>
    <w:p>
      <w:pPr>
        <w:pStyle w:val="Fliesstext"/>
      </w:pPr>
      <w:r>
        <w:t>Jetzt der zweite Teil, und der ist unbequemer, weil er in die andere Richtung geht.</w:t>
      </w:r>
    </w:p>
    <w:p>
      <w:pPr>
        <w:pStyle w:val="Fliesstext"/>
        <w:ind w:firstLine="283"/>
      </w:pPr>
      <w:r>
        <w:t>Die Menschen des 19. Jahrhunderts hatten Angst vor der Eisenbahn. Nicht die Comedy-Angst aus meiner Folie, aber Angst. Und in einem zentralen Punkt hatten sie recht, denn die Eisenbahn brachte ein neues Schadensbild in die Welt, das die Medizin jahrzehntelang beschäftigt hat.</w:t>
      </w:r>
    </w:p>
    <w:p>
      <w:pPr>
        <w:pStyle w:val="Fliesstext"/>
        <w:ind w:firstLine="283"/>
      </w:pPr>
      <w:r>
        <w:t xml:space="preserve">1866 veröffentlichte der britische Chirurg John Eric Erichsen ein Buch mit dem Titel </w:t>
      </w:r>
      <w:r>
        <w:rPr>
          <w:i/>
        </w:rPr>
        <w:t>On Railway and Other Injuries of the Nervous System</w:t>
      </w:r>
      <w:r>
        <w:t>.[3]</w:t>
      </w:r>
    </w:p>
    <w:p>
      <w:pPr>
        <w:pStyle w:val="Fliesstext"/>
        <w:ind w:firstLine="283"/>
      </w:pPr>
      <w:r>
        <w:t>Was in seiner Sprechstunde passierte, kann ich dir nur rekonstruieren, aus dem, was er beschrieben hat, nicht aus einem überlieferten Protokoll. Aber die Rekonstruktion ist unstrittig genug, um sie zu wagen. Vor ihm sitzt ein Mensch, der Wochen oder Monate zuvor in einem Eisenbahnunfall war. Er ist danach aus dem Waggon gestiegen und nach Hause gegangen. Keine Brüche. Keine Wunden. Nichts, was man abtasten, schienen oder nähen könnte. Und seitdem stimmt etwas nicht. Er verliert den Faden mitten im Satz. Er vergisst Verabredungen, die er früher im Kopf hatte. Er schläft schlecht, er ist reizbar, er kann sich nicht konzentrieren, und das geht nicht weg.</w:t>
      </w:r>
    </w:p>
    <w:p>
      <w:pPr>
        <w:pStyle w:val="Fliesstext"/>
        <w:ind w:firstLine="283"/>
      </w:pPr>
      <w:r>
        <w:t xml:space="preserve">Erichsen sah dieses Muster nicht einmal, sondern immer wieder, und er tat, was ein Arzt tut: Er suchte die Ursache dort, wo sein Fach damals suchen konnte, nämlich im Gewebe. Seine Erklärung war eine organische Erschütterung des Rückenmarks, eine „concussion of the spine". Populär wurde das Ganze als </w:t>
      </w:r>
      <w:r>
        <w:rPr>
          <w:b/>
        </w:rPr>
        <w:t>„railway spine"</w:t>
      </w:r>
      <w:r>
        <w:t>, im englischen Sprachraum auch als „Erichsen's disease"; nebenher lief der Schwesterbegriff „railway brain".[3]</w:t>
      </w:r>
    </w:p>
    <w:p>
      <w:pPr>
        <w:pStyle w:val="Fliesstext"/>
        <w:ind w:firstLine="283"/>
      </w:pPr>
      <w:r>
        <w:t>Das war keine Panikmache. Das war ein Chirurg, der ein Muster in seinen Fällen sah und es aufschrieb. Und es war ein Muster, das es vorher nicht gab, weil es vorher keine Unfälle gab, bei denen mehrere Tonnen Metall einen Menschen mit dieser Wucht durchschütteln, ohne ihn zu zerreißen. Die neue Technik erzeugte einen neuen Verletzungstyp. So einfach ist das.</w:t>
      </w:r>
    </w:p>
    <w:p>
      <w:pPr>
        <w:pStyle w:val="Fliesstext"/>
        <w:ind w:firstLine="283"/>
      </w:pPr>
      <w:r>
        <w:t>Der Streit darüber, was da eigentlich passiert, hat die Medizin dann über Jahrzehnte beschäftigt, und er ist der eigentlich interessante Teil. Der Begriff „nervous shock" prägte die Debatte. Der Chirurg Herbert Page deutete die Symptome später weniger organisch, eher psychisch und funktional: ein Schock ohne nachweisbaren körperlichen Befund.[3] Damit war ein Gedanke in der Welt, der in die Vorstellung der traumatischen Neurose mündete — die Ahnung, dass ein Mensch an einem Ereignis Schaden nehmen kann, auch wenn man an ihm nichts findet.</w:t>
      </w:r>
    </w:p>
    <w:p>
      <w:pPr>
        <w:pStyle w:val="Fliesstext"/>
        <w:ind w:firstLine="283"/>
      </w:pPr>
      <w:r>
        <w:t>Die Diagnose stieg ab den 1860er und 1870er Jahren auf, und sie stieg nicht nur in Kliniken auf, sondern vor Gericht. Es ging um Schadenersatz gegen Eisenbahngesellschaften.[3] Ich halte das für die unterschätzte Hälfte der Geschichte, und was ich jetzt sage, ist meine Lesart und keine Quellenaussage: In dem Moment, in dem eine Diagnose über Geld entscheidet, hat sie auf beiden Seiten Interessenten. Die Gesellschaften hatten ein handfestes Motiv, ein Leiden ohne sichtbaren Befund für Einbildung zu halten. Die Kläger und ihre Anwälte hatten ein ebenso handfestes Motiv, es für gesichert zu erklären. Und die Ärzte standen dazwischen, mit einem Werkzeugkasten, der die Frage noch nicht entscheiden konnte.</w:t>
      </w:r>
    </w:p>
    <w:p>
      <w:pPr>
        <w:pStyle w:val="Fliesstext"/>
        <w:ind w:firstLine="283"/>
      </w:pPr>
      <w:r>
        <w:t>Halte das kurz neben den Stromkrieg im nächsten Abschnitt. Dort betont ein Interessent eine Gefahr, um sie größer zu machen. Hier bestreitet ein Interessent eine Gefahr, um sie kleiner zu machen. Es ist dieselbe Mechanik, nur mit umgekehrtem Vorzeichen, und in der KI-Debatte begegnen dir beide Richtungen am selben Tag.</w:t>
      </w:r>
    </w:p>
    <w:p>
      <w:pPr>
        <w:pStyle w:val="Fliesstext"/>
        <w:ind w:firstLine="283"/>
      </w:pPr>
      <w:r>
        <w:t>Aufgearbeitet ist die medizinische Seite in begutachteter Literatur, etwa bei Spitzer und Mull unter dem schönen Titel „The rise and fall of Erichsen's disease".[4] Aufstieg und Fall. Die Diagnose verschwand wieder, als Neurologie und Psychiatrie weiterkamen und genauer hinsehen konnten. Sie war am Ende falsch — und trotzdem hat sie etwas Bleibendes hinterlassen, weil die Frage dahinter richtig war.</w:t>
      </w:r>
    </w:p>
    <w:p>
      <w:pPr>
        <w:pStyle w:val="Fliesstext"/>
        <w:ind w:firstLine="283"/>
      </w:pPr>
      <w:r>
        <w:t>Es ist ein Zug in dieser Geschichte, den ich aus meinem eigenen Fach wiedererkenne. Wenn eine neue Technik in Betrieb geht, entstehen Fehlerbilder, für die es noch keinen Namen gibt. Man beschreibt sie zuerst falsch, weil man sie mit den Begriffen beschreibt, die man schon hat. Erichsen hatte die Anatomie und suchte deshalb im Rückenmark. Das war der Stand seines Werkzeugkastens, nicht seine Dummheit.</w:t>
      </w:r>
    </w:p>
    <w:p>
      <w:pPr>
        <w:pStyle w:val="Fliesstext"/>
        <w:ind w:firstLine="283"/>
      </w:pPr>
      <w:r>
        <w:t>Ich habe das im Kleinen erlebt, in der Frühzeit unserer Automatisierungsprojekte, und ich erzähle es als Erfahrung, nicht als Beleg. Wir kannten damals „der Bot läuft" und „der Bot ist abgestürzt". Für den Zustand dazwischen hatten wir kein Wort: der Bot läuft durch, meldet keinen Fehler und produziert trotzdem seit Tagen falsche Ergebnisse. Wir nannten das anfangs Anwenderfehler, weil Anwenderfehler die Kategorie war, die wir hatten. Es hat gedauert, bis wir verstanden, dass wir eine neue Kategorie brauchten und ein anderes Monitoring dazu. Wer heute über KI-Systeme sagt, sie „halluzinieren", ist ungefähr an derselben Stelle: ein Wort für ein Fehlerbild, das man noch nicht ganz versteht, aber schon zählen kann.</w:t>
      </w:r>
    </w:p>
    <w:p>
      <w:pPr>
        <w:pStyle w:val="Fliesstext"/>
        <w:ind w:firstLine="283"/>
      </w:pPr>
      <w:r>
        <w:t>Genau so sieht die zweite Sorte aus. Die echte Angst ist selten spektakulär und fast nie so griffig wie die erfundene. Sie kommt als Fachdebatte daher, mit Uneinigkeit, mit Korrekturen, mit einem Ergebnis, das erst nach dreißig Jahren feststeht. Sie eignet sich nicht für Folie vier. Sie ist bloß wahr.</w:t>
      </w:r>
    </w:p>
    <w:p>
      <w:pPr>
        <w:pStyle w:val="Fliesstext"/>
        <w:ind w:firstLine="283"/>
      </w:pPr>
      <w:r>
        <w:t>Und sie war nicht auf die Medizin beschränkt. Die sozialen Sorgen rund um die Eisenbahn waren ebenfalls real: dass das Tempo die Sitten entgrenze, dass im Waggon plötzlich Stände nebeneinandersaßen, die im echten Leben nichts miteinander zu tun hatten, dass Raum und Zeit ihre gewohnte Gestalt verloren, weil eine Entfernung, die gestern eine Tagesangelegenheit war, heute vor dem Mittagessen erledigt wurde. Man kann das mit einem Schulterzucken abtun. Ich finde, man sollte es nicht. Diese Leute beschrieben, was tatsächlich geschah. Sie lagen nicht in der Beobachtung falsch, sondern in der Bewertung — sie hielten für einen Verlust, was sich als Gewinn herausstellte. Das ist ein völlig anderer Fehler als der der Bretterwand-Doktoren, die es nie gab.</w:t>
      </w:r>
    </w:p>
    <w:p>
      <w:pPr>
        <w:pStyle w:val="Zwischen"/>
      </w:pPr>
      <w:r>
        <w:t>Der Mann, der Hunde tötete, um Kabel zu verkaufen</w:t>
      </w:r>
    </w:p>
    <w:p>
      <w:pPr>
        <w:pStyle w:val="Fliesstext"/>
      </w:pPr>
      <w:r>
        <w:t>Und jetzt die dritte Sorte, die mich von allen dreien am meisten beschäftigt.</w:t>
      </w:r>
    </w:p>
    <w:p>
      <w:pPr>
        <w:pStyle w:val="Fliesstext"/>
        <w:ind w:firstLine="283"/>
      </w:pPr>
      <w:r>
        <w:t>Ende der 1880er Jahre lief in den Vereinigten Staaten ein Verteilungskampf, den man später den „Stromkrieg" nannte. Auf der einen Seite Thomas Edison mit Gleichstrom, auf der anderen George Westinghouse mit dem Wechselstromsystem, an dessen technischer Grundlage Nikola Tesla mitgewirkt hatte. Es ging nicht um Physik im luftleeren Raum. Es ging darum, welches System die Städte elektrifizieren würde, und damit um sehr viel Geld.</w:t>
      </w:r>
    </w:p>
    <w:p>
      <w:pPr>
        <w:pStyle w:val="Fliesstext"/>
        <w:ind w:firstLine="283"/>
      </w:pPr>
      <w:r>
        <w:t>Wechselstrom war die technisch überlegene Lösung, vor allem weil er sich über größere Entfernungen wirtschaftlich transportieren lässt.[5][7] Das ist keine Geschmacksfrage und war es auch damals nicht. Wer Gleichstrom in der damaligen Form verkauft, muss alle paar Straßenzüge ein Kraftwerk hinstellen. Wer Wechselstrom verkauft, baut ein großes Kraftwerk und zieht Leitungen.</w:t>
      </w:r>
    </w:p>
    <w:p>
      <w:pPr>
        <w:pStyle w:val="Fliesstext"/>
        <w:ind w:firstLine="283"/>
      </w:pPr>
      <w:r>
        <w:t>Edison wusste das. Und er saß auf der falschen Seite der Rechnung: Sein System war gebaut, seine Anlagen standen, sein Geschäft hing daran.[5] Er entschied sich nicht dafür, das bessere Argument zu suchen, sondern die größere Angst.</w:t>
      </w:r>
    </w:p>
    <w:p>
      <w:pPr>
        <w:pStyle w:val="Fliesstext"/>
        <w:ind w:firstLine="283"/>
      </w:pPr>
      <w:r>
        <w:t xml:space="preserve">Aus seinem Umfeld heraus betrieb der Techniker Harold P. Brown eine Kampagne, deren Kern öffentliche Vorführungen waren: Tiere wurden mit Wechselstrom getötet, erst Hunde, später größere Tiere, vor Publikum.[5] Die Einzelheiten der einzelnen Vorführungen spare ich aus, weil meine Belege sie nicht im Detail hergeben und weil ich nichts dazuerfinden werde. Der Zweck ist auch ohne Details klar, und er war nie ein wissenschaftlicher. Der Zweck war Bildproduktion. Ein Publikum, das einmal gesehen hat, wie ein Tier an einem Draht stirbt, braucht danach kein Argument mehr über Spannungen und Frequenzen. Es hat ein Bild, und das Bild trägt eine Marke: Wechselstrom als Killerstrom, Edisons Gleichstrom als der harmlose Hausstrom. In diesem Lager entstand auch das Verb </w:t>
      </w:r>
      <w:r>
        <w:rPr>
          <w:b/>
        </w:rPr>
        <w:t>„to be Westinghoused"</w:t>
      </w:r>
      <w:r>
        <w:t xml:space="preserve"> — vom Strom getötet zu werden, benannt nach dem Konkurrenten.[5]</w:t>
      </w:r>
    </w:p>
    <w:p>
      <w:pPr>
        <w:pStyle w:val="Fliesstext"/>
        <w:ind w:firstLine="283"/>
      </w:pPr>
      <w:r>
        <w:t xml:space="preserve">Das ist keine Metapher für aggressives Marketing. Das </w:t>
      </w:r>
      <w:r>
        <w:rPr>
          <w:i/>
        </w:rPr>
        <w:t>ist</w:t>
      </w:r>
      <w:r>
        <w:t xml:space="preserve"> aggressives Marketing, betrieben von einem der bewundertsten Erfinder seiner Zeit.</w:t>
      </w:r>
    </w:p>
    <w:p>
      <w:pPr>
        <w:pStyle w:val="Fliesstext"/>
        <w:ind w:firstLine="283"/>
      </w:pPr>
      <w:r>
        <w:t>Der Höhepunkt war der elektrische Stuhl. Der Staat New York suchte eine Hinrichtungsmethode, die als humaner gelten sollte als der Strang, und wählte auf Empfehlung aus eben diesem Umfeld Wechselstrom.[5][6] Lies den Satz langsam. Ein Unternehmen erreicht, dass der Staat die Technik des Konkurrenten zum Tötungswerkzeug erklärt. Es gibt kein stärkeres Negativ-Siegel, das man einem Produkt aufdrücken kann, und niemand musste es bezahlen; der Staat übernahm die Bildproduktion kostenlos und dauerhaft.</w:t>
      </w:r>
    </w:p>
    <w:p>
      <w:pPr>
        <w:pStyle w:val="Fliesstext"/>
        <w:ind w:firstLine="283"/>
      </w:pPr>
      <w:r>
        <w:t>Am 6. August 1890 wurde William Kemmler im Gefängnis von Auburn als erster Mensch auf dem elektrischen Stuhl hingerichtet. Der Vorgang verlief qualvoll und musste mehrfach wiederholt werden.[6] Was die Zeugen an diesem Morgen gesehen haben, muss so schlimm gewesen sein, dass die These vom humaneren Verfahren an Ort und Stelle zerbrach.</w:t>
      </w:r>
    </w:p>
    <w:p>
      <w:pPr>
        <w:pStyle w:val="Fliesstext"/>
        <w:ind w:firstLine="283"/>
      </w:pPr>
      <w:r>
        <w:t>Und hier wird es, ehrlich gesagt, gespenstisch. Westinghouse hatte längst begriffen, was gespielt wurde. Er fürchtete, sein Strom würde für immer als Henkersstrom gelten. Deshalb finanzierte er Kemmlers Berufungsverfahren und ließ ihn von dem Anwalt W. Bourke Cockran vertreten.[6] Ein Industrieller bezahlt die Verteidigung eines zum Tode verurteilten Mannes, den er nie getroffen hat, weil sein Marktanteil daran hängt. Das ist eine Szene, die man sich nicht ausdenken kann, und sie ist belegt.</w:t>
      </w:r>
    </w:p>
    <w:p>
      <w:pPr>
        <w:pStyle w:val="Fliesstext"/>
        <w:ind w:firstLine="283"/>
      </w:pPr>
      <w:r>
        <w:t>Man kann das zynisch nennen, und es war es vermutlich auch. Es ist trotzdem bemerkenswert, dass Westinghouse nicht mit einer Gegenkampagne antwortete. Er tötete keine Hunde mit Gleichstrom. Er ging vor Gericht, und danach ging er in die Öffentlichkeit — aber nicht mit Schreckbildern, sondern mit Betrieb.</w:t>
      </w:r>
    </w:p>
    <w:p>
      <w:pPr>
        <w:pStyle w:val="Fliesstext"/>
        <w:ind w:firstLine="283"/>
      </w:pPr>
      <w:r>
        <w:t>Ob das Charakter war oder Kalkül, weiß ich nicht, und ich vermute, es war beides. Sicher ist: Für ihn war die Rechnung anders herum aufgestellt. Edison musste seinen Kunden erklären, warum sie sich für das teurere System entscheiden sollten, und dafür brauchte er einen Grund, der jenseits von Zahlen liegt. Westinghouse musste gar nichts erklären, solange sein Strom lief. Wer das bessere Angebot hat, gewinnt durch Vorführen. Wer das schlechtere hat, gewinnt nur durch Erschrecken. Das ist keine moralische Aussage über die beiden Männer, sondern eine über ihre Positionen — und es ist eine Faustregel, die dir in jeder Produktdebatte weiterhilft, auch in der über KI-Werkzeuge: Achte darauf, wer demonstriert und wer warnt, und frage dich, welche der beiden Rollen der jeweiligen Marktposition zufällt.</w:t>
      </w:r>
    </w:p>
    <w:p>
      <w:pPr>
        <w:pStyle w:val="Fliesstext"/>
        <w:ind w:firstLine="283"/>
      </w:pPr>
      <w:r>
        <w:t>Ausgegangen ist die Sache so: Die Weltausstellung in Chicago 1893 wurde von Westinghouse mit Wechselstrom beleuchtet, ab 1895 lieferte das Wasserkraftwerk an den Niagarafällen Wechselstrom, und damit war die Frage öffentlich entschieden. Wechselstrom wurde zum Standard. Edisons Angstkampagne ist gescheitert.[5][7]</w:t>
      </w:r>
    </w:p>
    <w:p>
      <w:pPr>
        <w:pStyle w:val="Fliesstext"/>
        <w:ind w:firstLine="283"/>
      </w:pPr>
      <w:r>
        <w:t>Warum sie gescheitert ist, halte ich für die praktisch verwertbarste Stelle dieses ganzen Kapitels, und es ist meine Deutung, keine Quellenaussage. Sie ist nicht an einem besseren Argument gescheitert. Sie ist daran gescheitert, dass Millionen Menschen über Monate durch ein Ausstellungsgelände liefen, das mit dem angeblichen Killerstrom beleuchtet war, und dass keiner von ihnen zu Schaden kam. Ein Angstbild hält so lange, wie es keine Alltagserfahrung gibt, die dagegensteht. Danach fällt es in sich zusammen, und zwar ohne dass jemand es widerlegen müsste. Genau das meint der Titel dieses Buches. Erst kam die Angst, dann kam der Alltag — und der Alltag ist das stärkere Argument, weil er gar nicht argumentiert.</w:t>
      </w:r>
    </w:p>
    <w:p>
      <w:pPr>
        <w:pStyle w:val="Fliesstext"/>
        <w:ind w:firstLine="283"/>
      </w:pPr>
      <w:r>
        <w:t>Das Nachspiel ist die zweite Lehre. Strom ist gefährlich, das war nie gelogen; er ist unsichtbar, geruchlos und kann töten. Beherrschbar wurde er nicht durch Angstkampagnen und auch nicht dadurch, dass irgendjemand die Gefahr wegdiskutierte, sondern durch Ingenieursarbeit und Regeln: Sicherungen, Isolierung, niedrige Spannungen beim Endkunden, Schutzleiter, Normen. Heute steckst du einen Wasserkocher in die Wand und denkst über nichts davon nach. Das ist kein Naturzustand. Das ist das Ergebnis von hundert Jahren Sicherheitstechnik und Vorschriften, die jemand geschrieben hat.</w:t>
      </w:r>
    </w:p>
    <w:p>
      <w:pPr>
        <w:pStyle w:val="Fliesstext"/>
        <w:ind w:firstLine="283"/>
      </w:pPr>
      <w:r>
        <w:t>Die dritte Sorte erkennt man also nicht daran, dass die Gefahr falsch wäre. Man erkennt sie daran, wer die Gefahr betont, wie laut, in welchem Bild — und was er verkauft.</w:t>
      </w:r>
    </w:p>
    <w:p>
      <w:pPr>
        <w:pStyle w:val="Zwischen"/>
      </w:pPr>
      <w:r>
        <w:t>Der Strom, der aus den Fassungen lief</w:t>
      </w:r>
    </w:p>
    <w:p>
      <w:pPr>
        <w:pStyle w:val="Fliesstext"/>
      </w:pPr>
      <w:r>
        <w:t>Bevor ich daraus ein Werkzeug mache, brauche ich noch zwei Fälle, die nicht sauber in das Schema passen. Sie sind mir wichtig, weil ein Schema, das alles einsortiert, meistens nur schlecht hinsieht.</w:t>
      </w:r>
    </w:p>
    <w:p>
      <w:pPr>
        <w:pStyle w:val="Fliesstext"/>
        <w:ind w:firstLine="283"/>
      </w:pPr>
      <w:r>
        <w:t>Der erste ist eine einzelne Frau. 1890, in den Vereinigten Staaten, bat Harriet Davis die Polizei um Schutz. Ihre Begründung: Aus leeren Lampenfassungen laufe Strom aus, und dieser Strom vergifte sie.[10]</w:t>
      </w:r>
    </w:p>
    <w:p>
      <w:pPr>
        <w:pStyle w:val="Fliesstext"/>
        <w:ind w:firstLine="283"/>
      </w:pPr>
      <w:r>
        <w:t>Die Geschichte wird gern als Kuriosum erzählt, und man kann sie so erzählen. Ich finde sie aus einem anderen Grund lehrreich. Prüfe sie einmal mit den Fragen, die am Ende dieses Kapitels stehen. Gibt es die Warnung? Ja, und zwar handfest, sie wurde bei einer Behörde vorgetragen. Zeigt sie auf ein prüfbares Schadensbild? Nein. Verdient jemand daran? Niemand. Diese Angst ist echt gefühlt, sachlich leer und völlig uneigennützig, und damit ist sie der Typ, gegen den alle drei Werkzeuge stumpf sind.</w:t>
      </w:r>
    </w:p>
    <w:p>
      <w:pPr>
        <w:pStyle w:val="Fliesstext"/>
        <w:ind w:firstLine="283"/>
      </w:pPr>
      <w:r>
        <w:t xml:space="preserve">Und dumm war sie auch nicht, jedenfalls nicht so dumm, wie sie klingt — das ist jetzt meine Vermutung und nichts weiter. Diese Frau hatte ein Modell im Kopf, und das Modell war nur eine Generation alt: Beleuchtung kam bis dahin aus Rohren, in denen Gas floss, und Gas läuft tatsächlich aus, wenn man den Hahn nicht schließt, und es vergiftet tatsächlich Menschen. Wir sagen bis heute, der Strom </w:t>
      </w:r>
      <w:r>
        <w:rPr>
          <w:i/>
        </w:rPr>
        <w:t>fließe</w:t>
      </w:r>
      <w:r>
        <w:t xml:space="preserve">, wir reden von </w:t>
      </w:r>
      <w:r>
        <w:rPr>
          <w:i/>
        </w:rPr>
        <w:t>Leitungen</w:t>
      </w:r>
      <w:r>
        <w:t>, und in einer offenen Fassung sieht man ein offenes Ende. Wer das neue Ding mit dem alten Modell erklärt, landet exakt bei ihrer Sorge. Sie hatte nicht zu viel Fantasie. Sie hatte das falsche Bild, und niemand hatte ihr ein besseres gegeben.</w:t>
      </w:r>
    </w:p>
    <w:p>
      <w:pPr>
        <w:pStyle w:val="Fliesstext"/>
        <w:ind w:firstLine="283"/>
      </w:pPr>
      <w:r>
        <w:t>Das ist keine vierte Sorte Angst. Das ist die zweite Sorte mit kaputtem Modell, und es ist der Fall, der in meinem Berufsalltag am häufigsten vorkommt. Wenn jemand fragt, ob der Chatbot mitschreibt, was er tippt, oder ob eine Automatisierung heimlich weiterläuft, wenn der Rechner aus ist, dann ist die Frage sachlich meistens falsch und der Reflex dahinter völlig in Ordnung. Auf so etwas antwortet man nicht mit Spott. Man antwortet mit einem besseren Bild, und wenn man keins hat, hat man seine Hausaufgaben nicht gemacht.</w:t>
      </w:r>
    </w:p>
    <w:p>
      <w:pPr>
        <w:pStyle w:val="Fliesstext"/>
        <w:ind w:firstLine="283"/>
      </w:pPr>
      <w:r>
        <w:t>Der zweite Fall ist größer und betraf nicht eine Frau, sondern eine Fachdebatte. Das neue elektrische Licht galt vielen Zeitgenossen als schädlich für die Augen. Bogen- und Glühlicht seien zu grell, sie flimmerten, sie überforderten die Anpassung der Pupille; medizinische Periodika der Zeit diskutierten das durchaus kontrovers.[11]</w:t>
      </w:r>
    </w:p>
    <w:p>
      <w:pPr>
        <w:pStyle w:val="Fliesstext"/>
        <w:ind w:firstLine="283"/>
      </w:pPr>
      <w:r>
        <w:t>Der Vergleich mit der bayerischen Legende lohnt sich, weil er zeigt, wie unterschiedlich zwei Dinge sein können, die im Rückblick beide als „Man hielt das Licht für augenschädlich" durchgehen. Die Bretterwand-Warnung gibt es nicht. Diese Debatte gab es, sie wurde von Fachleuten in ihren eigenen Zeitschriften geführt, mit Gegenrede, und sie hat sich erledigt, weil das Licht sich veränderte und die befürchteten Schäden ausblieben. Eine Sorge, die von der Fachwelt geprüft und verworfen wurde, ist etwas anderes als eine Sorge, die es nie gab. Beide enden in derselben Fußnote der Geschichte, und trotzdem darf man sie nicht gleich behandeln. Die eine war ein Fehler. Die andere war eine Erfindung über einen Fehler.</w:t>
      </w:r>
    </w:p>
    <w:p>
      <w:pPr>
        <w:pStyle w:val="Zwischen"/>
      </w:pPr>
      <w:r>
        <w:t>Stevenson und das gnädige Gaslicht</w:t>
      </w:r>
    </w:p>
    <w:p>
      <w:pPr>
        <w:pStyle w:val="Fliesstext"/>
      </w:pPr>
      <w:r>
        <w:t>Jetzt die Stimme, die verhindert, dass das Schema zu glatt wird.</w:t>
      </w:r>
    </w:p>
    <w:p>
      <w:pPr>
        <w:pStyle w:val="Fliesstext"/>
        <w:ind w:firstLine="283"/>
      </w:pPr>
      <w:r>
        <w:t xml:space="preserve">1878 schrieb Robert Louis Stevenson, der Autor der </w:t>
      </w:r>
      <w:r>
        <w:rPr>
          <w:i/>
        </w:rPr>
        <w:t>Schatzinsel</w:t>
      </w:r>
      <w:r>
        <w:t xml:space="preserve">, einen kleinen Essay mit dem Titel </w:t>
      </w:r>
      <w:r>
        <w:rPr>
          <w:i/>
        </w:rPr>
        <w:t>A Plea for Gas Lamps</w:t>
      </w:r>
      <w:r>
        <w:t xml:space="preserve">, ein Plädoyer für die Gaslaterne, später aufgenommen in den Band </w:t>
      </w:r>
      <w:r>
        <w:rPr>
          <w:i/>
        </w:rPr>
        <w:t>Virginibus Puerisque</w:t>
      </w:r>
      <w:r>
        <w:t>. Sein Urteil über das neue elektrische Licht fiel vernichtend aus: „horrible, unearthly, obnoxious to the human eye" — grässlich, überirdisch im schlechten Sinn, eine Zumutung für das menschliche Auge. Ein Licht, so Stevenson, das nur auf Morde und Verbrechen scheinen sollte oder in die Gänge von Irrenanstalten.[8]</w:t>
      </w:r>
    </w:p>
    <w:p>
      <w:pPr>
        <w:pStyle w:val="Fliesstext"/>
        <w:ind w:firstLine="283"/>
      </w:pPr>
      <w:r>
        <w:t>Seine Einwände waren zugleich ästhetisch, hygienisch und moralisch, und diese drei Ebenen lagen für ihn nicht auseinander.[8] Das ist für heutige Ohren ungewohnt. Wir sortieren Argumente gern in Schubladen: Das hier ist Geschmack, das da ist Gesundheit, jenes ist Moral, und nur die mittlere Schublade zählt. Stevenson hätte diese Sortierung nicht verstanden. Für ihn war das mildere Licht auch das menschenfreundlichere, und das grelle Licht auch das unbarmherzigere.</w:t>
      </w:r>
    </w:p>
    <w:p>
      <w:pPr>
        <w:pStyle w:val="Fliesstext"/>
        <w:ind w:firstLine="283"/>
      </w:pPr>
      <w:r>
        <w:t>Und jetzt der Punkt, wegen dem er in diesem Kapitel steht: Stevenson verkaufte keinen Gleichstrom. Er hatte kein Geschäftsmodell, keine Aktien an einer Gasgesellschaft, soweit ich sehe kein Interesse außer seinem eigenen Erleben. Die dritte Prüffrage — wem nützt die Angst? — läuft bei ihm ins Leere.</w:t>
      </w:r>
    </w:p>
    <w:p>
      <w:pPr>
        <w:pStyle w:val="Fliesstext"/>
        <w:ind w:firstLine="283"/>
      </w:pPr>
      <w:r>
        <w:t>Ein Werkzeug, das nichts findet, sagt dir trotzdem etwas. Es sagt: Diesen Einwand kannst du nicht über das Motiv erledigen. Du musst ihn inhaltlich anfassen.</w:t>
      </w:r>
    </w:p>
    <w:p>
      <w:pPr>
        <w:pStyle w:val="Fliesstext"/>
        <w:ind w:firstLine="283"/>
      </w:pPr>
      <w:r>
        <w:t>Man kann darüber lachen, und die meisten haben es getan. Elektrisches Licht wurde binnen einer Generation so selbstverständlich, dass die Sorge um die Augen und um die Sitten verstummte. Ich habe für nostalgische Technikkritik selten Geduld; mein Standardsatz dazu lautet, wenn früher alles besser war, dann reite doch mit dem Kamel zur Arbeit. Bei Stevenson verbietet sich der Satz, und zwar aus einem sachlichen Grund.</w:t>
      </w:r>
    </w:p>
    <w:p>
      <w:pPr>
        <w:pStyle w:val="Fliesstext"/>
        <w:ind w:firstLine="283"/>
      </w:pPr>
      <w:r>
        <w:t>Eine Hälfte seiner Klage ist nämlich wieder da, und zwar auf dem Schreibtisch der Wissenschaft. Die Entgrenzung der Nacht durch Dauerbeleuchtung — Schlaf, Rhythmus, Lichtverschmutzung — ist heute ein ernsthaftes Forschungsthema. Die Kulturgeschichte dieser Angst ist in begutachteter Literatur aufgearbeitet, etwa bei Laura Ludtke, die den „Albtraum der totalen Beleuchtung" von den dystopischen Romanen des späten 19. Jahrhunderts über Wells und Huxley bis zu Orwell verfolgt.[9] Die Vorstellung, dass ein Raum, in dem das Licht nie ausgeht, kein freundlicher Raum ist, hat es aus dem Feuilleton in die Literatur und aus der Literatur zurück in die Forschung geschafft.</w:t>
      </w:r>
    </w:p>
    <w:p>
      <w:pPr>
        <w:pStyle w:val="Fliesstext"/>
        <w:ind w:firstLine="283"/>
      </w:pPr>
      <w:r>
        <w:t>Das ist ein Weg, den man sich merken sollte, weil er nicht der übliche ist. Eine Sorge wird als Geschmacksurteil abgetan, wandert in die Fiktion, wird dort über Jahrzehnte durchgespielt und kommt am Ende als Forschungsfrage zurück. Der ausgeleuchtete Raum ohne Nacht ist in diesen Romanen nie ein Fortschrittsbild, sondern ein Kontrollbild: Wo nichts mehr im Dunkeln liegt, ist auch nichts mehr unbeobachtet.[9] Wenn dir das bekannt vorkommt, liegt das daran, dass die heutige Debatte über dauerhafte Erreichbarkeit und lückenlose Protokollierung mit demselben Bild arbeitet.</w:t>
      </w:r>
    </w:p>
    <w:p>
      <w:pPr>
        <w:pStyle w:val="Fliesstext"/>
        <w:ind w:firstLine="283"/>
      </w:pPr>
      <w:r>
        <w:t>Meine Lesart, und das ist ausdrücklich meine Meinung: Stevenson lag beim Auge daneben und bei der Nacht nicht. Er konnte nur nicht sagen, welche seiner Sorgen die haltbare war. Das kann fast nie jemand, der mitten drinsteht — und es ist der Grund, warum ich das Sortieren im nächsten Abschnitt für nützlich und trotzdem für begrenzt halte.</w:t>
      </w:r>
    </w:p>
    <w:p>
      <w:pPr>
        <w:pStyle w:val="Fliesstext"/>
        <w:ind w:firstLine="283"/>
      </w:pPr>
      <w:r>
        <w:t>Deshalb ist „darüber hat man früher auch gelacht" ein genauso schwaches Argument wie „das ist doch dieselbe Panik wie damals". Beide Sätze ersparen einem das Hinsehen.</w:t>
      </w:r>
    </w:p>
    <w:p>
      <w:pPr>
        <w:pStyle w:val="Zwischen"/>
      </w:pPr>
      <w:r>
        <w:t>Drei Sorten, drei Fragen</w:t>
      </w:r>
    </w:p>
    <w:p>
      <w:pPr>
        <w:pStyle w:val="Fliesstext"/>
      </w:pPr>
      <w:r>
        <w:t>Damit ist das Werkzeug beisammen, und es passt in drei Fragen, die du an jede Warnung stellen kannst, die dir über den Weg läuft. Sie kosten wenig und sortieren viel.</w:t>
      </w:r>
    </w:p>
    <w:p>
      <w:pPr>
        <w:pStyle w:val="Fliesstext"/>
        <w:ind w:firstLine="283"/>
      </w:pPr>
      <w:r>
        <w:t xml:space="preserve">Erstens: </w:t>
      </w:r>
      <w:r>
        <w:rPr>
          <w:b/>
        </w:rPr>
        <w:t>Gibt es die Warnung überhaupt?</w:t>
      </w:r>
      <w:r>
        <w:t xml:space="preserve"> Wer hat sie wann und wo genau geäußert, und lässt sich das nachschlagen? Das ist die Bretterwand-Prüfung. Sie erledigt einen erstaunlich großen Teil des Materials, das in Debatten herumgereicht wird, und zwar auf beiden Seiten. Achte besonders auf Warnungen, die in einem Text nichts tragen, sondern nur auflockern. Dort sitzen die Legenden.</w:t>
      </w:r>
    </w:p>
    <w:p>
      <w:pPr>
        <w:pStyle w:val="Fliesstext"/>
        <w:ind w:firstLine="283"/>
      </w:pPr>
      <w:r>
        <w:t xml:space="preserve">Zweitens: </w:t>
      </w:r>
      <w:r>
        <w:rPr>
          <w:b/>
        </w:rPr>
        <w:t>Worauf zeigt die Warnung?</w:t>
      </w:r>
      <w:r>
        <w:t xml:space="preserve"> Beschreibt sie ein Schadensbild, das man untersuchen, messen, in Fällen zählen kann — so wie Erichsen Patienten zählte? Oder beschreibt sie ein Gefühl, das sich jeder Prüfung entzieht? Beides darf man ernst nehmen, aber nur das Erste kann man klären. Und wenn die Antwort „zeigt auf nichts Prüfbares" lautet, ist die nächste Frage nicht „Wie werde ich diesen Menschen los?", sondern „Welches Bild hat er im Kopf, und woher hat er es?". Harriet Davis hatte keine Bosheit, sie hatte ein Gasrohr im Kopf.</w:t>
      </w:r>
    </w:p>
    <w:p>
      <w:pPr>
        <w:pStyle w:val="Fliesstext"/>
        <w:ind w:firstLine="283"/>
      </w:pPr>
      <w:r>
        <w:t xml:space="preserve">Drittens: </w:t>
      </w:r>
      <w:r>
        <w:rPr>
          <w:b/>
        </w:rPr>
        <w:t>Wem nützt die Angst?</w:t>
      </w:r>
      <w:r>
        <w:t xml:space="preserve"> Nicht als Verschwörungsfrage, sondern als schlichte Buchhaltung. Wer die Gefahr am lautesten ausmalt, hat manchmal ein Motiv, das mit der Gefahr nichts zu tun hat. Harold P. Brown hat keine Hunde getötet, weil er um die Öffentlichkeit besorgt war. Stell die Frage aber auch in die Gegenrichtung, sonst taugt sie nur zum Draufhauen: Wem nützt es, dass eine Gefahr klein aussieht? Die Eisenbahngesellschaften hatten dieses Interesse, als es um railway spine und Schadenersatz ging.</w:t>
      </w:r>
    </w:p>
    <w:p>
      <w:pPr>
        <w:pStyle w:val="Fliesstext"/>
        <w:ind w:firstLine="283"/>
      </w:pPr>
      <w:r>
        <w:t>Und die unbequeme Ergänzung, ohne die das Ganze wieder zur Rechthaberei wird: Diese drei Fragen sind kein Filter, der Warnungen widerlegt. Sie sortieren nur. Eine interessengeleitete Warnung kann trotzdem sachlich zutreffen — Strom tötet wirklich, auch wenn Edison es aus den falschen Gründen sagte. Eine echte Sorge kann sich als falsch erweisen, wie Erichsens Rückenmark. Und eine uneigennützige Sorge kann zur Hälfte danebenliegen und zur anderen Hälfte hundertvierzig Jahre später recht bekommen, wie Stevenson.</w:t>
      </w:r>
    </w:p>
    <w:p>
      <w:pPr>
        <w:pStyle w:val="Fliesstext"/>
        <w:ind w:firstLine="283"/>
      </w:pPr>
      <w:r>
        <w:t>Wer die drei Fragen benutzt, um Debatten zu gewinnen, hat sie missverstanden. Sie sind dafür da, herauszufinden, worüber man eigentlich streitet.</w:t>
      </w:r>
    </w:p>
    <w:p>
      <w:pPr>
        <w:pStyle w:val="Zwischen"/>
      </w:pPr>
      <w:r>
        <w:t>Und heute?</w:t>
      </w:r>
    </w:p>
    <w:p>
      <w:pPr>
        <w:pStyle w:val="Fliesstext"/>
      </w:pPr>
      <w:r>
        <w:t>Zurück zu meiner Folie, und dann zu dir.</w:t>
      </w:r>
    </w:p>
    <w:p>
      <w:pPr>
        <w:pStyle w:val="Fliesstext"/>
        <w:ind w:firstLine="283"/>
      </w:pPr>
      <w:r>
        <w:t>Alle drei Sorten laufen in der KI-Debatte gleichzeitig, und sie sind schwer auseinanderzuhalten, weil sie im selben Feed nebeneinanderstehen.</w:t>
      </w:r>
    </w:p>
    <w:p>
      <w:pPr>
        <w:pStyle w:val="Fliesstext"/>
        <w:ind w:firstLine="283"/>
      </w:pPr>
      <w:r>
        <w:t>Die erfundenen Geschichten kennst du. Der Chatbot, der angeblich seine eigene Sprache erfunden hat und abgeschaltet werden musste. Die KI, die sich angeblich geweigert hat, sich abschalten zu lassen. Solche Erzählungen wandern durch Netzwerke, verlieren bei jeder Weitergabe eine Einschränkung und gewinnen ein Detail dazu, bis sie so gut sind wie das Obermedizinalkollegium. Sie stehen auch nie an der Stelle, an der jemand prüft. Es gibt sie in beide Richtungen: Schauergeschichten über die Maschine und Spottgeschichten über die Ängstlichen. Prüf beide gleich streng.</w:t>
      </w:r>
    </w:p>
    <w:p>
      <w:pPr>
        <w:pStyle w:val="Fliesstext"/>
        <w:ind w:firstLine="283"/>
      </w:pPr>
      <w:r>
        <w:t>Die echten Risiken gibt es auch, und sie sehen aus wie railway spine: unspektakulär, umstritten, in Fachaufsätzen vergraben, mit Zahlen, über die man streiten kann. Verzerrte Entscheidungen in automatisierten Systemen, Datenschutz, Fälschungen, Energiebedarf. Sie kommen mit Namen daher, die noch nicht ganz passen, und ihre Beweislage ist in Bewegung. Dem widmen wir das achte Kapitel, komplett und ohne Beruhigungsmittel.</w:t>
      </w:r>
    </w:p>
    <w:p>
      <w:pPr>
        <w:pStyle w:val="Fliesstext"/>
        <w:ind w:firstLine="283"/>
      </w:pPr>
      <w:r>
        <w:t>Und ja, es gibt auch das dritte. Es gibt Marktteilnehmer, die vor der Technologie der Konkurrenz warnen, und Anbieter, denen ein bisschen Weltuntergang beim Verkaufen hilft, weil man ein Werkzeug, das die Menschheit gefährden könnte, offenbar dringend braucht. Und es gibt die Gegenrichtung, die stiller ist und deshalb leichter übersehen wird: Wer Schäden klein reden muss, weil sonst Haftung droht, tut das selten laut. Wie man solche Stimmen liest, ohne ihnen zu glauben und ohne sie pauschal abzutun, ist das Thema von Kapitel 9.</w:t>
      </w:r>
    </w:p>
    <w:p>
      <w:pPr>
        <w:pStyle w:val="Fliesstext"/>
        <w:ind w:firstLine="283"/>
      </w:pPr>
      <w:r>
        <w:t>Ich habe die dritte Sorte übrigens im Kleinen erlebt, lange vor ChatGPT. In der Frühzeit unserer RPA-Projekte lief in einem Fachbereich das Gerücht, der Bot sei in Wahrheit dazu da, die Arbeitsleistung der Kolleginnen mitzuschreiben und an die Führungsebene zu melden. Das war falsch, der Bot konnte das technisch gar nicht, aber es hielt sich hartnäckig und kostete uns Wochen. Zurückverfolgen ließ es sich nicht mehr; mein Verdacht — und mehr als ein Verdacht ist es nicht — war immer, dass es nicht aus Angst entstand, sondern weil das Projekt jemandem im Weg war. Was ich sicher weiß: Ein Gerücht dieser Art wirkt auf die Betroffenen genau wie eine echte Warnung. Man kann Angst nicht daran erkennen, wie sie sich anfühlt. Nur daran, woher sie kommt.</w:t>
      </w:r>
    </w:p>
    <w:p>
      <w:pPr>
        <w:pStyle w:val="Fliesstext"/>
        <w:ind w:firstLine="283"/>
      </w:pPr>
      <w:r>
        <w:t>Was uns damals geholfen hat, war übrigens nicht die Aufklärung. Wir haben erklärt, was der Bot protokolliert und was nicht, und es hat wenig genützt. Geholfen hat, dass die Kolleginnen ihn ein paar Wochen benutzt haben. Chicago 1893, im Maßstab eines Sachbereichs.</w:t>
      </w:r>
    </w:p>
    <w:p>
      <w:pPr>
        <w:pStyle w:val="Fliesstext"/>
        <w:ind w:firstLine="283"/>
      </w:pPr>
      <w:r>
        <w:t>Und damit ein letzter Blick zurück ins Kloster. Trithemius fürchtete den Buchdruck und ließ seine Streitschrift drucken. Er hatte kein Geschäftsmodell, er hatte eine Überzeugung und einen Widerspruch, und beides war echt. Er gehört zu Sorte zwei, und er gehört in dieselbe Reihe wie Stevenson: Leute, deren Warnung man nicht über das Motiv erledigen kann, weil kein Motiv da ist. Wenn du ihre Nachfahren heute suchst, findest du sie nicht bei denen, die am lautesten warnen, sondern bei denen, die die Technik benutzen und trotzdem ein ungutes Gefühl behalten. Das ist keine Schwäche. Das ist meistens der klarste Kopf im Raum.</w:t>
      </w:r>
    </w:p>
    <w:p>
      <w:pPr>
        <w:pStyle w:val="Fliesstext"/>
        <w:ind w:firstLine="283"/>
      </w:pPr>
      <w:r>
        <w:t>Die Eisenbahn und der Strom waren beides Techniken, die man anfassen konnte. Man sah die Lok, man spürte den Schlag. Im nächsten Kapitel wird es leiser und persönlicher, denn dann kommen die Techniken, die keine Körper bedrohten, sondern etwas Empfindlicheres: das Zuhause, die Familie, das Gespräch am Abend. Es beginnt mit einem Apparat an der Wand, der zum ersten Mal in der Geschichte einen Fremden mitten ins Wohnzimmer klingeln ließ.</w:t>
      </w:r>
    </w:p>
    <w:p>
      <w:r>
        <w:br w:type="page"/>
      </w:r>
    </w:p>
    <w:p>
      <w:pPr>
        <w:pStyle w:val="KapitelNummer"/>
      </w:pPr>
      <w:r>
        <w:rPr>
          <w:i/>
        </w:rPr>
        <w:t>Kapitel 3</w:t>
      </w:r>
    </w:p>
    <w:p>
      <w:pPr>
        <w:pStyle w:val="KapitelTitel"/>
      </w:pPr>
      <w:r>
        <w:t>„Das Telefon wird die Familie zerstören"</w:t>
      </w:r>
    </w:p>
    <w:p>
      <w:pPr>
        <w:pStyle w:val="Fliesstext"/>
      </w:pPr>
      <w:r>
        <w:t>Meine Frau und ich sind seit Jahren ehrenamtlich in der Jugendarbeit. Man macht das nicht, weil man gern Stühle stapelt, sondern wegen der zehn Minuten, in denen jemand von sich erzählt. An einem dieser Abende blieb ein Vater beim Rausgehen stehen und sagte einen Satz, der mir seither nachgeht.</w:t>
      </w:r>
    </w:p>
    <w:p>
      <w:pPr>
        <w:pStyle w:val="Fliesstext"/>
        <w:ind w:firstLine="283"/>
      </w:pPr>
      <w:r>
        <w:t>„Die reden ja gar nicht mehr miteinander."</w:t>
      </w:r>
    </w:p>
    <w:p>
      <w:pPr>
        <w:pStyle w:val="Fliesstext"/>
        <w:ind w:firstLine="283"/>
      </w:pPr>
      <w:r>
        <w:t>Er meinte die Handys, klar. Aber er blieb nicht dabei stehen. Er kam auf die Schule, und dann kam er auf die KI, und dann kam der zweite Satz: „Jetzt lassen die sich sogar noch aufschreiben, was sie fühlen sollen." Er war kein Kulturpessimist, kein Wutbürger, einfach ein Vater, der sich Sorgen um seinen Sohn machte. Ich habe ihm damals nichts Kluges geantwortet.</w:t>
      </w:r>
    </w:p>
    <w:p>
      <w:pPr>
        <w:pStyle w:val="Fliesstext"/>
        <w:ind w:firstLine="283"/>
      </w:pPr>
      <w:r>
        <w:t>Was mir erst später auffiel: Dieser Mann hat nicht über eine Maschine gesprochen. Er hat über Sitten gesprochen. Über Nähe, über Anstand, über Ehrlichkeit im Gefühl. Die Technik war nur das Vehikel.</w:t>
      </w:r>
    </w:p>
    <w:p>
      <w:pPr>
        <w:pStyle w:val="Fliesstext"/>
        <w:ind w:firstLine="283"/>
      </w:pPr>
      <w:r>
        <w:t>Genau das ist der Unterschied zwischen diesem Kapitel und den beiden davor. Beim Buchdruck ging die Angst um Wissen und Gedächtnis. Bei der Eisenbahn und beim Strom ging sie um Körper und Geschwindigkeit. Aber sobald eine Technik ins Soziale eingreift — sobald sie verändert, wer mit wem redet, wo und wie lange — richtet sich die Angst fast nie gegen das Gerät. Sie richtet sich gegen den Sittenverfall, den es angeblich mitbringt.</w:t>
      </w:r>
    </w:p>
    <w:p>
      <w:pPr>
        <w:pStyle w:val="Fliesstext"/>
        <w:ind w:firstLine="283"/>
      </w:pPr>
      <w:r>
        <w:t>Und noch etwas fällt auf, und das ist meine Lesart, nicht die eines Historikers: Die Panik trifft mit ziemlicher Zuverlässigkeit immer dieselben drei Gruppen. Die Jugend. Die Frauen. Und die, die wenig Geld haben. Schauen wir uns fünf Fälle an. Du wirst sehen, wie oft dieses Muster durchschlägt.</w:t>
      </w:r>
    </w:p>
    <w:p>
      <w:pPr>
        <w:pStyle w:val="Zwischen"/>
      </w:pPr>
      <w:r>
        <w:t>Der Apparat im Flur</w:t>
      </w:r>
    </w:p>
    <w:p>
      <w:pPr>
        <w:pStyle w:val="Fliesstext"/>
      </w:pPr>
      <w:r>
        <w:t>Stell dir einen Flur vor, irgendwann um die Jahrhundertwende. Der Apparat hängt an der Wand, zwischen Garderobe und Küchentür. Es gibt keinen zweiten im Haus. Wer telefoniert, steht mitten im Durchgangsraum der Wohnung, und wer in der Küche sitzt, hört die eine Hälfte des Gesprächs mit, ob er will oder nicht. Verbunden wird man nicht durch Wählen, sondern durch einen Menschen: In der Vermittlungsstelle steckt jemand ein Kabel in eine Buchse und weiß damit, wer mit wem spricht. Und an derselben Leitung hängen, je nach Gegend, noch ein paar Nachbarhaushalte.</w:t>
      </w:r>
    </w:p>
    <w:p>
      <w:pPr>
        <w:pStyle w:val="Fliesstext"/>
        <w:ind w:firstLine="283"/>
      </w:pPr>
      <w:r>
        <w:t>Das ist keine Anekdote, das ist die Bauweise. Und aus der Bauweise erklärt sich fast jede Sorge, die man dem Telefon entgegenbrachte.</w:t>
      </w:r>
    </w:p>
    <w:p>
      <w:pPr>
        <w:pStyle w:val="Fliesstext"/>
        <w:ind w:firstLine="283"/>
      </w:pPr>
      <w:r>
        <w:t>Denn das Telefon war die erste Technik, die einfach so in die Wohnung hineinredete. Ein Brief muss geöffnet werden, ein Besucher klopft. Das Telefon klingelt, und du gehst ran, weil es klingelt. Zum ersten Mal hatte etwas von draußen einen direkten Draht in den geschütztesten Raum, den ein Mensch kennt.[1]</w:t>
      </w:r>
    </w:p>
    <w:p>
      <w:pPr>
        <w:pStyle w:val="Fliesstext"/>
        <w:ind w:firstLine="283"/>
      </w:pPr>
      <w:r>
        <w:t xml:space="preserve">Die Sorge war nicht bloß Gefühl. In den frühen Jahrzehnten teilten sich mehrere Haushalte eine Leitung, sogenannte </w:t>
      </w:r>
      <w:r>
        <w:rPr>
          <w:i/>
        </w:rPr>
        <w:t>party lines</w:t>
      </w:r>
      <w:r>
        <w:t>, und da konnte der Nachbar tatsächlich mithören. Wer heute darüber lacht, hat noch nie in einer WhatsApp-Gruppe versehentlich die falsche Nachricht abgeschickt. Dazu kam ein Gefühl, das dir sehr vertraut vorkommen wird: nie mehr wirklich unerreichbar zu sein.[1]</w:t>
      </w:r>
    </w:p>
    <w:p>
      <w:pPr>
        <w:pStyle w:val="Fliesstext"/>
        <w:ind w:firstLine="283"/>
      </w:pPr>
      <w:r>
        <w:t>Der zweite Vorwurf ist der eigentliche Klassiker: Das Telefon werde die leibhaftige Begegnung verdrängen. Man werde anrufen, statt vorbeizukommen. Der Besuch stirbt, die Höflichkeit verkommt, die Beziehung verflacht. Dieses Argument ist so haltbar, dass es später wortgleich gegen das Texten in Stellung gebracht wurde — dieselbe Sorge, neues Gerät.[2] Wenn du willst, kannst du die Uhr danach stellen: Jedes Mal, wenn eine Technik Kommunikation billiger macht, sagt jemand, sie mache Kommunikation ärmer.</w:t>
      </w:r>
    </w:p>
    <w:p>
      <w:pPr>
        <w:pStyle w:val="Fliesstext"/>
        <w:ind w:firstLine="283"/>
      </w:pPr>
      <w:r>
        <w:t>Medizin gab es auch dazu. Der amerikanische Neurologe George M. Beard machte die Beschleunigung des Lebens durch Telegraf und Telefon mitverantwortlich für eine Diagnose, die er populär machte: Neurasthenie, nervöse Erschöpfung.[3] Merk dir das Wort. Es kommt in diesem Kapitel noch einmal vor, dann bei den Kindern am Radio, und das ist kein Zufall, sondern ein Beleg dafür, wie sehr solche Diagnosen mit der Technik mitwandern.</w:t>
      </w:r>
    </w:p>
    <w:p>
      <w:pPr>
        <w:pStyle w:val="Fliesstext"/>
        <w:ind w:firstLine="283"/>
      </w:pPr>
      <w:r>
        <w:t>Und dann der Punkt, an dem man merkt, dass es nie um Kabel ging. Das Telefon öffnete Frauen einen Kanal nach draußen, der nicht durch das Wohnzimmer und nicht durch die Familie kontrolliert werden konnte. Das wurde als moralisches Problem wahrgenommen, nicht als technisches.[4] Niemand hatte Angst vor der Membran im Hörer. Man hatte Angst davor, dass jemand ungehört mit jemandem sprechen könnte.</w:t>
      </w:r>
    </w:p>
    <w:p>
      <w:pPr>
        <w:pStyle w:val="Fliesstext"/>
        <w:ind w:firstLine="283"/>
      </w:pPr>
      <w:r>
        <w:t xml:space="preserve">Die Ironie daran hängt am selben Kabel. Während man debattierte, ob Frauen zu viel telefonieren, wurde das Telefon zu einem der ersten großen Angestelltenberufe für Frauen überhaupt. Die Vermittlungsdamen, im Englischen die </w:t>
      </w:r>
      <w:r>
        <w:rPr>
          <w:i/>
        </w:rPr>
        <w:t>Hello Girls</w:t>
      </w:r>
      <w:r>
        <w:t>, saßen zu Tausenden an den Schaltschränken und hielten den Betrieb am Laufen; aus ihren Reihen kamen später Auseinandersetzungen um Arbeitsrechte von Frauen am Arbeitsplatz.[18] Dieselbe Technik, die als Bedrohung der weiblichen Sittsamkeit galt, war das Vehikel, mit dem Frauen in bezahlte Arbeit außerhalb des Hauses kamen. Wer über die Gefahren einer Technik redet, redet fast nie über ihre Verteilungswirkung. Die sieht man erst hinterher.</w:t>
      </w:r>
    </w:p>
    <w:p>
      <w:pPr>
        <w:pStyle w:val="Fliesstext"/>
        <w:ind w:firstLine="283"/>
      </w:pPr>
      <w:r>
        <w:t>Nicht jede Telefonangst war allerdings Sittenangst. Manche war schlicht Physik, und sie hatte einen harten Kern. Blitze konnten über die Freileitungen in die Vermittlungsstellen einschlagen. Im Juli 1890 erwischte es drei Telefonistinnen, die über die Blitzschutzeinrichtung ihrer Schalttafel einen Stromschlag bekamen — mit metallenen Kopfhörern auf und einem Metallstecker in der Hand. Und noch am Ende des 20. Jahrhunderts gab es Verletzte, die bei Gewitter am Festnetz telefonierten.[19] Das ist der Fall aus dem ersten Kapitel in Reinform: realer Kern, Fantasie-Überbau. Der reale Kern war der Blitz. Der Überbau war alles andere.</w:t>
      </w:r>
    </w:p>
    <w:p>
      <w:pPr>
        <w:pStyle w:val="Fliesstext"/>
        <w:ind w:firstLine="283"/>
      </w:pPr>
      <w:r>
        <w:t>Zu diesem Überbau gehörte die Sorge, die Geräusche im Hörer könnten taub oder verrückt machen, und in manchen Gegenden galt das Gerät als teuflisch.[20] Und hier kommt der Teil, der mich am meisten interessiert, weil er nahtlos an das zweite Kapitel anschließt. Es ist belegt, dass Telegrafengesellschaften aus Konkurrenzfurcht falsche Gerüchte über schädliche Wirkungen des Telefons in Umlauf brachten.[20] Das ist dieselbe Sorte Angst wie Edisons Hunde. Nur ohne Bühne, ohne Publikum, ohne Schlagzeile — einfach jemand, der ein Gerücht dorthin setzt, wo es Schaden anrichtet. Die dritte Sorte braucht keinen Skandal. Sie braucht nur einen Markt, auf dem zwei Systeme um dieselben Kunden kämpfen.</w:t>
      </w:r>
    </w:p>
    <w:p>
      <w:pPr>
        <w:pStyle w:val="Fliesstext"/>
        <w:ind w:firstLine="283"/>
      </w:pPr>
      <w:r>
        <w:t>Aufgelöst hat sich das nicht durch ein Argument, sondern durch zwei sehr unromantische Dinge. Erstens durch Technik: Aus dem Gemeinschaftsanschluss wurde der Einzelanschluss, und die Frage, ob der Nachbar mithört, erledigte sich von selbst. Zweitens durch Recht: Bestehende Abhörverbote wurden auf Telefone ausgeweitet, in New York ab 1895.[20] Man hat der Angst nicht widersprochen. Man hat ihr die Grundlage genommen. Aus dem Eindringling wurde Infrastruktur, und irgendwann war das Telefon so unsichtbar wie die Wasserleitung.</w:t>
      </w:r>
    </w:p>
    <w:p>
      <w:pPr>
        <w:pStyle w:val="Fliesstext"/>
        <w:ind w:firstLine="283"/>
      </w:pPr>
      <w:r>
        <w:t>Eine persönliche Anmerkung, und sie ist meine Sicht, kein Beleg: Meine Familie kam als Gastarbeiterfamilie nach Deutschland. Mein Großvater zuerst, mein Vater mit vierzehn hinterher, meine Mutter aus einem Dorf in der Türkei. Für Familien wie unsere war der Apparat im Flur nicht der Zerstörer der Familie. Er war das Einzige, was sie über zweitausend Kilometer noch zusammenhielt. Diese Rechnung stellt in den alten Warnungen niemand auf. In der Bilanz der Technikkritik tauchen die Gespräche, die es ohne die Technik nie gegeben hätte, grundsätzlich nicht auf. Es gibt keine Statistik über Nähe, die entstanden ist.</w:t>
      </w:r>
    </w:p>
    <w:p>
      <w:pPr>
        <w:pStyle w:val="Zwischen"/>
      </w:pPr>
      <w:r>
        <w:t>Ein Mann mit einer roten Fahne</w:t>
      </w:r>
    </w:p>
    <w:p>
      <w:pPr>
        <w:pStyle w:val="Fliesstext"/>
      </w:pPr>
      <w:r>
        <w:t>Stell dir jetzt eine englische Landstraße vor, in den 1870er Jahren. Vorneweg geht ein Mann. Er trägt eine rote Fahne, er hält gut fünfundfünfzig Meter Abstand nach hinten, und in diesem Abstand kriecht ihm ein Fahrzeug hinterher, das erheblich schneller könnte. Auf dem Fahrzeug sitzen zwei weitere Leute, denn drei Mann Besatzung sind Vorschrift. Der Mann mit der Fahne läuft, und weil er läuft, fährt das Fahrzeug im Schritttempo. Bei Regen auch. Den ganzen Tag.</w:t>
      </w:r>
    </w:p>
    <w:p>
      <w:pPr>
        <w:pStyle w:val="Fliesstext"/>
        <w:ind w:firstLine="283"/>
      </w:pPr>
      <w:r>
        <w:t>Das ist keine Karikatur. Das war britisches Recht, und zwar einunddreißig Jahre lang. Bevor wir dahin kommen, kurz der Ton der Straße, denn er erklärt, warum ein Parlament so etwas beschließen konnte, ohne sich lächerlich zu machen.</w:t>
      </w:r>
    </w:p>
    <w:p>
      <w:pPr>
        <w:pStyle w:val="Fliesstext"/>
        <w:ind w:firstLine="283"/>
      </w:pPr>
      <w:r>
        <w:t>Der bekannteste Zwischenruf gegen das frühe Automobil war ein Satz, den Zuschauer liegengebliebenen Fahrern hinterherriefen: „Get a horse!" Hol dir ein Pferd.</w:t>
      </w:r>
    </w:p>
    <w:p>
      <w:pPr>
        <w:pStyle w:val="Fliesstext"/>
        <w:ind w:firstLine="283"/>
      </w:pPr>
      <w:r>
        <w:t>Die Ablehnung hatte handfeste Gründe. Autos waren laut, machten Staub, und sie erschreckten Pferde — Tiere, auf die sich Menschen jahrtausendelang verlassen hatten und die auf einer Straße noch die Mehrheit stellten. Schnellfahrer nannte man „scorchers", ein katholischer Priester predigte gegen die „auto madness", und die Gefahr für Fußgänger und Radfahrer war real.[5] In Pennsylvania soll eine „Farmers' Anti-Automobile Society" gefordert haben, Autofahrer müssten bei Begegnung mit einem Gespann anhalten, ihr Fahrzeug mit einer Plane abdecken und es notfalls zerlegen und die Teile im Gebüsch verstecken. Die Geschichte ist populär; ihre Beleglage ist unsicher, und ich erzähle sie dir deshalb als das, was sie sicher ist: zeittypische Polemik, keine verbürgte Verordnung.[5]</w:t>
      </w:r>
    </w:p>
    <w:p>
      <w:pPr>
        <w:pStyle w:val="Fliesstext"/>
        <w:ind w:firstLine="283"/>
      </w:pPr>
      <w:r>
        <w:t>Dass die Angst vor Pferden ernst gemeint war, zeigt eine Erfindung, die man sich nicht ausdenken kann. Uriah Smith aus Battle Creek, Michigan, brachte 1899 das „Horsey Horseless" auf den Markt: ein Automobil mit einem attrappenhaften Pferdekopf am Bug, damit entgegenkommende Pferde denken, es käme ihnen ein Artgenosse entgegen.[5] Ein Kompatibilitäts-Layer aus Holz. Ich habe in meinem Berufsleben genug Schnittstellen gebaut, die alte Systeme beruhigen sollten, um dieses Ding aufrichtig zu bewundern.</w:t>
      </w:r>
    </w:p>
    <w:p>
      <w:pPr>
        <w:pStyle w:val="Fliesstext"/>
        <w:ind w:firstLine="283"/>
      </w:pPr>
      <w:r>
        <w:t xml:space="preserve">Aber der eigentliche Fall in diesem Abschnitt ist kein Spott, sondern eine Gesetzessammlung. Großbritannien regelte straßengängige Kraftfahrzeuge mit den </w:t>
      </w:r>
      <w:r>
        <w:rPr>
          <w:i/>
        </w:rPr>
        <w:t>Locomotive Acts</w:t>
      </w:r>
      <w:r>
        <w:t>. Die Fassung von 1865, bekannt als „Red Flag Act", schrieb vor: höchstens 4 Meilen pro Stunde über Land, 2 Meilen pro Stunde in Ortschaften, eine Besatzung von drei Personen — und eine dieser Personen musste 60 Yards, also gut 55 Meter, vor dem Fahrzeug hergehen und eine rote Fahne schwenken.[6] Das drückte das Tempo auf Schrittgeschwindigkeit, denn schneller läuft der Mann mit der Fahne nicht.</w:t>
      </w:r>
    </w:p>
    <w:p>
      <w:pPr>
        <w:pStyle w:val="Fliesstext"/>
        <w:ind w:firstLine="283"/>
      </w:pPr>
      <w:r>
        <w:t xml:space="preserve">1878 wurde die Fahne gestrichen und der Vorlauf auf mindestens 20 Yards verkürzt. Erst 1896 hob die </w:t>
      </w:r>
      <w:r>
        <w:rPr>
          <w:i/>
        </w:rPr>
        <w:t>Locomotives on Highways Act</w:t>
      </w:r>
      <w:r>
        <w:t xml:space="preserve"> das Limit auf 14 Meilen pro Stunde an und beendete die Vorläuferpflicht für leichte Fahrzeuge. Gefeiert wurde das am 14. November 1896 mit einer Ausfahrt von London nach Brighton, dem „Emancipation Run", bei der Fahrer demonstrativ eine rote Fahne zerrissen.[6]</w:t>
      </w:r>
    </w:p>
    <w:p>
      <w:pPr>
        <w:pStyle w:val="Fliesstext"/>
        <w:ind w:firstLine="283"/>
      </w:pPr>
      <w:r>
        <w:t>Rechne nach. Einunddreißig Jahre. Drei Jahrzehnte, in denen die britische Straße gesetzlich auf Fußgängertempo festgenagelt war, während in Deutschland und Frankreich an Motoren gebaut wurde. Die Regelung wurde nicht von Technikfeinden erlassen, sondern von einem Parlament, in dem Eisenbahn- und Kutscheninteressen gut vertreten waren.[6]</w:t>
      </w:r>
    </w:p>
    <w:p>
      <w:pPr>
        <w:pStyle w:val="Zwischen"/>
      </w:pPr>
      <w:r>
        <w:t>Woran du symbolische Regulierung erkennst</w:t>
      </w:r>
    </w:p>
    <w:p>
      <w:pPr>
        <w:pStyle w:val="Fliesstext"/>
      </w:pPr>
      <w:r>
        <w:t>Der Red Flag Act ist das beste Anschauungsstück, das ich kenne, für eine Regel, die aussieht wie Sicherheit und funktioniert wie eine Bremse. Und weil sich das Muster wiederholt — bei der KI gerade in Echtzeit —, lohnt es sich, ihn auseinanderzunehmen.</w:t>
      </w:r>
    </w:p>
    <w:p>
      <w:pPr>
        <w:pStyle w:val="Fliesstext"/>
        <w:ind w:firstLine="283"/>
      </w:pPr>
      <w:r>
        <w:t>Erstens: Die Regel greift nicht die Gefahr an, sondern einen Stellvertreter. Gefährlich am frühen Kraftfahrzeug waren Bremswege, Sichtverhältnisse, ungeübte Fahrer, Fahrzeuge ohne jeden Standard. Geregelt wurde davon nichts. Geregelt wurde die Gehgeschwindigkeit eines Mannes. Das ist die Signatur symbolischer Regulierung: Sie misst etwas, das leicht zu messen ist, statt etwas, das zählt.</w:t>
      </w:r>
    </w:p>
    <w:p>
      <w:pPr>
        <w:pStyle w:val="Fliesstext"/>
        <w:ind w:firstLine="283"/>
      </w:pPr>
      <w:r>
        <w:t>Zweitens: Sie richtet sich gegen die Kategorie, nicht gegen das Verhalten. Nicht der rücksichtslose Fahrer wurde ausgebremst, sondern jedes Fahrzeug dieser Bauart, immer, überall, unabhängig davon, ob gerade ein Pferd in Sichtweite war.</w:t>
      </w:r>
    </w:p>
    <w:p>
      <w:pPr>
        <w:pStyle w:val="Fliesstext"/>
        <w:ind w:firstLine="283"/>
      </w:pPr>
      <w:r>
        <w:t>Drittens: Sie hat Gewinner, die nicht im Gesetzestext stehen. Wer Schienen besaß oder Kutschen betrieb, hatte ein Interesse daran, dass die Konkurrenz auf der Straße nicht schneller wurde als ein Fußgänger.[6] Es gibt eine schlichte Prüffrage, die dieses Kapitel schon zweimal gestellt hat und noch öfter stellen wird: Wer verdient daran, dass die neue Sache langsam bleibt?</w:t>
      </w:r>
    </w:p>
    <w:p>
      <w:pPr>
        <w:pStyle w:val="Fliesstext"/>
        <w:ind w:firstLine="283"/>
      </w:pPr>
      <w:r>
        <w:t>Viertens, und das ist der bitterste Punkt: Solche Regeln lösen sich nicht von selbst auf. Die rote Fahne fiel 1878, das Tempolimit erst 1896. Eine Regel, die einmal in der Welt ist, hat eine Lobby — und sei es nur die Trägheit derer, die sie durchsetzen müssen. Das ist der Grund, warum ich bei Technikregulierung mehr Angst vor schlechten Regeln habe als vor gar keinen: Gar keine Regel ist ein Zustand. Eine schlechte Regel ist ein Besitzstand.</w:t>
      </w:r>
    </w:p>
    <w:p>
      <w:pPr>
        <w:pStyle w:val="Fliesstext"/>
        <w:ind w:firstLine="283"/>
      </w:pPr>
      <w:r>
        <w:t>Ich habe das im Kleinen oft genug gesehen, und das ist jetzt Erfahrung, kein Beleg. Wenn in einem Unternehmen eine Automatisierung Unbehagen auslöst, lautet der Kompromiss selten „wir prüfen die Risiken". Er lautet fast immer: Jeder Vorgang, den der Bot bearbeitet, wird zusätzlich von einem Menschen kontrolliert. Das klingt verantwortungsvoll, kostet niemanden eine Diskussion, und es ist die rote Fahne. Denn geprüft wird nicht dort, wo der Bot Fehler macht, sondern überall gleichmäßig — und der Nutzen der Automatisierung ist damit rechnerisch aufgehoben. Eine gute Kontrollregel sieht anders aus: Sie sucht sich die Fälle, in denen tatsächlich etwas schiefgehen kann, und lässt den Rest laufen. Der Unterschied ist derselbe wie der zwischen dem Mann mit der Fahne und einer Ampel.</w:t>
      </w:r>
    </w:p>
    <w:p>
      <w:pPr>
        <w:pStyle w:val="Fliesstext"/>
        <w:ind w:firstLine="283"/>
      </w:pPr>
      <w:r>
        <w:t>Denn — und hier hängt die unbequeme zweite Hälfte — die Angst vor dem Auto war ja nicht falsch. Autos haben Menschen getötet, und zwar in Zahlen, die jede Pferdeangst weit hinter sich ließen. Nur bestand die Antwort, die tatsächlich funktionierte, nicht aus einer roten Fahne. Sie bestand aus Verkehrsregeln, Führerscheinen, Ampeln, Bremsvorschriften, später Gurten und Knautschzonen. Aus „Schutz vor dem Auto" wurde „Schutz durch Regeln". Diese zweite Sorte Regulierung hat drei Eigenschaften, die der ersten fehlen: Sie setzt an der Gefahr an, sie unterscheidet zwischen Fällen, und sie wächst mit der Technik mit. Der Maßstab, an dem ich im achten Kapitel den europäischen KI-Rechtsrahmen messen werde, ist genau dieser Unterschied — und ich sage dir jetzt schon, dass die Antwort nicht in eine Richtung ausfällt.</w:t>
      </w:r>
    </w:p>
    <w:p>
      <w:pPr>
        <w:pStyle w:val="Zwischen"/>
      </w:pPr>
      <w:r>
        <w:t>Das Problem war nie der Kaffee</w:t>
      </w:r>
    </w:p>
    <w:p>
      <w:pPr>
        <w:pStyle w:val="Fliesstext"/>
      </w:pPr>
      <w:r>
        <w:t>Wenn du wissen willst, worum es bei einer Verbotsdebatte wirklich geht, schau dir an, was verboten wird: das Produkt oder der Ort.</w:t>
      </w:r>
    </w:p>
    <w:p>
      <w:pPr>
        <w:pStyle w:val="Fliesstext"/>
        <w:ind w:firstLine="283"/>
      </w:pPr>
      <w:r>
        <w:t>Der erste überlieferte Kaffeebann datiert auf 1511 in Mekka. Der Marktaufseher Khair Beg ließ Kaffee verbieten, weil die Kaffeehäuser angeblich nach Art von Schenken zu unerwünschten Versammlungen führten und der Kaffee ein Rauschmittel sei wie der verbotene Wein. Eine höhere Autorität kassierte das Verbot binnen Wochen.[7] Die juristische Konstruktion ist dabei aufschlussreicher als das Verbot selbst: Man musste Kaffee erst in die Nähe des Weins rücken, um überhaupt eine Handhabe zu haben. Die Debatte des 16. Jahrhunderts drehte sich in der Folge weniger um Gesundheit als um die Frage, unter welche bekannte Kategorie das Neue fällt.[7] Das ist ein Verfahren, das dir aus jeder KI-Regulierungsdiskussion vertraut vorkommen dürfte: Bevor man streiten kann, muss man einsortieren — ist das ein Werkzeug, ein Medium, ein Mitarbeiter, ein Produkt?</w:t>
      </w:r>
    </w:p>
    <w:p>
      <w:pPr>
        <w:pStyle w:val="Fliesstext"/>
        <w:ind w:firstLine="283"/>
      </w:pPr>
      <w:r>
        <w:t>Gut hundertzwanzig Jahre später ging Sultan Murad IV. ab 1633 in Istanbul hart gegen Kaffeehäuser vor, die er für Brutstätten von Aufruhr hielt; nach seinem Tod 1640 lief der Bann aus.[7] Über Murad kursieren drastische Geschichten — der Sultan, verkleidet und mit Breitschwert auf Streife. Das ist Folklore, kolportiert und quellenkritisch mit Vorsicht zu behandeln. Der politische Kern dagegen ist belegt: Furcht vor Aufwiegelung.</w:t>
      </w:r>
    </w:p>
    <w:p>
      <w:pPr>
        <w:pStyle w:val="Fliesstext"/>
        <w:ind w:firstLine="283"/>
      </w:pPr>
      <w:r>
        <w:t>Am deutlichsten wird es in England. Am 29. Dezember 1675 erließ Karl II. eine „Proclamation for the Suppression of Coffee-Houses". Die Begründung im Wortlaut der Urkunde: Die Kaffeehäuser hätten „very evil and dangerous effects" hervorgebracht, in ihnen würden „diverse False, Malicious and Scandalous Reports" verbreitet, zur „Defamation of His Majesties Government" und zur Störung des Friedens im Königreich.[8]</w:t>
      </w:r>
    </w:p>
    <w:p>
      <w:pPr>
        <w:pStyle w:val="Fliesstext"/>
        <w:ind w:firstLine="283"/>
      </w:pPr>
      <w:r>
        <w:t>Lies das noch einmal. Kein Wort über Gesundheit. Kein Wort über Herzrasen, Schlaflosigkeit oder Sucht. Es geht um Gerüchte, um Verleumdung der Regierung, um öffentliche Ruhe. Der König hatte kein Problem mit einem Getränk. Er hatte ein Problem damit, dass Leute an einem billigen Ort zusammensaßen und redeten.</w:t>
      </w:r>
    </w:p>
    <w:p>
      <w:pPr>
        <w:pStyle w:val="Fliesstext"/>
        <w:ind w:firstLine="283"/>
      </w:pPr>
      <w:r>
        <w:t>Man kann diese Urkunde übrigens rückwärts lesen und bekommt eine Raumbeschreibung geschenkt. Wenn dort steht, in diesen Häusern würden falsche, böswillige und skandalöse Berichte verbreitet, dann heißt das: In diesen Häusern wurden Nachrichten weitergegeben, die nicht durch die Hand des Hofes gegangen waren. Wenn dort steht, das schade dem Ruf der Regierung, dann heißt das: Dort wurde über die Regierung geredet, und zwar von Leuten, die man dazu nicht befragt hatte. Der Anklagetext ist die genaueste zeitgenössische Beschreibung dessen, was ein Kaffeehaus 1675 war. Der König hat nichts erfunden. Er hat nur einen Gewinn als Schaden protokolliert.</w:t>
      </w:r>
    </w:p>
    <w:p>
      <w:pPr>
        <w:pStyle w:val="Fliesstext"/>
        <w:ind w:firstLine="283"/>
      </w:pPr>
      <w:r>
        <w:t>Die Proklamation sollte am 10. Januar in Kraft treten. Am 8. Januar 1676 wurde sie zurückgenommen — unter dem Druck der eigenen, selbst Kaffee trinkenden Minister.[8] Das Verbot hielt keine zwei Wochen. Der schnellste Weg, eine Verbotsdebatte zu beenden, ist offenbar bis heute derselbe: Die Leute, die das Verbot durchsetzen sollen, benutzen die Sache selbst.</w:t>
      </w:r>
    </w:p>
    <w:p>
      <w:pPr>
        <w:pStyle w:val="Fliesstext"/>
        <w:ind w:firstLine="283"/>
      </w:pPr>
      <w:r>
        <w:t>Ein Jahr davor, 1674, war in London die „Women's Petition Against Coffee" erschienen, eine Streitschrift, die behauptete, Kaffee mache die Männer Londons impotent und lasse sie ihre Ehefrauen vernachlässigen. Es erschien prompt eine „Mens Answer to the Womens Petition". Die Geschichte wird gern als früher Frauenprotest erzählt. Das ist mit hoher Wahrscheinlichkeit falsch: Historiker, unter ihnen Steve Pincus, halten es für wahrscheinlich, dass die Petition weder von Frauen verfasst wurde noch Fraueninteressen vertrat, sondern Teil einer Kampagne war, die Kaffeehäuser als Orte politischer Unruhe diskreditieren sollte.[9] Politische Satire, in Frauenkleidern vorgetragen. Wer eine Sittendebatte anzetteln will, borgt sich gern eine moralische Autorität, die sich nicht wehren kann.</w:t>
      </w:r>
    </w:p>
    <w:p>
      <w:pPr>
        <w:pStyle w:val="Fliesstext"/>
        <w:ind w:firstLine="283"/>
      </w:pPr>
      <w:r>
        <w:t>Halt das einen Moment neben das Telefon. Dort wurde die Sorge um die Sittlichkeit der Frauen benutzt, um einen Kommunikationskanal moralisch zu belasten. Hier wird eine erfundene Frauenstimme benutzt, um einen Versammlungsort moralisch zu belasten. Zweimal derselbe Griff, zweihundert Jahre auseinander: Die Sorge um andere ist das beste verfügbare Argument für Leute, die ihr eigenes nicht aussprechen wollen.</w:t>
      </w:r>
    </w:p>
    <w:p>
      <w:pPr>
        <w:pStyle w:val="Fliesstext"/>
        <w:ind w:firstLine="283"/>
      </w:pPr>
      <w:r>
        <w:t>Und weil das nicht nur ein Problem ferner Monarchien ist, hier der preußische Fall. Nach dem Siebenjährigen Krieg war die Staatskasse leer, und Friedrich II. wollte verhindern, dass Geld für importierten Kaffee außer Landes floss. 1781 errichtete er ein staatliches Röstmonopol: Rösten durfte nur noch, wer dazu befugt war. Durchgesetzt wurde es von etwa 400 sogenannten Kaffeeriechern, häufig Kriegsinvaliden, die durch die Straßen gingen und den Geruch illegal gerösteten Kaffees aufspüren sollten. Ein Viertel der eingetriebenen Strafgelder ging an den Riecher. Friedrich argumentierte unter anderem damit, das Volk solle lieber Bier trinken. 1787, ein Jahr nach seinem Tod, war das Monopol Geschichte und die Kaffeeriecher waren es auch.[10]</w:t>
      </w:r>
    </w:p>
    <w:p>
      <w:pPr>
        <w:pStyle w:val="Fliesstext"/>
        <w:ind w:firstLine="283"/>
      </w:pPr>
      <w:r>
        <w:t>Bier fürs Volk, Kaffee für die, die es sich leisten können. Das ist der Klassenaspekt, ganz ohne Umweg. Und die Behauptung, hier gehe es um das Wohl der Untertanen, hält keine Sekunde, wenn man sich die Haushaltslage ansieht. Bemerkenswert finde ich noch etwas anderes an dieser Konstruktion: Die Durchsetzung wurde an Leute ausgelagert, die am Ertrag beteiligt waren. Ein Viertel der Strafe für den, der die Strafe verursacht. Wer wissen will, wie eine Regel in der Praxis wirkt, sollte immer zuerst fragen, wie die bezahlt werden, die sie anwenden.</w:t>
      </w:r>
    </w:p>
    <w:p>
      <w:pPr>
        <w:pStyle w:val="Fliesstext"/>
        <w:ind w:firstLine="283"/>
      </w:pPr>
      <w:r>
        <w:t>Kaffeehäuser wurden dann übrigens genau das, was die Obrigkeit befürchtet hatte: Umschlagplätze für Nachrichten, Handel und Aufklärung, die man in England nicht umsonst „Penny Universities" nannte. Die Angst war treffsicher. Nur war das, wovor man Angst hatte, für alle anderen ein Gewinn.</w:t>
      </w:r>
    </w:p>
    <w:p>
      <w:pPr>
        <w:pStyle w:val="Zwischen"/>
      </w:pPr>
      <w:r>
        <w:t>Die Panik, die nicht stattfand</w:t>
      </w:r>
    </w:p>
    <w:p>
      <w:pPr>
        <w:pStyle w:val="Fliesstext"/>
      </w:pPr>
      <w:r>
        <w:t>Beim Radio kommen die Kinder ins Spiel, und mit ihnen ein Vokabular, das du aus jeder heutigen Bildschirmdebatte kennst.</w:t>
      </w:r>
    </w:p>
    <w:p>
      <w:pPr>
        <w:pStyle w:val="Fliesstext"/>
        <w:ind w:firstLine="283"/>
      </w:pPr>
      <w:r>
        <w:t>Eltern-Lehrer-Verbände und Reformgruppen warfen dem Radio in den 1930ern vor, aus Kindern „neurasthenics" zu machen und sie zu Vergehen zu verleiten; besonders die Krimi- und Gruselprogramme galten als schädlich. Sidonie Matsner Gruenberg, Leiterin der Child Study Association of America, klagte 1931 sinngemäß, das Radio finde Eltern hilfloser als Comics, Auto oder Kino — weil man es weder aussperren noch die Kinder einsperren könne.[11] Da ist sie wieder, Beards Neurasthenie, fünfzig Jahre später und eine Technik weiter.</w:t>
      </w:r>
    </w:p>
    <w:p>
      <w:pPr>
        <w:pStyle w:val="Fliesstext"/>
        <w:ind w:firstLine="283"/>
      </w:pPr>
      <w:r>
        <w:t>Dieser eine Satz von Gruenberg ist präziser, als er auf den ersten Blick wirkt. Sie beschwert sich nicht über Inhalte. Sie beschwert sich über eine Eigenschaft des Mediums: Es kommt durch die Wand. Ein Comic kann man wegnehmen, ein Kino liegt an einer Adresse, zu der man Kinder nicht gehen lässt. Ein Radio steht im eigenen Wohnzimmer und läuft. Genau diese Eigenschaft — nicht wegsperrbar, nicht ortsgebunden, jederzeit da — ist das, was Eltern seither an jedem neuen Medium beunruhigt hat, vom Fernseher über das Smartphone bis zum Chatbot im Schulheft. Die Angst hat nicht die Technik gewechselt. Sie hat die Reichweite ihres Problems ausgedehnt.</w:t>
      </w:r>
    </w:p>
    <w:p>
      <w:pPr>
        <w:pStyle w:val="Fliesstext"/>
        <w:ind w:firstLine="283"/>
      </w:pPr>
      <w:r>
        <w:t>Bemerkenswert an der Radio-Debatte ist, was fehlt: Belege. Die Thriller-Kontroverse war eines der meistdiskutierten Radiothemen ihrer Zeit, aber empirische Nachweise für tatsächliche Schäden blieben dünn, und die Psychologie interessierte sich kaum dafür.[11] Es wurde viel behauptet und wenig gemessen.</w:t>
      </w:r>
    </w:p>
    <w:p>
      <w:pPr>
        <w:pStyle w:val="Fliesstext"/>
        <w:ind w:firstLine="283"/>
      </w:pPr>
      <w:r>
        <w:t>Bemerkenswert ist aber auch die produktive Antwort. Pädagogen und Rundfunkleute schlossen daraus nicht, das Radio gehöre abgeschafft, sondern man müsse „kritisches Hören" lehren: Werbung erkennen, Propaganda durchschauen, nicht bloß zerstreut nebenherhören. Das lief über anderthalb Jahrzehnte, von 1933 bis 1949, mitten durch eine Zeit, in der Propaganda im Radio keine akademische Hypothese war.[12] Das ist, Jahrzehnte vor dem Begriff, Medienkompetenz. Und es ist das exakte Vorbild für das, was heute unter KI-Kompetenz sinnvollerweise zu verstehen wäre: nicht Bedienung, sondern Beurteilung. Nicht „wie schreibe ich einen Prompt", sondern „woran erkenne ich, dass mir gerade etwas Plausibles und Falsches angeboten wird".</w:t>
      </w:r>
    </w:p>
    <w:p>
      <w:pPr>
        <w:pStyle w:val="Fliesstext"/>
        <w:ind w:firstLine="283"/>
      </w:pPr>
      <w:r>
        <w:t>Bleibt der berühmteste Radioabend der Geschichte. Am 30. Oktober 1938 sendete Orson Welles seine Hörspielfassung von „War of the Worlds", und seither erzählt man sich, Amerika sei in Massenpanik ausgebrochen, Menschen seien auf die Straße gerannt, hätten sich die Gesichter mit nassen Tüchern bedeckt, manche sich das Leben genommen.</w:t>
      </w:r>
    </w:p>
    <w:p>
      <w:pPr>
        <w:pStyle w:val="Fliesstext"/>
        <w:ind w:firstLine="283"/>
      </w:pPr>
      <w:r>
        <w:t>Diese Geschichte ist ungefähr so gut belegt wie die bayerischen Ärzte aus dem zweiten Kapitel, die vor dreißig Stundenkilometern gewarnt haben sollen. Also gar nicht.</w:t>
      </w:r>
    </w:p>
    <w:p>
      <w:pPr>
        <w:pStyle w:val="Fliesstext"/>
        <w:ind w:firstLine="283"/>
      </w:pPr>
      <w:r>
        <w:t>Die belegte Szene dieses Abends ist keine Straße voller Menschen. Sie ist ein Telefonat. Irgendwo in den Vereinigten Staaten klingelt an diesem Sonntagabend das Telefon, jemand nimmt ab, und eine Stimme fragt: Welches Programm hören Sie gerade? Die Ratingfirma C. E. Hooper machte in jener Nacht rund 5.000 solcher Anrufe. Etwa 2 Prozent nannten das CBS-Programm mit Welles. Rund 98 Prozent hörten etwas anderes oder gar kein Radio.[13] Das ist der ganze Abend.</w:t>
      </w:r>
    </w:p>
    <w:p>
      <w:pPr>
        <w:pStyle w:val="Fliesstext"/>
        <w:ind w:firstLine="283"/>
      </w:pPr>
      <w:r>
        <w:t>Die Mediengeschichtler Jefferson Pooley und Michael J. Socolow werteten 2013 Polizeiprotokolle, Vermittlungsdaten von CBS und zeitgenössische Umfragen aus und kamen zu dem Schluss, die Panik sei nahezu nicht vorhanden gewesen. Verifizierte Selbstmorde gibt es nicht.[13]</w:t>
      </w:r>
    </w:p>
    <w:p>
      <w:pPr>
        <w:pStyle w:val="Fliesstext"/>
        <w:ind w:firstLine="283"/>
      </w:pPr>
      <w:r>
        <w:t>Damit stehen zwei Fragen im Raum, und sie sind wichtiger als der Fall selbst. Wie kam die Panik in die Zeitung? Und wie kam sie von dort ins Schulbuch?</w:t>
      </w:r>
    </w:p>
    <w:p>
      <w:pPr>
        <w:pStyle w:val="Fliesstext"/>
        <w:ind w:firstLine="283"/>
      </w:pPr>
      <w:r>
        <w:t>Das Erste ist schnell erklärt und trotzdem unangenehm. Zeitungen und Radio konkurrierten Ende der 1930er um dieselben Werbebudgets, und die Zeitungen zogen den Kürzeren. Ein Medium, das über Nacht Millionen in Angst und Schrecken versetzen kann, ist ein Medium, dem man weder Werbegelder noch Vertrauen noch regulatorische Freiheit geben sollte. Genau diese Geschichte wurde gedruckt, in großer Zahl und mit sichtbarer Freude.[13] Die Presse hat die Panik nicht erfunden, aber sie hat aus vereinzelten Anrufen und Anekdoten ein nationales Ereignis gemacht — und hatte einen handfesten Grund dafür.</w:t>
      </w:r>
    </w:p>
    <w:p>
      <w:pPr>
        <w:pStyle w:val="Fliesstext"/>
        <w:ind w:firstLine="283"/>
      </w:pPr>
      <w:r>
        <w:t xml:space="preserve">Das Zweite dauert länger, und es führt in die Wissenschaft. Die Zahlen, die den Mythos tragen, stammen im Kern aus einer einzigen Arbeit: Hadley Cantrils Studie </w:t>
      </w:r>
      <w:r>
        <w:rPr>
          <w:i/>
        </w:rPr>
        <w:t>The Invasion from Mars</w:t>
      </w:r>
      <w:r>
        <w:t xml:space="preserve"> von 1940, erschienen bei Princeton University Press. Cantril schätzte rund sechs Millionen Hörer, davon etwa 1,7 Millionen, die die Meldung glaubten, und 1,2 Millionen Verängstigte.[14] Diese Zahlen gelten heute als methodisch fragwürdig und deutlich überhöht, teils mehr als doppelt so hoch wie andere zeitgenössische Schätzungen.[14]</w:t>
      </w:r>
    </w:p>
    <w:p>
      <w:pPr>
        <w:pStyle w:val="Fliesstext"/>
        <w:ind w:firstLine="283"/>
      </w:pPr>
      <w:r>
        <w:t xml:space="preserve">Ab hier trenne ich sauber zwischen Beleg und Lesart, denn das Folgende ist meine Deutung. Sieh dir den Untertitel an: </w:t>
      </w:r>
      <w:r>
        <w:rPr>
          <w:i/>
        </w:rPr>
        <w:t>A Study in the Psychology of Panic</w:t>
      </w:r>
      <w:r>
        <w:t>. Die Panik steht nicht am Ende der Untersuchung, sie steht in der Aufgabenstellung. Wer die Psychologie einer Panik erforschen will, sucht Menschen, die in Panik geraten sind, und findet sie auch — nur sagt die Zahl der Gefundenen nichts darüber, wie selten sie waren. Hooper hat gemessen, wer zuhörte. Cantril hat geschätzt, wie viele erschraken. Das eine ist eine Stichprobe, das andere eine Hochrechnung auf einer Annahme.</w:t>
      </w:r>
    </w:p>
    <w:p>
      <w:pPr>
        <w:pStyle w:val="Fliesstext"/>
        <w:ind w:firstLine="283"/>
      </w:pPr>
      <w:r>
        <w:t>Und dann geschah das, was mit guten Geschichten immer geschieht. Die Zahl war zitierfähig, weil sie in einem akademischen Buch stand. Sie passte zu den Zeitungsberichten, die alle noch im Kopf hatten. Sie ergab eine Lehre, die man in einem Satz unterrichten kann: Massenmedien können Massen manipulieren. Sie wanderte in Lehrbücher der Medien- und Sozialpsychologie und blieb dort jahrzehntelang stehen, während niemand mehr an den Ausgangsbeleg zurückging.[13] Erst die jüngere Forschung hat sie korrigiert, und ob die Korrektur je die Schulbücher einholt, ist offen.</w:t>
      </w:r>
    </w:p>
    <w:p>
      <w:pPr>
        <w:pStyle w:val="Fliesstext"/>
        <w:ind w:firstLine="283"/>
      </w:pPr>
      <w:r>
        <w:t>Ich nenne dir Cantrils Zahlen trotzdem, und zwar ausdrücklich, weil du sie kennen solltest, wenn dir jemand damit kommt. Der Mythos verschwindet nicht dadurch, dass man ihn verschweigt.</w:t>
      </w:r>
    </w:p>
    <w:p>
      <w:pPr>
        <w:pStyle w:val="Fliesstext"/>
        <w:ind w:firstLine="283"/>
      </w:pPr>
      <w:r>
        <w:t>Damit hast du im ersten Teil dieses Buches drei Sorten Angst beisammen. Die erfundene Warnung (die bayerischen Ärzte). Die geschürte Angst (Edisons Kampagne gegen den Wechselstrom, und im Kleinen die Telegrafengesellschaften gegen das Telefon). Und jetzt die erfundene Panik: eine Massenhysterie, die es nie gab, verbreitet von einem Medium, das dem anderen schaden wollte, akademisch geadelt und anschließend jahrzehntelang in Lehrbüchern konserviert. Merk dir das für die nächste Schlagzeile über die KI, in der irgendwo „Chaos" oder „Kollaps" steht.</w:t>
      </w:r>
    </w:p>
    <w:p>
      <w:pPr>
        <w:pStyle w:val="Zwischen"/>
      </w:pPr>
      <w:r>
        <w:t>Die Idiotenkiste</w:t>
      </w:r>
    </w:p>
    <w:p>
      <w:pPr>
        <w:pStyle w:val="Fliesstext"/>
      </w:pPr>
      <w:r>
        <w:t>Ein Wohnzimmer, Mitte der fünfziger Jahre. Das Gerät ist neu, es ist teuer, und es steht so, dass alle Sessel darauf ausgerichtet sind — die Möbel haben sich der Maschine angepasst, nicht umgekehrt. Die Kinder sitzen davor auf dem Boden, in der Hocke, viel zu nah dran. Gesprochen wird nicht.</w:t>
      </w:r>
    </w:p>
    <w:p>
      <w:pPr>
        <w:pStyle w:val="Fliesstext"/>
        <w:ind w:firstLine="283"/>
      </w:pPr>
      <w:r>
        <w:t>Das Fernsehen bekam einen Namen, bevor es eine Bilanz hatte. „Idiot box", in den fünfziger und sechziger Jahren geprägt, transportierte genau eine Sorge: Das Gerät verwandelt aktive, denkende Bürger in passive Konsumenten.[15] Dazu gehörte eine zweite, die man heute selten mitliest: die Klage über den Einbahn-Informationsfluss. Beim Radio konnte man wenigstens noch nebenher reden. Vor dem Fernseher saß eine Familie und empfing.[16]</w:t>
      </w:r>
    </w:p>
    <w:p>
      <w:pPr>
        <w:pStyle w:val="Fliesstext"/>
        <w:ind w:firstLine="283"/>
      </w:pPr>
      <w:r>
        <w:t>Drumherum wuchs ein ganzer Katalog befürchteter Kinderleiden, und der ist so wunderbar, dass ich ihn dir nicht vorenthalte: „television squint", das Dauerblinzeln. „Television malocclusion", eine Zahnfehlstellung vom Fernsehen. „Frogitis", eine Beinverformung durch die froschartige Hockhaltung vor dem Gerät. Und das „tired-child syndrome" mit Müdigkeit und Kopfschmerz.[16] Das sind belegte zeitgenössische Sorgen, keine gesicherten Diagnosen — medizinisch ist davon so gut wie nichts geblieben. Wenn dir das nächste Mal jemand von „digitaler Demenz" erzählt, denk an die Frösche.</w:t>
      </w:r>
    </w:p>
    <w:p>
      <w:pPr>
        <w:pStyle w:val="Fliesstext"/>
        <w:ind w:firstLine="283"/>
      </w:pPr>
      <w:r>
        <w:t>Diese Begriffe sind nicht aus Bosheit entstanden. Eltern und Ärzte sahen etwas Neues — Kinder, die stundenlang in einer ungewohnten Haltung an einem Ort verharrten — und brauchten dafür einen Namen. Der Fehler lag nicht in der Beobachtung. Er lag darin, aus ihr sofort ein Krankheitsbild zu machen. Es ist derselbe Fehler, den Erichsen im zweiten Kapitel mit der „railway spine" gemacht hat, nur ohne dessen Sorgfalt.</w:t>
      </w:r>
    </w:p>
    <w:p>
      <w:pPr>
        <w:pStyle w:val="Fliesstext"/>
        <w:ind w:firstLine="283"/>
      </w:pPr>
      <w:r>
        <w:t>Die ernstzunehmende Kritik kam aus der Branche selbst. Edward R. Murrow, der prominenteste Journalist des amerikanischen Rundfunks, hielt 1958 seine Rede „Wires and Lights in a Box" und warf dem Fernsehen vor, es könne lehren, erhellen und inspirieren — „teach, illuminate, inspire" —, tue es aber nur, wenn Menschen sich dafür entschieden.[17] Drei Jahre später, am 9. Mai 1961, stellte sich Newton N. Minow als frisch ernannter Vorsitzender der Rundfunkaufsicht FCC vor die versammelten Sender und forderte sie auf, sich einen Tag lang ihr eigenes Programm anzusehen, ohne Ablenkung. Was sie dann sähen, sei eine „vast wasteland", eine öde Einöde.[17]</w:t>
      </w:r>
    </w:p>
    <w:p>
      <w:pPr>
        <w:pStyle w:val="Fliesstext"/>
        <w:ind w:firstLine="283"/>
      </w:pPr>
      <w:r>
        <w:t>Beides sind keine Technikschelten. Es sind Qualitätsschelten, vorgetragen von Leuten, die das Medium für zu wertvoll hielten, um es zu verschleudern. Murrow war der Mann, der über den Rundfunk aus dem London der Luftangriffe berichtet hatte; er wusste, wozu ein Lautsprecher taugt. Minow war nicht angetreten, das Fernsehen abzuschaffen, sondern es an seinen eigenen Anspruch zu erinnern, im öffentlichen Interesse zu senden.[17] Das ist ein anderer Ton als „das Gerät macht dumm", und der Unterschied lohnt sich. Die schärfsten und brauchbarsten Kritiker einer Technik sind fast immer die, die sie beherrschen.</w:t>
      </w:r>
    </w:p>
    <w:p>
      <w:pPr>
        <w:pStyle w:val="Fliesstext"/>
        <w:ind w:firstLine="283"/>
      </w:pPr>
      <w:r>
        <w:t>Jetzt die ehrliche Gegenrechnung, denn ich habe dir in der Einleitung versprochen, dass dieses Buch keine Beruhigungspille ist.</w:t>
      </w:r>
    </w:p>
    <w:p>
      <w:pPr>
        <w:pStyle w:val="Fliesstext"/>
        <w:ind w:firstLine="283"/>
      </w:pPr>
      <w:r>
        <w:t>Ein Teil der Fernsehsorgen zielte auf etwas Reales. Kinder saßen tatsächlich viele Stunden davor. Diese Stunden waren tatsächlich weg für anderes — für Lesen, für Draußensein, für das Gespräch am Tisch. Der Vorwurf der Verdrängung ist nicht dasselbe wie der Vorwurf der Verdummung, und er hält sehr viel besser. Verdrängung kann man zählen: Stunden sind Stunden. Verdummung müsste man messen, und dafür fehlten die Instrumente. Auch gewalthaltige Inhalte für Kinder sind kein erfundenes Problem, und die Antwort darauf waren Jugendschutz und Werberegeln, also Einhegung, nicht Abschaffung. Wer den ganzen Fernsehdiskurs mit den Fröschen wegwischt, macht denselben Fehler wie die Panikmacher, nur in die andere Richtung. Das ist das Muster aus dem ersten Kapitel: realer Kern, Fantasie-Überbau, und die Kunst besteht darin, sie zu trennen.</w:t>
      </w:r>
    </w:p>
    <w:p>
      <w:pPr>
        <w:pStyle w:val="Zwischen"/>
      </w:pPr>
      <w:r>
        <w:t>Und heute?</w:t>
      </w:r>
    </w:p>
    <w:p>
      <w:pPr>
        <w:pStyle w:val="Fliesstext"/>
      </w:pPr>
      <w:r>
        <w:t>Geh die fünf Fälle noch einmal durch und achte darauf, wer jeweils beschützt werden sollte.</w:t>
      </w:r>
    </w:p>
    <w:p>
      <w:pPr>
        <w:pStyle w:val="Fliesstext"/>
        <w:ind w:firstLine="283"/>
      </w:pPr>
      <w:r>
        <w:t>Beim Telefon die Frauen, die unbeaufsichtigt reden konnten. Beim Kaffeehaus die Untertanen, die zusammensaßen und Nachrichten tauschten — und beim preußischen Röstmonopol die Staatskasse, notdürftig verkleidet als Sorge um das Volk, dem Bier besser bekomme. Beim Radio und beim Fernsehen die Kinder. Nur beim Auto lief es anders herum: Da kam die Angst von unten, von Bauern und Fußgängern, gegen ein Spielzeug der Reichen. Ich finde, diese Ausnahme sollte man nennen, statt das Muster glattzubügeln. Sie zeigt, dass Technikangst nicht immer Herrschaftsinstrument ist. Manchmal ist sie schlicht die Beschwerde derer, die den Preis zahlen.</w:t>
      </w:r>
    </w:p>
    <w:p>
      <w:pPr>
        <w:pStyle w:val="Fliesstext"/>
        <w:ind w:firstLine="283"/>
      </w:pPr>
      <w:r>
        <w:t>Und wenn du genau hinsiehst, hat der Fall mit der roten Fahne noch eine zweite Besonderheit. Er ist der einzige der fünf, in dem sich die Angst tatsächlich in dauerhaftes Recht übersetzt hat. Die Kaffeeverbote hielten Wochen, Jahre, höchstens ein Herrscherleben. Gegen Telefon, Radio und Fernsehen wurde geschimpft, aber nicht regiert. Nur beim Automobil hat ein Parlament die Sorge in Paragrafen gegossen, und nur dort kostete sie messbare Zeit. Angst allein bremst wenig. Angst mit Gesetzgebungszugang bremst einunddreißig Jahre.</w:t>
      </w:r>
    </w:p>
    <w:p>
      <w:pPr>
        <w:pStyle w:val="Fliesstext"/>
        <w:ind w:firstLine="283"/>
      </w:pPr>
      <w:r>
        <w:t>Zwei Fragen nehme ich aus diesem Kapitel mit, und beide kannst du an jede KI-Debatte anlegen, in die du gerätst.</w:t>
      </w:r>
    </w:p>
    <w:p>
      <w:pPr>
        <w:pStyle w:val="Fliesstext"/>
        <w:ind w:firstLine="283"/>
      </w:pPr>
      <w:r>
        <w:t>Die erste: Redet hier jemand über die Technik — oder über Sitten? Wenn eine Warnung ohne jede Zahl auskommt, dafür aber Wörter wie Anstand, Verrohung, Echtheit oder Verflachung enthält, dann geht es nicht um das Werkzeug. Dann geht es um eine Vorstellung davon, wie Menschen miteinander umgehen sollten. Das ist eine legitime Debatte, aber sie sollte offen geführt werden und nicht als Technikfolgenabschätzung getarnt.</w:t>
      </w:r>
    </w:p>
    <w:p>
      <w:pPr>
        <w:pStyle w:val="Fliesstext"/>
        <w:ind w:firstLine="283"/>
      </w:pPr>
      <w:r>
        <w:t>Die zweite, und die ist mir die wichtigere: Wer hat etwas davon, dass du Angst hast? Die Zeitungen hatten etwas davon, dass das Radio als hysterieerzeugende Maschine galt. Die Telegrafengesellschaften hatten etwas davon, dass das Telefon als schädlich galt. Die englische Krone hatte etwas davon, dass Kaffeehäuser als Brutstätten des Aufruhrs galten. Bei der KI ist die Frage nicht weniger nützlich, und sie schneidet in beide Richtungen. Es gibt Firmen, die Milliarden damit verdienen, dass ihre Systeme als so mächtig gelten, dass sie die Menschheit gefährden könnten — Weltuntergangsrhetorik ist auch Werbung. Und es gibt Anbieter und Verbände, die ein Interesse daran haben, dass niemand zu genau hinsieht. Beide Seiten haben eine Kasse. Wir sehen uns im neunten Kapitel an, wie man solche Aussagen liest, ohne sich blenden zu lassen.</w:t>
      </w:r>
    </w:p>
    <w:p>
      <w:pPr>
        <w:pStyle w:val="Fliesstext"/>
        <w:ind w:firstLine="283"/>
      </w:pPr>
      <w:r>
        <w:t>Und die Sorge des Vaters vom Jugendabend? Die wische ich nicht weg. Dass Kinder etwas verlernen könnten, wenn eine Maschine ihnen die Formulierung abnimmt, ist genau die Frage, die schon Thamus im ersten Kapitel dem Gott Theuth vor die Füße geworfen hat, und sie ist heute besser messbar als je zuvor. Es gibt dazu Daten. Ein Teil davon spricht für die Zuversicht, ein anderer Teil nicht, und ich werde dir im siebten Kapitel beide zeigen, auch die unbequemen. Bis dahin gilt für dich dasselbe wie für die Radiopädagogen von 1935: Die Antwort auf ein neues Medium ist selten das Verbot. Sie ist meistens das Lernen, es zu lesen.</w:t>
      </w:r>
    </w:p>
    <w:p>
      <w:pPr>
        <w:pStyle w:val="Fliesstext"/>
        <w:ind w:firstLine="283"/>
      </w:pPr>
      <w:r>
        <w:t>Was ich ihm heute antworten würde, ist übrigens keine Statistik. Es ist eine Rückfrage. Ob sein Sohn das Gerät benutzt — oder ob das Gerät ihn benutzt. Das ist keine Spitzfindigkeit, sondern der Unterschied, um den es in der Medienkompetenz seit 1933 geht, und man kann ihn an einem Nachmittag am Küchentisch klären, indem man das Ding gemeinsam auseinandernimmt. Ich baue mir meine eigenen kleinen Werkzeuge mit KI, nicht weil ich sie brauche, sondern weil ich beim Bauen sehe, wo sie unzuverlässig ist. Wer eine Sache einmal von innen gesehen hat, fürchtet sie anders. Meistens weniger, manchmal an genau den richtigen Stellen mehr.</w:t>
      </w:r>
    </w:p>
    <w:p>
      <w:pPr>
        <w:pStyle w:val="Fliesstext"/>
        <w:ind w:firstLine="283"/>
      </w:pPr>
      <w:r>
        <w:t>Eines fällt bei alledem auf. Wir haben jetzt in drei Kapiteln immer dasselbe Muster gesehen, in immer neuen Kostümen, und trotzdem fällt jede Generation aufs Neue darauf herein — auch die, die das Muster kennen müsste. Warum wir es zuverlässig wieder vergessen, warum die berühmtesten Maschinenstürmer der Geschichte etwas ganz anderes wollten, als man ihnen nachsagt, und warum unser Gehirn beim Neuen fast immer in dieselbe Richtung irrt: Das ist das nächste Kapitel.</w:t>
      </w:r>
    </w:p>
    <w:p>
      <w:r>
        <w:br w:type="page"/>
      </w:r>
    </w:p>
    <w:p>
      <w:pPr>
        <w:pStyle w:val="KapitelNummer"/>
      </w:pPr>
      <w:r>
        <w:rPr>
          <w:i/>
        </w:rPr>
        <w:t>Kapitel 4</w:t>
      </w:r>
    </w:p>
    <w:p>
      <w:pPr>
        <w:pStyle w:val="KapitelTitel"/>
      </w:pPr>
      <w:r>
        <w:t>Warum wir nie aus der Geschichte lernen</w:t>
      </w:r>
    </w:p>
    <w:p>
      <w:pPr>
        <w:pStyle w:val="Fliesstext"/>
      </w:pPr>
      <w:r>
        <w:t>In einer Lenkungsrunde vor ein paar Jahren fiel ein Satz, an den ich immer noch denke. Wir stellten den Rollout einer Automatisierung vor, es lief zäh, ein Fachbereich sperrte sich seit Wochen. Irgendwann lehnte sich einer der Verantwortlichen zurück und sagte, halb genervt, halb amüsiert: „Da sitzen ein paar Maschinenstürmer."</w:t>
      </w:r>
    </w:p>
    <w:p>
      <w:pPr>
        <w:pStyle w:val="Fliesstext"/>
        <w:ind w:firstLine="283"/>
      </w:pPr>
      <w:r>
        <w:t>Gelächter am Tisch. Thema erledigt.</w:t>
      </w:r>
    </w:p>
    <w:p>
      <w:pPr>
        <w:pStyle w:val="Fliesstext"/>
        <w:ind w:firstLine="283"/>
      </w:pPr>
      <w:r>
        <w:t>Mir ging der Satz nach, und zwar nicht, weil er unfreundlich war. Sondern weil er zutraf — nur ganz anders, als der Kollege dachte. Die Leute im Fachbereich waren tatsächlich in derselben Lage wie die englischen Maschinenstürmer von 1811. Bloß hatten weder er noch ich zu diesem Zeitpunkt eine Ahnung, in welcher Lage diese Leute eigentlich gewesen waren.</w:t>
      </w:r>
    </w:p>
    <w:p>
      <w:pPr>
        <w:pStyle w:val="Fliesstext"/>
        <w:ind w:firstLine="283"/>
      </w:pPr>
      <w:r>
        <w:t>Ich habe es später nachgelesen. Und dabei die vielleicht wichtigste Korrektur dieses Buches gefunden.</w:t>
      </w:r>
    </w:p>
    <w:p>
      <w:pPr>
        <w:pStyle w:val="Zwischen"/>
      </w:pPr>
      <w:r>
        <w:t>Die Ludditen waren keine Technikhasser</w:t>
      </w:r>
    </w:p>
    <w:p>
      <w:pPr>
        <w:pStyle w:val="Fliesstext"/>
      </w:pPr>
      <w:r>
        <w:t>Wenn du das Wort „Luddit" heute hörst, hast du sofort ein Bild im Kopf: ein zurückgebliebener Wutbürger mit Vorschlaghammer, der aus dumpfem Hass auf alles Neue Maschinen zertrümmert. Das Wort funktioniert als Beleidigung, und zwar als eine, die den Getroffenen sofort aus der ernsthaften Debatte entfernt. Wer Luddit ist, muss nicht widerlegt werden. Er ist einfach von gestern.</w:t>
      </w:r>
    </w:p>
    <w:p>
      <w:pPr>
        <w:pStyle w:val="Fliesstext"/>
        <w:ind w:firstLine="283"/>
      </w:pPr>
      <w:r>
        <w:t>Dieses Bild ist eine historische Verzerrung.[1][2]</w:t>
      </w:r>
    </w:p>
    <w:p>
      <w:pPr>
        <w:pStyle w:val="Fliesstext"/>
        <w:ind w:firstLine="283"/>
      </w:pPr>
      <w:r>
        <w:t>Fangen wir damit an, wer diese Menschen waren. Die Ludditen waren englische Textilarbeiter. Ihre Bewegung begann 1811 in Nottinghamshire — die Quellen nennen März und November 1811 als Einsatzpunkte — und breitete sich von dort nach Yorkshire, Lancashire, Derbyshire und Leicestershire aus. Sie hielt bis 1816 an.[1] Fünf Jahre, fünf Grafschaften. Das ist keine Handvoll Randalierer an einem schlechten Abend, das ist eine überregionale Bewegung.</w:t>
      </w:r>
    </w:p>
    <w:p>
      <w:pPr>
        <w:pStyle w:val="Fliesstext"/>
        <w:ind w:firstLine="283"/>
      </w:pPr>
      <w:r>
        <w:t xml:space="preserve">Die meisten von ihnen waren Strumpfwirker, im Englischen </w:t>
      </w:r>
      <w:r>
        <w:rPr>
          <w:i/>
        </w:rPr>
        <w:t>framework knitters</w:t>
      </w:r>
      <w:r>
        <w:t xml:space="preserve"> oder kurz </w:t>
      </w:r>
      <w:r>
        <w:rPr>
          <w:i/>
        </w:rPr>
        <w:t>stockingers</w:t>
      </w:r>
      <w:r>
        <w:t>, dazu Tuchscherer und Weber.[2] Also keine Ungelernten. Facharbeiter mit einer Ausbildung, einem Zunft- und Lehrlingsrecht und einem Berufsstolz, der auf jahrelanger Lehre beruhte. Wer heute in einem Betrieb mit einem Meister spricht, der seit dreißig Jahren dasselbe Gewerk beherrscht, hat ungefähr den richtigen Typus vor Augen. Es waren Leute, deren Können ihre Existenzgrundlage war und deren Können durch Regeln geschützt wurde — Regeln, die gerade dabei waren, wertlos zu werden.</w:t>
      </w:r>
    </w:p>
    <w:p>
      <w:pPr>
        <w:pStyle w:val="Zwischen"/>
      </w:pPr>
      <w:r>
        <w:t>Wogegen sie tatsächlich vorgingen</w:t>
      </w:r>
    </w:p>
    <w:p>
      <w:pPr>
        <w:pStyle w:val="Fliesstext"/>
      </w:pPr>
      <w:r>
        <w:t>Ihre Beschwerden waren nicht metaphysisch. Sie waren so bodenständig, dass man sie in einer heutigen Betriebsversammlung wiedererkennen würde, und sie hatten drei Adressen.[2]</w:t>
      </w:r>
    </w:p>
    <w:p>
      <w:pPr>
        <w:pStyle w:val="Fliesstext"/>
        <w:ind w:firstLine="283"/>
      </w:pPr>
      <w:r>
        <w:t>Die erste: Die Löhne wurden gesenkt. Die zweite: Unternehmer umgingen das Lehrlings- und Zunftrecht und setzten billige, nicht ausgebildete Arbeitskräfte ein, auch Kinder. Die dritte betraf die Maschinen — und hier lohnt es sich, genau hinzusehen, weil an dieser Stelle das ganze Missverständnis hängt.</w:t>
      </w:r>
    </w:p>
    <w:p>
      <w:pPr>
        <w:pStyle w:val="Fliesstext"/>
        <w:ind w:firstLine="283"/>
      </w:pPr>
      <w:r>
        <w:t xml:space="preserve">Es ging nicht um den Strumpfwirkerstuhl an sich. Den gab es längst. Die populäre Legende um den Namensgeber der Bewegung spielt um 1779, und schon dort ist von zwei zerschlagenen Strumpfwirkerstühlen die Rede.[1] Das Gerät, an dem diese Facharbeiter saßen, war zu Beginn ihres Protests also seit mindestens einer Generation im Gebrauch. Neu war etwas anderes: die </w:t>
      </w:r>
      <w:r>
        <w:rPr>
          <w:i/>
        </w:rPr>
        <w:t>wide frames</w:t>
      </w:r>
      <w:r>
        <w:t xml:space="preserve">, breite Wirkstühle, auf denen sich Massenware herstellen ließ. Was da herauskam, hieß </w:t>
      </w:r>
      <w:r>
        <w:rPr>
          <w:i/>
        </w:rPr>
        <w:t>cut-ups</w:t>
      </w:r>
      <w:r>
        <w:t xml:space="preserve"> — billig, schlecht verarbeitet, aber unschlagbar im Preis.[2]</w:t>
      </w:r>
    </w:p>
    <w:p>
      <w:pPr>
        <w:pStyle w:val="Fliesstext"/>
        <w:ind w:firstLine="283"/>
      </w:pPr>
      <w:r>
        <w:t>Das ist Qualitätsdumping, und es ist der Vorwurf, der in dieser Debatte am schwersten wiegt, weil er sich nicht mit „Fortschritt" beantworten lässt. Ein Handwerker, dessen sauber gearbeitetes Produkt von einer schlechteren, aber billigeren Version aus dem Markt gedrängt wird, verliert nicht nur Einkommen. Er verliert den Sinn seiner Ausbildung. Wenn du in der heutigen Debatte über KI-generierte Texte, Bilder und Musik nach dem Wort „Schund" suchst, findest du es in ungefähr jedem zweiten Beitrag. Das ist derselbe Vorwurf, zweihundert Jahre später, in einer anderen Branche.</w:t>
      </w:r>
    </w:p>
    <w:p>
      <w:pPr>
        <w:pStyle w:val="Fliesstext"/>
        <w:ind w:firstLine="283"/>
      </w:pPr>
      <w:r>
        <w:t>Und über allem lag eine Wirtschaftskrise. Zwischen 1810 und 1812 herrschten Hunger, Inflation und Arbeitslosigkeit, angeheizt durch die Napoleonischen Kriege, durch Napoleons Kontinentalsperre und durch den Handelskonflikt mit den Vereinigten Staaten.[1] Wer den Luddismus als Technikangst erzählt, lässt die Hälfte der Ursachen weg. Da protestierten keine Leute, denen das Neue unheimlich war. Da protestierten Leute, deren Lebensgrundlage gleichzeitig von drei Seiten wegbrach.</w:t>
      </w:r>
    </w:p>
    <w:p>
      <w:pPr>
        <w:pStyle w:val="Fliesstext"/>
        <w:ind w:firstLine="283"/>
      </w:pPr>
      <w:r>
        <w:t>Was folgt daraus für die Frage, was sie eigentlich forderten? Die Quellenlage gibt uns die Beschwerden, nicht ein ausformuliertes Programm — ich drehe die Beschwerden deshalb um und sage dazu, dass das mein Schluss ist und keine überlieferte Forderungsliste: auskömmliche Löhne, Einhaltung des Lehrlings- und Zunftrechts, keine Verdrängung ausgebildeter Arbeit durch angelernte Billigkräfte, kein Absatz minderwertiger Massenware unter dem Namen eines Handwerks, das dafür nicht steht. Das ist kein Technikproblem. Das ist ein Verteilungskonflikt, und zwar einer, den man in jedem heutigen Tarifkonflikt wiederfinden würde.</w:t>
      </w:r>
    </w:p>
    <w:p>
      <w:pPr>
        <w:pStyle w:val="Zwischen"/>
      </w:pPr>
      <w:r>
        <w:t>Nachts, maskiert und sehr genau ausgewählt</w:t>
      </w:r>
    </w:p>
    <w:p>
      <w:pPr>
        <w:pStyle w:val="Fliesstext"/>
      </w:pPr>
      <w:r>
        <w:t xml:space="preserve">Am deutlichsten zeigt sich das aber nicht an dem, was sie sagten, sondern daran, </w:t>
      </w:r>
      <w:r>
        <w:rPr>
          <w:i/>
        </w:rPr>
        <w:t>wie</w:t>
      </w:r>
      <w:r>
        <w:t xml:space="preserve"> sie vorgingen.</w:t>
      </w:r>
    </w:p>
    <w:p>
      <w:pPr>
        <w:pStyle w:val="Fliesstext"/>
        <w:ind w:firstLine="283"/>
      </w:pPr>
      <w:r>
        <w:t>Sie zogen nicht wahllos los und zerschlugen alles, was sich bewegte. Ihre Aktionen waren diszipliniert und selektiv. Nachts, oft maskiert, in organisierten Gruppen, und sie zerstörten die Maschinen bestimmter Unternehmer — derer, die Löhne drückten, Regeln brachen, Schund produzierten. Die Maschinen anderer Betriebe blieben unangetastet.[1]</w:t>
      </w:r>
    </w:p>
    <w:p>
      <w:pPr>
        <w:pStyle w:val="Fliesstext"/>
        <w:ind w:firstLine="283"/>
      </w:pPr>
      <w:r>
        <w:t>Bleib einen Moment bei diesem Detail, denn es entscheidet die ganze Sache. Wer aus purem Maschinenhass handelt, unterscheidet nicht zwischen Betrieben. Für den ist jede Maschine dieselbe Maschine. Diese Leute aber führten offenbar eine Art Liste im Kopf: Der da hält sich an die Abmachungen, der da nicht. Zwei identische Wirkstühle, zwei Kilometer auseinander, einer wird zerschlagen und einer nicht — der Unterschied liegt nicht in der Maschine, sondern im Verhalten ihres Besitzers. Genauer kann man kaum belegen, worum es ging. Es ging um die Verteidigung einer Lebens- und Arbeitsweise.[3]</w:t>
      </w:r>
    </w:p>
    <w:p>
      <w:pPr>
        <w:pStyle w:val="Fliesstext"/>
        <w:ind w:firstLine="283"/>
      </w:pPr>
      <w:r>
        <w:t>Auch der Namensgeber ist bemerkenswert. Ned Ludd, je nach Erzählung auch King Ludd, Captain Ludd oder General Ludd, hat mit hoher Wahrscheinlichkeit nie existiert. Die populäre Geschichte will, dass um 1779 ein Lehrling namens Ludd im Dorf Anstey bei Leicester in einem Wutanfall zwei Strumpfwirkerstühle zerschlagen habe.[1] Ob das stimmt, weiß niemand. Es spielte auch keine Rolle. „Ned Ludd" wurde zum symbolischen Anführer, in dessen Auftrag man vorgab zu handeln und mit dessen Namen man Drohbriefe unterschrieb.[1]</w:t>
      </w:r>
    </w:p>
    <w:p>
      <w:pPr>
        <w:pStyle w:val="Fliesstext"/>
        <w:ind w:firstLine="283"/>
      </w:pPr>
      <w:r>
        <w:t>Eine Bewegung von Facharbeitern, die sich hinter einer erfundenen Figur organisiert, weil das Sicherheit gibt und weil ein Name, den jeder kennt, Wucht hat. Drohbriefe, die ein einzelner Mann geschrieben hat, wirken wie die Beschwerde eines einzelnen Mannes. Dieselben Briefe, unterschrieben von General Ludd, wirken wie eine Armee. Das ist nicht Dumpfheit. Das ist Taktik — und nebenbei ein früher Beleg dafür, dass ein guter Markenname auch dann funktioniert, wenn dahinter niemand steht.</w:t>
      </w:r>
    </w:p>
    <w:p>
      <w:pPr>
        <w:pStyle w:val="Zwischen"/>
      </w:pPr>
      <w:r>
        <w:t>Die Antwort war ein Galgen</w:t>
      </w:r>
    </w:p>
    <w:p>
      <w:pPr>
        <w:pStyle w:val="Fliesstext"/>
      </w:pPr>
      <w:r>
        <w:t>Der Staat reagierte nicht mit Vermittlung, sondern mit dem Strafrecht.</w:t>
      </w:r>
    </w:p>
    <w:p>
      <w:pPr>
        <w:pStyle w:val="Fliesstext"/>
        <w:ind w:firstLine="283"/>
      </w:pPr>
      <w:r>
        <w:t xml:space="preserve">Am 20. März 1812 erhielt der </w:t>
      </w:r>
      <w:r>
        <w:rPr>
          <w:i/>
        </w:rPr>
        <w:t>Destruction of Stocking Frames, etc. Act</w:t>
      </w:r>
      <w:r>
        <w:t xml:space="preserve"> die königliche Bestätigung, im Volksmund der „Frame Breaking Act".[3] Das Gesetz machte das Zerstören von Strumpf- und Spitzenstühlen zu einem Verbrechen, auf das die Todesstrafe stand. Zuvor hatte man Maschinenstürmer nach älterem Recht bestraft, unter anderem mit Deportation.</w:t>
      </w:r>
    </w:p>
    <w:p>
      <w:pPr>
        <w:pStyle w:val="Fliesstext"/>
        <w:ind w:firstLine="283"/>
      </w:pPr>
      <w:r>
        <w:t>Lies das bitte zweimal. Ein Parlament sieht sich einem Arbeitskonflikt gegenüber, in dem es um Löhne, Ausbildungsregeln und Produktqualität geht — und seine Antwort besteht darin, den Strafrahmen für Sachbeschädigung auf den Tod anzuheben. Nicht auf eine Kommission. Nicht auf eine Untersuchung der Löhne. Auf den Galgen. Man muss über die Ludditen gar nicht viel wissen, um zu erkennen, dass hier eine Seite über Mittel verfügte, die die andere nicht hatte.</w:t>
      </w:r>
    </w:p>
    <w:p>
      <w:pPr>
        <w:pStyle w:val="Fliesstext"/>
        <w:ind w:firstLine="283"/>
      </w:pPr>
      <w:r>
        <w:t>Es gab Widerspruch, und er kam von einer Seite, die man nicht unbedingt erwartet. Lord Byron, der Dichter, hielt am 27. Februar 1812 seine Antrittsrede im Oberhaus und verteidigte darin die Ludditen. Er wandte sich scharf dagegen, Menschen für das Zerschlagen von Maschinen aufzuhängen.[3] Das war drei Wochen vor der königlichen Bestätigung des Gesetzes, also mitten im Verfahren, und es war die erste Rede eines jungen Adligen, der sich damit gegen sein eigenes Haus stellte.</w:t>
      </w:r>
    </w:p>
    <w:p>
      <w:pPr>
        <w:pStyle w:val="Fliesstext"/>
        <w:ind w:firstLine="283"/>
      </w:pPr>
      <w:r>
        <w:t>Er verlor. Was folgte, war massiver Militäreinsatz, es folgten Prozesse und Hinrichtungen, unter anderem eine Reihe von Hinrichtungen in York im Jahr 1813.[3] Über die genaue Zahl der Todesurteile gehen die Angaben auseinander; ich nenne dir hier bewusst keine, weil ich sie nicht seriös belegen kann. Was sich sagen lässt, reicht auch so: Der Konflikt endete nicht durch ein besseres Argument und nicht durch einen Kompromiss, sondern durch Soldaten und Gerichte.</w:t>
      </w:r>
    </w:p>
    <w:p>
      <w:pPr>
        <w:pStyle w:val="Zwischen"/>
      </w:pPr>
      <w:r>
        <w:t>Wie aus einem Arbeitskampf ein Schimpfwort wurde</w:t>
      </w:r>
    </w:p>
    <w:p>
      <w:pPr>
        <w:pStyle w:val="Fliesstext"/>
      </w:pPr>
      <w:r>
        <w:t>Interessant ist, was danach mit dem Wort geschah. Aus der Bezeichnung für eine konkrete Bewegung mit konkreten Forderungen wurde eine Charakterdiagnose: rückständig, fortschrittsfeindlich, dumm.[2][4]</w:t>
      </w:r>
    </w:p>
    <w:p>
      <w:pPr>
        <w:pStyle w:val="Fliesstext"/>
        <w:ind w:firstLine="283"/>
      </w:pPr>
      <w:r>
        <w:t>Das ist, und jetzt sage ich klar, dass das meine Deutung ist, ein außerordentlich erfolgreiches Stück Propaganda. Es hat einen Verteilungskonflikt in eine Geistesschwäche umdefiniert. Wer über Löhne, Qualität und darüber reden wollte, wem die Erträge der neuen Maschinen zufallen, wurde zu jemandem erklärt, der Maschinen einfach nicht mag. Und über Geschmack diskutiert man nicht.</w:t>
      </w:r>
    </w:p>
    <w:p>
      <w:pPr>
        <w:pStyle w:val="Fliesstext"/>
        <w:ind w:firstLine="283"/>
      </w:pPr>
      <w:r>
        <w:t>Man kann den Vorgang sogar ziemlich genau beschreiben. Eine Forderung hat eine Adresse: Sie richtet sich an jemanden, der etwas tun oder lassen soll, und man kann prüfen, ob sie berechtigt ist. Eine Charaktereigenschaft hat keine Adresse. Sie gehört dem, dem man sie zuschreibt, und sie lässt sich nicht erfüllen. In dem Moment, in dem aus „diese Strumpfwirker fordern die Einhaltung des Lehrlingsrechts" ein „diese Leute sind Ludditen" wird, ist die Debatte beendet, ohne dass jemand sie gewonnen hätte. Das ist der eigentliche Trick, und er ist bis heute in Betrieb.</w:t>
      </w:r>
    </w:p>
    <w:p>
      <w:pPr>
        <w:pStyle w:val="Fliesstext"/>
        <w:ind w:firstLine="283"/>
      </w:pPr>
      <w:r>
        <w:t xml:space="preserve">Der Begriff hat übrigens ein zweites Leben bekommen. Im März 1990 veröffentlichte Chellis Glendinning die „Notes toward a Neo-Luddite Manifesto", die ausdrücklich nicht technikfeindlich argumentieren, sondern gegen gemeinschaftszerstörende Technik und für das Vorsorgeprinzip und lokal kontrollierbare Technikformen eintreten.[4] Kirkpatrick Sale zog 1995 in </w:t>
      </w:r>
      <w:r>
        <w:rPr>
          <w:i/>
        </w:rPr>
        <w:t>Rebels Against the Future</w:t>
      </w:r>
      <w:r>
        <w:t xml:space="preserve"> die Linie von 1811 direkt ins Computerzeitalter.[4] Man muss die Positionen nicht teilen — ich teile sie in weiten Teilen nicht. Aber es lohnt sich zu wissen, dass selbst die selbsternannten Neo-Ludditen keine Maschinenhasser waren. Wer sich freiwillig unter ein Etikett stellt, das seit hundertachtzig Jahren als Beleidigung dient, tut das nicht aus Versehen. Er tut es, um das Etikett zurückzuholen.</w:t>
      </w:r>
    </w:p>
    <w:p>
      <w:pPr>
        <w:pStyle w:val="Fliesstext"/>
        <w:ind w:firstLine="283"/>
      </w:pPr>
      <w:r>
        <w:t>Warum ich so viel Platz darauf verwende: Wenn heute jemand KI-Kritiker pauschal als Ludditen abtut, übernimmt er ungeprüft die Diffamierung von 1812. Und er übersieht dabei den eigentlichen Vorgang. Denn hinter dem, was von außen wie Technikangst aussieht, steckt sehr oft ein handfester Streit darüber, wer den Nutzen einnimmt und wer die Kosten trägt. Dieser Streit ist legitim. Er ist sogar notwendig. Und man löst ihn nicht, indem man die eine Seite für rückständig erklärt.</w:t>
      </w:r>
    </w:p>
    <w:p>
      <w:pPr>
        <w:pStyle w:val="Fliesstext"/>
        <w:ind w:firstLine="283"/>
      </w:pPr>
      <w:r>
        <w:t>Wir kommen darauf zweimal zurück: im sechsten Kapitel, wenn es um Arbeit geht, und im zwölften, wenn ich dir sage, wovor ich tatsächlich Angst habe. So viel vorweg — es ist nicht die Maschine.</w:t>
      </w:r>
    </w:p>
    <w:p>
      <w:pPr>
        <w:pStyle w:val="Zwischen"/>
      </w:pPr>
      <w:r>
        <w:t>Was ich in RPA-Projekten gelernt habe</w:t>
      </w:r>
    </w:p>
    <w:p>
      <w:pPr>
        <w:pStyle w:val="Fliesstext"/>
      </w:pPr>
      <w:r>
        <w:t>Hier ist der Punkt, an dem der Fachbereich aus meiner Lenkungsrunde ins Spiel kommt.</w:t>
      </w:r>
    </w:p>
    <w:p>
      <w:pPr>
        <w:pStyle w:val="Fliesstext"/>
        <w:ind w:firstLine="283"/>
      </w:pPr>
      <w:r>
        <w:t>Ich habe in Automatisierungsprojekten sehr oft gehört, die Leute hätten Angst vor der Technik. Meiner Erfahrung nach stimmt das fast nie. Dieselben Kolleginnen und Kollegen, die angeblich Technikangst haben, bestellen abends per App ihr Essen und regeln ihre Heizung vom Handy aus. Was sie umtreibt, ist etwas anderes, und wenn man lange genug im Raum bleibt und die Folien wegklappt, kommt es auch heraus.</w:t>
      </w:r>
    </w:p>
    <w:p>
      <w:pPr>
        <w:pStyle w:val="Fliesstext"/>
        <w:ind w:firstLine="283"/>
      </w:pPr>
      <w:r>
        <w:t>Sie haben nicht Angst vor dem Bot. Sie haben Angst davor, dass mit dem Bot über ihren Kopf hinweg entschieden wird.</w:t>
      </w:r>
    </w:p>
    <w:p>
      <w:pPr>
        <w:pStyle w:val="Fliesstext"/>
        <w:ind w:firstLine="283"/>
      </w:pPr>
      <w:r>
        <w:t>Wer hat festgelegt, welcher Prozessschritt wegfällt? Wer hat entschieden, was danach mit der frei gewordenen Zeit passiert — mehr Luft oder mehr Volumen? Wurde jemand aus dem Team gefragt, bevor der Ablauf modelliert wurde? Wird die Automatisierung als Entlastung verkauft und intern als Einsparung gerechnet? Das sind keine technikfeindlichen Fragen. Das sind Verteilungs- und Beteiligungsfragen, und sie sind berechtigt.</w:t>
      </w:r>
    </w:p>
    <w:p>
      <w:pPr>
        <w:pStyle w:val="Fliesstext"/>
        <w:ind w:firstLine="283"/>
      </w:pPr>
      <w:r>
        <w:t>Meine erste Automatisierung war ein Bot, der Stundenbuchungen zwischen zwei Systemen synchronisierte. Nichts Spektakuläres, eine dieser Aufgaben, die niemand gern macht und die trotzdem jede Woche anfällt. Die Erleichterung im Team war groß. Aber es war frühe RPA-Zeit, und in den Gesprächen drumherum lag eine Skepsis, die mich damals irritiert hat, weil ich sie für Technikangst hielt. Das war sie nicht. Was in diesen Gesprächen wirklich verhandelt wurde, war die Frage, ob der Bot etwas wegnimmt oder etwas abnimmt — und wer das entscheidet.</w:t>
      </w:r>
    </w:p>
    <w:p>
      <w:pPr>
        <w:pStyle w:val="Fliesstext"/>
        <w:ind w:firstLine="283"/>
      </w:pPr>
      <w:r>
        <w:t>Der Unterschied zwischen diesen beiden Wörtern ist der ganze Konflikt. Wegnehmen heißt: Jemand anderes verfügt über meine Tätigkeit. Abnehmen heißt: Ich verfüge, und etwas hilft mir. Technisch ist das derselbe Bot. Sozial sind es zwei völlig verschiedene Vorgänge.</w:t>
      </w:r>
    </w:p>
    <w:p>
      <w:pPr>
        <w:pStyle w:val="Fliesstext"/>
        <w:ind w:firstLine="283"/>
      </w:pPr>
      <w:r>
        <w:t>Und genau da liegt die Verbindung nach Nottinghamshire. Die Ludditen zerschlugen die Wirkstühle bestimmter Unternehmer und ließen andere stehen. Übersetzt in meinen Berufsalltag: Der Widerstand entzündet sich nicht an der Technologie, er entzündet sich an der Frage, wer sie einsetzt und mit welcher Absicht. Ich habe zwei nahezu identische Automatisierungen erlebt, die in einem Bereich als Entlastung gefeiert und in einem anderen als Bedrohung bekämpft wurden. Am Bot lag es nicht. Am Bot liegt es fast nie.</w:t>
      </w:r>
    </w:p>
    <w:p>
      <w:pPr>
        <w:pStyle w:val="Fliesstext"/>
        <w:ind w:firstLine="283"/>
      </w:pPr>
      <w:r>
        <w:t>Was ich daraus gelernt habe, ist unspektakulär, hat mir aber mehr Projekte gerettet als jede Technologieentscheidung: Beteilige die Leute an der Gestaltung, und der Widerstand fällt in sich zusammen. Nicht weil man ihn wegmoderiert hat, sondern weil sein Anlass verschwunden ist. Wer den Prozess mitmodelliert hat, wehrt sich nicht gegen ihn. Und wenn er sich trotzdem wehrt, hat er meistens einen fachlichen Grund, auf den ich sonst erst nach dem Rollout gestoßen wäre.</w:t>
      </w:r>
    </w:p>
    <w:p>
      <w:pPr>
        <w:pStyle w:val="Fliesstext"/>
        <w:ind w:firstLine="283"/>
      </w:pPr>
      <w:r>
        <w:t>Ich will das nicht zu einer Methode aufblasen, es ist eher eine Reihenfolge. Erst fragen, dann modellieren. Es kostet zwei Wochen am Anfang und spart ein halbes Jahr am Ende. Die Ludditen im Kleinen, nur ohne Hammer, mit Teams-Meeting.</w:t>
      </w:r>
    </w:p>
    <w:p>
      <w:pPr>
        <w:pStyle w:val="Zwischen"/>
      </w:pPr>
      <w:r>
        <w:t>Cohen und die Sündenböcke</w:t>
      </w:r>
    </w:p>
    <w:p>
      <w:pPr>
        <w:pStyle w:val="Fliesstext"/>
      </w:pPr>
      <w:r>
        <w:t>Damit sind wir bei der Frage, warum sich das Muster aus den ersten drei Kapiteln so verlässlich wiederholt. Die Sozialwissenschaft hat dafür ein Werkzeug, und es ist erstaunlich brauchbar.</w:t>
      </w:r>
    </w:p>
    <w:p>
      <w:pPr>
        <w:pStyle w:val="Fliesstext"/>
        <w:ind w:firstLine="283"/>
      </w:pPr>
      <w:r>
        <w:t xml:space="preserve">Der Soziologe Stanley Cohen prägte 1972 in </w:t>
      </w:r>
      <w:r>
        <w:rPr>
          <w:i/>
        </w:rPr>
        <w:t>Folk Devils and Moral Panics</w:t>
      </w:r>
      <w:r>
        <w:t xml:space="preserve"> den Begriff der moralischen Panik.[5] Er hatte die Auseinandersetzungen zwischen den englischen Jugendgruppen der Mods und Rockers untersucht und beschrieb dabei einen Ablauf, der sich seither in Dutzenden anderer Fälle wiedergefunden hat. Eine Panik liegt nach Cohen vor, wenn ein Zustand, ein Ereignis, eine Person oder eine Gruppe dazu erklärt wird, eine Bedrohung für gesellschaftliche Werte und Interessen zu sein.[5]</w:t>
      </w:r>
    </w:p>
    <w:p>
      <w:pPr>
        <w:pStyle w:val="Fliesstext"/>
        <w:ind w:firstLine="283"/>
      </w:pPr>
      <w:r>
        <w:t xml:space="preserve">Die Mechanik hat vier Bewegungen. Zuerst braucht es einen Sündenbock, den Cohen </w:t>
      </w:r>
      <w:r>
        <w:rPr>
          <w:i/>
        </w:rPr>
        <w:t>folk devil</w:t>
      </w:r>
      <w:r>
        <w:t xml:space="preserve"> nennt — jemanden oder etwas, worauf sich die Sorge bündeln lässt. Dann kommen die Medien und vergrößern kleine Vorfälle zu Symptomen eines allgemeinen Verfalls. Daraufhin treten Moralunternehmer, Sachverständige und Politiker auf den Plan und fordern Maßnahmen, die typischerweise über das hinausgehen, was die tatsächliche Gefahr rechtfertigt. Und dann, oft überraschend schnell, ebbt das Ganze wieder ab und niemand redet mehr darüber.[5]</w:t>
      </w:r>
    </w:p>
    <w:p>
      <w:pPr>
        <w:pStyle w:val="Fliesstext"/>
        <w:ind w:firstLine="283"/>
      </w:pPr>
      <w:r>
        <w:t>Erich Goode und Nachman Ben-Yehuda haben das 1994 in eine Prüfliste gegossen, mit der man einen Fall durchgehen kann: erhöhte Besorgnis, Feindseligkeit gegenüber einer klar benannten Gruppe, breiter Konsens, dass die Bedrohung real ist, Unverhältnismäßigkeit zwischen Reaktion und tatsächlicher Gefahr, und schließlich Flüchtigkeit — plötzliches Aufkommen, ebenso rasches Verschwinden.[6]</w:t>
      </w:r>
    </w:p>
    <w:p>
      <w:pPr>
        <w:pStyle w:val="Zwischen"/>
      </w:pPr>
      <w:r>
        <w:t>Das Modell an einem Fall</w:t>
      </w:r>
    </w:p>
    <w:p>
      <w:pPr>
        <w:pStyle w:val="Fliesstext"/>
      </w:pPr>
      <w:r>
        <w:t>Ein Modell, das man nur referiert, ist ein Zitat. Ein Modell, das man einmal durchspielt, ist ein Werkzeug. Nehmen wir also einen Fall, den du aus dem dritten Kapitel schon kennst, und legen die Prüfliste an: den Abend des 30. Oktober 1938, Orson Welles und „War of the Worlds". Cohen hat über diesen Fall nicht geschrieben, die Anwendung ist meine.</w:t>
      </w:r>
    </w:p>
    <w:p>
      <w:pPr>
        <w:pStyle w:val="Fliesstext"/>
        <w:ind w:firstLine="283"/>
      </w:pPr>
      <w:r>
        <w:t xml:space="preserve">Erstens, die </w:t>
      </w:r>
      <w:r>
        <w:rPr>
          <w:b/>
        </w:rPr>
        <w:t>Besorgnis</w:t>
      </w:r>
      <w:r>
        <w:t>. Sie war da, und sie war groß. Aber achte darauf, worauf sie sich richtete: nicht auf ein Marsmenschen-Hörspiel, sondern auf ein Medium, das offenbar in der Lage war, Millionen Menschen binnen einer Stunde in Aufruhr zu versetzen. Die Sorge galt der Macht des Radios über seine Hörer.</w:t>
      </w:r>
    </w:p>
    <w:p>
      <w:pPr>
        <w:pStyle w:val="Fliesstext"/>
        <w:ind w:firstLine="283"/>
      </w:pPr>
      <w:r>
        <w:t xml:space="preserve">Zweitens, die </w:t>
      </w:r>
      <w:r>
        <w:rPr>
          <w:b/>
        </w:rPr>
        <w:t>Feindseligkeit</w:t>
      </w:r>
      <w:r>
        <w:t xml:space="preserve"> und der Sündenbock. Der </w:t>
      </w:r>
      <w:r>
        <w:rPr>
          <w:i/>
        </w:rPr>
        <w:t>folk devil</w:t>
      </w:r>
      <w:r>
        <w:t xml:space="preserve"> war hier keine Jugendgruppe, sondern eine Technik samt der Branche, die sie betrieb: das Radio als unkontrollierbare Suggestionsmaschine im Wohnzimmer. Das ist die interessanteste Abweichung von Cohens Ursprungsfall, denn ein Gerät kann sich nicht wehren und keine Interviews geben.</w:t>
      </w:r>
    </w:p>
    <w:p>
      <w:pPr>
        <w:pStyle w:val="Fliesstext"/>
        <w:ind w:firstLine="283"/>
      </w:pPr>
      <w:r>
        <w:t xml:space="preserve">Drittens, der </w:t>
      </w:r>
      <w:r>
        <w:rPr>
          <w:b/>
        </w:rPr>
        <w:t>Konsens</w:t>
      </w:r>
      <w:r>
        <w:t>. Der stellte sich mustergültig ein. Dass in jener Nacht Amerika in Panik ausgebrochen sei, wurde zur allgemein geteilten Gewissheit — und blieb es jahrzehntelang, bis in Lehrbücher hinein.</w:t>
      </w:r>
    </w:p>
    <w:p>
      <w:pPr>
        <w:pStyle w:val="Fliesstext"/>
        <w:ind w:firstLine="283"/>
      </w:pPr>
      <w:r>
        <w:t xml:space="preserve">Viertens, die </w:t>
      </w:r>
      <w:r>
        <w:rPr>
          <w:b/>
        </w:rPr>
        <w:t>Unverhältnismäßigkeit</w:t>
      </w:r>
      <w:r>
        <w:t>. Hier lässt sich das Modell ausnahmsweise mit Zahlen füttern. Die Ratingfirma C. E. Hooper rief in der Sendenacht rund 5.000 Haushalte an; etwa zwei Prozent nannten das CBS-Programm mit Welles. Jefferson Pooley und Michael J. Socolow werteten 2013 Polizeiprotokolle, Vermittlungsdaten und zeitgenössische Umfragen aus und kamen zu dem Ergebnis, die Panik sei nahezu nicht vorhanden gewesen. Verifizierte Selbstmorde gibt es nicht. Die Zahlen, die den Mythos trugen, stammen überwiegend aus Hadley Cantrils Studie von 1940 und gelten heute als methodisch fragwürdig und deutlich überhöht.[12] Reaktion und Anlass standen also nicht in einem schiefen Verhältnis zueinander — der Anlass war in der behaupteten Form gar nicht vorhanden.</w:t>
      </w:r>
    </w:p>
    <w:p>
      <w:pPr>
        <w:pStyle w:val="Fliesstext"/>
        <w:ind w:firstLine="283"/>
      </w:pPr>
      <w:r>
        <w:t>Und die Medienverstärkung, Cohens zweite Bewegung, ist in diesem Fall nicht nur nachweisbar, sondern hat ein Motiv. Aufgebauscht wurde die Panik von den Zeitungen, die ein handfestes Interesse daran hatten, das junge Konkurrenzmedium Radio vor Werbekunden und Aufsichtsbehörden als unseriös dastehen zu lassen.[12] Man kann sich kaum eine sauberere Illustration von Cohens Mechanik wünschen: Der Verstärker ist keine neutrale Instanz, er ist Partei.</w:t>
      </w:r>
    </w:p>
    <w:p>
      <w:pPr>
        <w:pStyle w:val="Fliesstext"/>
        <w:ind w:firstLine="283"/>
      </w:pPr>
      <w:r>
        <w:t xml:space="preserve">Bleibt fünftens die </w:t>
      </w:r>
      <w:r>
        <w:rPr>
          <w:b/>
        </w:rPr>
        <w:t>Flüchtigkeit</w:t>
      </w:r>
      <w:r>
        <w:t xml:space="preserve"> — und hier passt das Raster nicht. Die Sorge um das Radio verging, wie Sorgen vergehen. Die Panikgeschichte selbst aber verging nicht. Sie hielt sich fünfundsiebzig Jahre, bis jemand die Polizeiakten aufschlug. Vier von fünf Kriterien treffen, eines trifft nicht.</w:t>
      </w:r>
    </w:p>
    <w:p>
      <w:pPr>
        <w:pStyle w:val="Fliesstext"/>
        <w:ind w:firstLine="283"/>
      </w:pPr>
      <w:r>
        <w:t>Das ist kein Makel des Modells, das ist der Grund, warum man es anwenden und nicht bloß aufsagen sollte. Ein Raster, das immer passt, sagt nichts. Und die Abweichung ist hier die eigentliche Lehre: Die Panik war schnell vorbei, die falsche Erinnerung an sie nicht. Halte dieselbe Liste neben eine beliebige Woche KI-Schlagzeilen, und es wird unangenehm.</w:t>
      </w:r>
    </w:p>
    <w:p>
      <w:pPr>
        <w:pStyle w:val="Fliesstext"/>
        <w:ind w:firstLine="283"/>
      </w:pPr>
      <w:r>
        <w:t>Ein Hinweis ist mir an dieser Stelle wichtig, weil der Begriff gern missbraucht wird. „Moralische Panik" ist kein Freispruch. Wer eine Sorge als Panik etikettiert, hat noch nichts darüber gesagt, ob die Sorge unbegründet ist. Das Modell hilft nur, die Verhältnismäßigkeit zu prüfen. Panik und echte Gefahr schließen einander nicht aus. Sie treten sogar oft gemeinsam auf, und genau das macht die Sache schwierig.</w:t>
      </w:r>
    </w:p>
    <w:p>
      <w:pPr>
        <w:pStyle w:val="Zwischen"/>
      </w:pPr>
      <w:r>
        <w:t>Warum es immer die Kinder trifft</w:t>
      </w:r>
    </w:p>
    <w:p>
      <w:pPr>
        <w:pStyle w:val="Fliesstext"/>
      </w:pPr>
      <w:r>
        <w:t xml:space="preserve">Die dänische Medienwissenschaftlerin Kirsten Drotner hat 1999 den passenden Spezialfall beschrieben und ihn </w:t>
      </w:r>
      <w:r>
        <w:rPr>
          <w:i/>
        </w:rPr>
        <w:t>media panic</w:t>
      </w:r>
      <w:r>
        <w:t xml:space="preserve"> genannt: die emotional aufgeladene Reaktion auf das Auftauchen eines neuen Mediums.[7] Ihre These ist, dass solche Paniken kein Zufall sind, sondern ein wiederkehrendes Strukturmerkmal der Moderne. Drei ihrer Beobachtungen sind für uns nützlich.</w:t>
      </w:r>
    </w:p>
    <w:p>
      <w:pPr>
        <w:pStyle w:val="Fliesstext"/>
        <w:ind w:firstLine="283"/>
      </w:pPr>
      <w:r>
        <w:t>Die erste: Das neue Medium ist immer beides zugleich, Auslöser der Debatte und ihr Verbreiter. Trithemius ließ seine Streitschrift gegen den Buchdruck drucken, und der beste Ort, um über die Verrohung durch soziale Medien zu diskutieren, ist bis heute ein soziales Medium.[7] Das ist mehr als eine Pointe. Es bedeutet, dass jede Medienpanik von genau dem Kanal getragen wird, den sie anklagt — und dass dieser Kanal an der Debatte verdient.</w:t>
      </w:r>
    </w:p>
    <w:p>
      <w:pPr>
        <w:pStyle w:val="Fliesstext"/>
        <w:ind w:firstLine="283"/>
      </w:pPr>
      <w:r>
        <w:t>Die zweite: Der Diskurs ist stark moralisch polarisiert.[7] Es gibt kein mittleres Register. Entweder rettet die Technik die Bildung oder sie ruiniert sie. Wer differenziert, gilt beiden Seiten als Verharmloser beziehungsweise als Bedenkenträger. Das erklärt, warum in Talkshows über neue Technik so selten jemand sitzt, der „kommt darauf an" sagt: Diese Position hat keinen Sendeplatz.</w:t>
      </w:r>
    </w:p>
    <w:p>
      <w:pPr>
        <w:pStyle w:val="Fliesstext"/>
        <w:ind w:firstLine="283"/>
      </w:pPr>
      <w:r>
        <w:t>Die dritte, und die ist die wichtigste: Die Sorge richtet sich fast immer auf Kinder und Jugendliche.[7] Das ist der Punkt, an dem sich die Fälle dieses Buches auffällig treffen. Beim Radio waren es die Kinder, die zu „neurasthenics" werden sollten. Beim Fernsehen waren es die Kinder mit ihren erfundenen Leiden. Beim Taschenrechner sind es die Schüler, beim Smartphone die Jugendlichen, und bei der KI ist es die Hausaufgabe. Auch überblicksartige Aufarbeitungen der Unterhaltungstechnik-Paniken von Telefon über Kino und Comics bis zum Videospiel finden diesen Bogen immer wieder.[16]</w:t>
      </w:r>
    </w:p>
    <w:p>
      <w:pPr>
        <w:pStyle w:val="Fliesstext"/>
        <w:ind w:firstLine="283"/>
      </w:pPr>
      <w:r>
        <w:t>Warum ausgerechnet die Jüngsten? Meine Erklärung, ausdrücklich meine: weil Kinder die einzige Gruppe sind, bei der niemand widersprechen kann. Ein Erwachsener, dem man sagt, ein Medium schade ihm, antwortet, das sei seine Sache. Ein Kind kann das nicht. Und weil Kinder eine neue Technik immer schneller und selbstverständlicher benutzen als die Generation davor, ist der Abstand zwischen Sorge und Kompetenz genau dort am größten.</w:t>
      </w:r>
    </w:p>
    <w:p>
      <w:pPr>
        <w:pStyle w:val="Zwischen"/>
      </w:pPr>
      <w:r>
        <w:t>Der Stein, den wir immer wieder hochrollen</w:t>
      </w:r>
    </w:p>
    <w:p>
      <w:pPr>
        <w:pStyle w:val="Fliesstext"/>
      </w:pPr>
      <w:r>
        <w:t>Bleibt die Frage, warum wir das nicht merken. Warum keine Generation die vorherige anruft und fragt: Sagt mal, wie ist das bei euch damals eigentlich ausgegangen?</w:t>
      </w:r>
    </w:p>
    <w:p>
      <w:pPr>
        <w:pStyle w:val="Fliesstext"/>
        <w:ind w:firstLine="283"/>
      </w:pPr>
      <w:r>
        <w:t xml:space="preserve">Die Psychologin Amy Orben aus Cambridge hat dafür 2020 eine Erklärung vorgelegt, die ich für den theoretischen Kern dieses ganzen Buches halte. Ihr Aufsatz heißt </w:t>
      </w:r>
      <w:r>
        <w:rPr>
          <w:i/>
        </w:rPr>
        <w:t>The Sisyphean Cycle of Technology Panics</w:t>
      </w:r>
      <w:r>
        <w:t xml:space="preserve"> und erschien in </w:t>
      </w:r>
      <w:r>
        <w:rPr>
          <w:i/>
        </w:rPr>
        <w:t>Perspectives on Psychological Science</w:t>
      </w:r>
      <w:r>
        <w:t>.[8] Der Befund: Technikpaniken laufen in nahezu identischen, sich wiederholenden Zyklen ab. Sisyphusartig eben — der Stein rollt hoch, er rollt runter, und dann fängt jemand von vorne an.</w:t>
      </w:r>
    </w:p>
    <w:p>
      <w:pPr>
        <w:pStyle w:val="Fliesstext"/>
        <w:ind w:firstLine="283"/>
      </w:pPr>
      <w:r>
        <w:t>Der eigentlich bittere Teil betrifft nicht die Öffentlichkeit, sondern die Wissenschaft. Weil eine gemeinsame theoretische Grundlinie fehlt, lernt die Forschung kaum aus vergangenen Panikwellen. Sie beginnt bei jeder neuen Technik von vorn: neue Fragebögen, neue Messinstrumente, neue Debatten über Methodik, während die Technik längst weitergezogen ist.[8] Bis solide Ergebnisse vorliegen, interessiert das Thema niemanden mehr, weil die nächste Technik schon da ist. Und die Sorge richtet sich, wie bei Drotner und bei Goode und Ben-Yehuda, wieder auf die Jugend.[8]</w:t>
      </w:r>
    </w:p>
    <w:p>
      <w:pPr>
        <w:pStyle w:val="Fliesstext"/>
        <w:ind w:firstLine="283"/>
      </w:pPr>
      <w:r>
        <w:t>Ich will dir diesen Kreislauf einmal in seinen Schritten hinschreiben, damit du ihn beim nächsten Mal von innen erkennst. Die einzelnen Stationen sind meine Zusammenstellung; der Befund, dass sich das Ganze wiederholt und dass die Forschung dabei nicht dazulernt, ist Orbens.[8]</w:t>
      </w:r>
    </w:p>
    <w:p>
      <w:pPr>
        <w:pStyle w:val="Fliesstext"/>
        <w:ind w:firstLine="283"/>
      </w:pPr>
      <w:r>
        <w:t>Am Anfang steht eine Technik, die schnell Verbreitung findet, meist zuerst bei jungen Leuten. Es folgt eine Beunruhigung, die sich in moralischer Sprache ausdrückt, weil es noch keine andere gibt: Verrohung, Verflachung, Abhängigkeit. Dann wird die Frage an die Wissenschaft weitergereicht — was ein vernünftiger Reflex ist und trotzdem der Punkt, an dem die Sache kippt. Denn nun beginnt jemand, ein Messinstrument zu bauen. Was heißt „Nutzung" überhaupt, in Stunden, in Sitzungen, in Selbstauskunft? Was ist der Schaden, den man messen will, und woran erkennt man ihn? Diese Vorarbeit kostet Jahre. Danach braucht es Stichproben, Längsschnitte, Replikationen. Und wenn die Ergebnisse endlich belastbar sind, ist die untersuchte Technik entweder Alltag geworden oder abgelöst. Das Ergebnis wird nicht widerlegt. Es wird uninteressant.</w:t>
      </w:r>
    </w:p>
    <w:p>
      <w:pPr>
        <w:pStyle w:val="Fliesstext"/>
        <w:ind w:firstLine="283"/>
      </w:pPr>
      <w:r>
        <w:t>Die Zeitspannen kannst du in diesem Buch selbst nachrechnen. Die Radio-Debatte um schädliche Krimi- und Gruselprogramme tobte in den 1930er Jahren; die wissenschaftliche Aufarbeitung dieser Kontroverse erschien 1998.[13] Der Streit um den Sendeabend von 1938 wurde 2013 mit Polizeiakten und Vermittlungsdaten geklärt, fünfundsiebzig Jahre danach.[12] Taschenrechner tauchten Anfang der siebziger Jahre in Klassenzimmern auf; die Meta-Analyse, die 79 Einzelstudien zusammenführte und der Debatte eine belastbare Antwort gab, erschien 1986.[15] Fünfzehn Jahre — und in diesen fünfzehn Jahren war der Personal Computer bereits in den Schulen angekommen und die nächste Runde eröffnet.</w:t>
      </w:r>
    </w:p>
    <w:p>
      <w:pPr>
        <w:pStyle w:val="Fliesstext"/>
        <w:ind w:firstLine="283"/>
      </w:pPr>
      <w:r>
        <w:t>Das ist die Antwort auf die Kapitelüberschrift, und sie ist unbequemer, als „die Menschen sind halt vergesslich". Wir lernen nicht aus der Geschichte, weil der Apparat, der uns das Lernen abnehmen sollte, strukturell zu langsam ist. Die Forschung kommt nicht zu spät, weil sie schlecht wäre. Sie kommt zu spät, weil sie sorgfältig ist und der Zyklus schneller läuft als jedes ordentliche Studiendesign. Ein Verfahren, das seine Qualität aus Geduld bezieht, verliert zwangsläufig gegen ein Ereignis, das seine Wucht aus Tempo bezieht.</w:t>
      </w:r>
    </w:p>
    <w:p>
      <w:pPr>
        <w:pStyle w:val="Fliesstext"/>
        <w:ind w:firstLine="283"/>
      </w:pPr>
      <w:r>
        <w:t>Wer das einmal verstanden hat, liest Schlagzeilen anders. „Studienlage unklar" heißt bei einer fünf Jahre alten Technik nicht, dass es keine Gefahr gibt. Es heißt, dass wir noch nicht so weit sind. Beides ist wichtig zu wissen, und beides wird regelmäßig verwechselt — von den Beruhigern, die aus fehlenden Belegen eine Entwarnung machen, und von den Warnern, die aus fehlenden Belegen eine Vertuschung machen.</w:t>
      </w:r>
    </w:p>
    <w:p>
      <w:pPr>
        <w:pStyle w:val="Zwischen"/>
      </w:pPr>
      <w:r>
        <w:t>Zu früh weiß man nichts, zu spät kann man nichts</w:t>
      </w:r>
    </w:p>
    <w:p>
      <w:pPr>
        <w:pStyle w:val="Fliesstext"/>
      </w:pPr>
      <w:r>
        <w:t>Damit sind wir beim praktischen Problem: Wenn wir dem Zyklus immer hinterherlaufen, wann soll man dann überhaupt eingreifen?</w:t>
      </w:r>
    </w:p>
    <w:p>
      <w:pPr>
        <w:pStyle w:val="Fliesstext"/>
        <w:ind w:firstLine="283"/>
      </w:pPr>
      <w:r>
        <w:t xml:space="preserve">David Collingridge hat diese Frage 1980 in </w:t>
      </w:r>
      <w:r>
        <w:rPr>
          <w:i/>
        </w:rPr>
        <w:t>The Social Control of Technology</w:t>
      </w:r>
      <w:r>
        <w:t xml:space="preserve"> so scharf formuliert, dass sie seither seinen Namen trägt.[9] Das Collingridge-Dilemma geht so: In der Frühphase einer Technik ließe sie sich noch leicht steuern, weil sie kaum verbreitet und nichts festgelegt ist. Nur weiß man zu diesem Zeitpunkt viel zu wenig über ihre schädlichen Folgen, um Eingriffe zu begründen. Das ist das Informationsproblem. Sind die Folgen dann endlich sichtbar, ist die Technik so tief in Wirtschaft, Alltag und Infrastruktur eingebettet, dass Steuerung teuer, langsam und politisch fast unmöglich wird. Das ist das Machtproblem.[9]</w:t>
      </w:r>
    </w:p>
    <w:p>
      <w:pPr>
        <w:pStyle w:val="Fliesstext"/>
        <w:ind w:firstLine="283"/>
      </w:pPr>
      <w:r>
        <w:t>Zu früh bist du blind. Zu spät bist du ohnmächtig. Dazwischen gibt es kein Fenster, in dem beides gleichzeitig stimmt.</w:t>
      </w:r>
    </w:p>
    <w:p>
      <w:pPr>
        <w:pStyle w:val="Fliesstext"/>
        <w:ind w:firstLine="283"/>
      </w:pPr>
      <w:r>
        <w:t>Für beide Hälften hast du in diesem Buch schon ein Beispiel gelesen, ohne dass ich es so genannt hätte.</w:t>
      </w:r>
    </w:p>
    <w:p>
      <w:pPr>
        <w:pStyle w:val="Fliesstext"/>
        <w:ind w:firstLine="283"/>
      </w:pPr>
      <w:r>
        <w:t xml:space="preserve">Die frühe Hälfte ist der britische </w:t>
      </w:r>
      <w:r>
        <w:rPr>
          <w:i/>
        </w:rPr>
        <w:t>Red Flag Act</w:t>
      </w:r>
      <w:r>
        <w:t xml:space="preserve"> von 1865. Da griff ein Gesetzgeber so früh ein, wie es überhaupt ging: vier Meilen pro Stunde über Land, zwei in Ortschaften, ein Mann mit roter Fahne sechzig Yards vor dem Fahrzeug. Erst 1896 fiel die Vorläuferpflicht für leichte Fahrzeuge.[14] Das ist Steuerung in der Frühphase in Reinform, und sie zeigt genau das, wovor Collingridge warnt. Man wusste 1865 nicht, worin die Gefahr des Automobils bestehen würde — sie bestand nicht in erschreckten Pferden, sondern in Geschwindigkeit, Masse und fehlenden Verkehrsregeln. Also regelte man, was man sehen konnte, und fror einunddreißig Jahre lang die falsche Größe ein. Das Informationsproblem heißt nicht „man weiß nichts". Es heißt: Man weiß genug, um etwas zu regeln, und zu wenig, um das Richtige zu regeln. Das ist meine Lesart des Falls, aber ich halte sie für die brauchbarste.</w:t>
      </w:r>
    </w:p>
    <w:p>
      <w:pPr>
        <w:pStyle w:val="Fliesstext"/>
        <w:ind w:firstLine="283"/>
      </w:pPr>
      <w:r>
        <w:t>Die späte Hälfte kenne ich aus meinem Beruf, und zwar in einer Härte, die man von außen unterschätzt. Jede gewachsene Prozesslandschaft ist ein Machtproblem im Sinne Collingridges. Irgendwann in den Nullerjahren hat jemand eine Schnittstelle gebaut, weil es damals schnell gehen musste. Zwanzig Jahre später hängen an dieser Schnittstelle vierzig Prozesse, drei Abteilungen und ein Reporting, das der Vorstand jeden Monat sieht. Die Entscheidung von damals war umkehrbar, solange sie eine Woche alt war. Heute steht sie nicht mehr zur Debatte, und niemand hat je beschlossen, dass sie nicht mehr zur Debatte steht. Sie ist es einfach geworden.</w:t>
      </w:r>
    </w:p>
    <w:p>
      <w:pPr>
        <w:pStyle w:val="Fliesstext"/>
        <w:ind w:firstLine="283"/>
      </w:pPr>
      <w:r>
        <w:t>Collingridge hat kein Wundermittel angeboten, aber eine Haltung: Optionen offenhalten, revidierbar und modular bauen, Rückmeldung einbauen, frühe Festlegungen vermeiden.[9] Übersetzt in die Sprache meines Berufs ist das der Unterschied zwischen einem System, das man nach zwei Jahren korrigieren kann, und einem, das man nach zwei Jahren nur noch abreißen kann. Wir bauen deshalb inzwischen fast nichts mehr ohne die Frage, wie man es wieder abschaltet. Das klingt defensiv und ist das Gegenteil: Nur was man zurücknehmen kann, darf man früh wagen.</w:t>
      </w:r>
    </w:p>
    <w:p>
      <w:pPr>
        <w:pStyle w:val="Fliesstext"/>
        <w:ind w:firstLine="283"/>
      </w:pPr>
      <w:r>
        <w:t>Es gibt auch institutionelle Antworten darauf, und die sind älter, als man denkt. In den USA wurde durch den Technology Assessment Act von 1972 das Office of Technology Assessment gegründet, das von 1974 bis 1995 arbeitete und den Kongress mit unabhängigen Analysen zu Technikfolgen versorgte — rund 750 Studien. 1995 wurde es im Zuge von Budgetkürzungen abgeschafft.[10] In Deutschland entstand 1990 das Büro für Technikfolgen-Abschätzung beim Deutschen Bundestag, betrieben vom ITAS am Karlsruher Institut für Technologie, mit dem Auftrag, das Parlament unabhängig zu beraten.[10]</w:t>
      </w:r>
    </w:p>
    <w:p>
      <w:pPr>
        <w:pStyle w:val="Fliesstext"/>
        <w:ind w:firstLine="283"/>
      </w:pPr>
      <w:r>
        <w:t>Es gibt sie also, die Einrichtungen, die genau dieses Dilemma bearbeiten sollen. Man kann sie ausbauen. Man kann sie auch abschaffen. Beides ist eine Entscheidung, und die amerikanische von 1995 fiel ausgerechnet in das Jahr, in dem das kommerzielle Internet zu laufen begann.</w:t>
      </w:r>
    </w:p>
    <w:p>
      <w:pPr>
        <w:pStyle w:val="Fliesstext"/>
        <w:ind w:firstLine="283"/>
      </w:pPr>
      <w:r>
        <w:t>Das Collingridge-Dilemma ist meiner Ansicht nach das stärkste Argument für eine frühe, aber lernfähige Regulierung. Nicht früh und starr, das wäre die rote Fahne. Nicht spät und gründlich, das wäre zu spät. Sondern früh, mit eingebauten Korrekturschleifen. Ob der europäische KI-Rechtsrahmen das schafft, sehen wir uns im achten Kapitel an. Vorweg: Ich bin da geteilter Meinung.</w:t>
      </w:r>
    </w:p>
    <w:p>
      <w:pPr>
        <w:pStyle w:val="Zwischen"/>
      </w:pPr>
      <w:r>
        <w:t>Warum Euphorie und Katerstimmung so schnell wechseln</w:t>
      </w:r>
    </w:p>
    <w:p>
      <w:pPr>
        <w:pStyle w:val="Fliesstext"/>
      </w:pPr>
      <w:r>
        <w:t>Ein letztes Werkzeug, und es erklärt einen Effekt, den du bei der KI seit Jahren live beobachten kannst.</w:t>
      </w:r>
    </w:p>
    <w:p>
      <w:pPr>
        <w:pStyle w:val="Fliesstext"/>
        <w:ind w:firstLine="283"/>
      </w:pPr>
      <w:r>
        <w:t>Roy Amara, Präsident des Institute for the Future, hat einen Satz geprägt, der üblicherweise auf 1978 datiert wird — die genaue Erstnennung ist unsicher.[11] Er lautet: Wir neigen dazu, die Wirkung einer Technik kurzfristig zu überschätzen und langfristig zu unterschätzen.[11]</w:t>
      </w:r>
    </w:p>
    <w:p>
      <w:pPr>
        <w:pStyle w:val="Fliesstext"/>
        <w:ind w:firstLine="283"/>
      </w:pPr>
      <w:r>
        <w:t>Zwei Fehler, in entgegengesetzte Richtungen, vom selben Menschen begangen. Deshalb fühlt sich jede neue Technik erst an wie das Ende der Welt oder ihre Rettung, dann eine Weile wie eine Enttäuschung, und dann, zehn Jahre später, ist sie überall und niemand redet mehr darüber. Genau das ist der Weg vom Schrecken in den Alltag, nur von der Erwartungsseite her betrachtet.</w:t>
      </w:r>
    </w:p>
    <w:p>
      <w:pPr>
        <w:pStyle w:val="Fliesstext"/>
        <w:ind w:firstLine="283"/>
      </w:pPr>
      <w:r>
        <w:t>Ich kann das an meinem eigenen Fach vorführen, und es ist keine schmeichelhafte Vorführung. In den ersten RPA-Jahren wurde uns zugetraut, halbe Verwaltungen zu automatisieren — von den Begeisterten als Versprechen, von den Beunruhigten als Drohung, aber in beiden Fällen mit derselben überzogenen Zahl im Kopf. Dann kam die Ernüchterung, weil sich herausstellte, dass ein Bot einen unsauberen Prozess nicht heilt, sondern beschleunigt. In dieser Phase hörte ich oft, das Ganze sei eine Modeerscheinung gewesen. Und heute, Jahre später, läuft in vielen Häusern still im Hintergrund eine ganze Flotte von Automatisierungen, über die niemand mehr spricht, und die Arbeit sieht anders aus als vorher. Nicht weniger. Anders. Kurzfristig überschätzt, langfristig unterschätzt, beides von denselben Leuten in demselben Raum.</w:t>
      </w:r>
    </w:p>
    <w:p>
      <w:pPr>
        <w:pStyle w:val="Fliesstext"/>
        <w:ind w:firstLine="283"/>
      </w:pPr>
      <w:r>
        <w:t>Ein anschauliches Ordnungsschema dazu liefert der Hype Cycle, den die Analystin Jackie Fenn 1995 bei Gartner eingeführt hat: Auslöser, Gipfel überzogener Erwartungen, Tal der Enttäuschung, Pfad der Erleuchtung, Plateau der Produktivität.[11] Ich benutze das gern, weil es Gespräche entkrampft. Aber ich sage dazu, was es ist: ein kommerzielles Beratungsmodell, kein peer-reviewtes Naturgesetz. Es beschreibt eine Erwartungskurve, es sagt nichts vorher. Wer damit arbeitet, sollte nie den Satz sagen „wir sind gerade im Tal der Enttäuschung", denn das weiß man erst hinterher.</w:t>
      </w:r>
    </w:p>
    <w:p>
      <w:pPr>
        <w:pStyle w:val="Fliesstext"/>
        <w:ind w:firstLine="283"/>
      </w:pPr>
      <w:r>
        <w:t>Nimmt man Amara ernst, folgt daraus etwas Unangenehmes für beide Lager. Die Euphoriker der Jahre 2023 bis 2025 haben mit Sicherheit zu viel für zu bald versprochen. Und die Enttäuschten, die daraus schließen, das Ganze sei überschätzt gewesen, machen im selben Moment den zweiten Fehler. Wie man Zukunftsaussagen liest, ohne in eine der beiden Fallen zu treten, ist das Thema von Kapitel neun.</w:t>
      </w:r>
    </w:p>
    <w:p>
      <w:pPr>
        <w:pStyle w:val="Zwischen"/>
      </w:pPr>
      <w:r>
        <w:t>Und der Kopf spielt mit</w:t>
      </w:r>
    </w:p>
    <w:p>
      <w:pPr>
        <w:pStyle w:val="Fliesstext"/>
      </w:pPr>
      <w:r>
        <w:t>Bleibt die Frage, warum ausgerechnet Neues diesen Reflex auslöst. Ich muss hier ehrlich sein: Für die kognitiven Mechanismen dahinter habe ich für dieses Buch keine belastbaren Belege recherchiert, und ich baue dir deshalb keine Erklärung aus Laborpsychologie, die ich nicht hinterlegen kann. Was ich stattdessen anbieten kann, ist eine Beobachtung, die sich aus den Werkzeugen dieses Kapitels ergibt, und die kennzeichne ich als das, was sie ist: meine Deutung.</w:t>
      </w:r>
    </w:p>
    <w:p>
      <w:pPr>
        <w:pStyle w:val="Fliesstext"/>
        <w:ind w:firstLine="283"/>
      </w:pPr>
      <w:r>
        <w:t>Alle drei Modelle beschreiben dieselbe Schieflage aus verschiedenen Richtungen. Bei Goode und Ben-Yehuda heißt sie Unverhältnismäßigkeit: Die Reaktion fällt größer aus als die Gefahr.[6] Bei Amara heißt sie kurzfristige Überschätzung.[11] Bei Collingridge steckt sie im Informationsproblem: Am Anfang wissen wir am wenigsten — und genau am Anfang ist das Gefühl am stärksten.[9] Ein Gefühl entsteht sofort, ein Urteil braucht Daten, und Daten brauchen Zeit. In der Lücke dazwischen lebt die Panik. Sie ist nicht Dummheit. Sie ist das, was passiert, wenn man reagieren muss, bevor man Bescheid weiß.</w:t>
      </w:r>
    </w:p>
    <w:p>
      <w:pPr>
        <w:pStyle w:val="Fliesstext"/>
        <w:ind w:firstLine="283"/>
      </w:pPr>
      <w:r>
        <w:t>Was mich an Orbens Befund am meisten beschäftigt, ist die Folgerung daraus.[8] Wenn diese Lücke immer entsteht, dann kann man sie nicht dadurch schließen, dass man den Menschen mehr Gelassenheit predigt. Man schließt sie, indem man den Umgang mit der Lücke zur Fähigkeit macht: wissen, dass sie da ist, wissen, wie lange sie ungefähr dauert, und in dieser Zeit weder alles glauben noch alles abtun.</w:t>
      </w:r>
    </w:p>
    <w:p>
      <w:pPr>
        <w:pStyle w:val="Zwischen"/>
      </w:pPr>
      <w:r>
        <w:t>Der Punkt, an dem es schwierig wird</w:t>
      </w:r>
    </w:p>
    <w:p>
      <w:pPr>
        <w:pStyle w:val="Fliesstext"/>
      </w:pPr>
      <w:r>
        <w:t>Damit ist Teil I zu Ende, und du hast jetzt alles, was du brauchst, um den Reflex zu erkennen. Bei Trithemius, bei der Eisenbahn, beim Telefon, bei den Ludditen — und auch bei dir selbst, wenn das nächste Mal eine Schlagzeile in dir etwas zusammenzieht.</w:t>
      </w:r>
    </w:p>
    <w:p>
      <w:pPr>
        <w:pStyle w:val="Fliesstext"/>
        <w:ind w:firstLine="283"/>
      </w:pPr>
      <w:r>
        <w:t>Nur ist das genau der Moment, in dem dieses Buch gefährlich werden könnte.</w:t>
      </w:r>
    </w:p>
    <w:p>
      <w:pPr>
        <w:pStyle w:val="Fliesstext"/>
        <w:ind w:firstLine="283"/>
      </w:pPr>
      <w:r>
        <w:t>Denn wenn du das Muster einmal kennst, ist die Versuchung groß, es auf alles zu legen und fertig zu sein. Jemand äußert eine Sorge über KI, du erkennst Cohens Raster, ordnest sie als Panik ein, hakst ab. Das wäre bequem, es würde dich sogar klug aussehen lassen, und es wäre in etwa so vernünftig wie ein Rauchmelder, den man abklemmt, weil er beim Kochen schon mal grundlos anschlägt.</w:t>
      </w:r>
    </w:p>
    <w:p>
      <w:pPr>
        <w:pStyle w:val="Fliesstext"/>
        <w:ind w:firstLine="283"/>
      </w:pPr>
      <w:r>
        <w:t>Es kommt hinzu, dass dieses Werkzeug bereits in Gebrauch ist, und nicht immer in guten Händen. „Das ist doch nur die übliche Panik" ist ein Satz, den heute jeder sagen kann, der eine Debatte beenden will, ohne sie zu führen. Er hat dieselbe Bauart wie „da sitzen ein paar Maschinenstürmer": eine Zuschreibung, die den anderen aus dem Gespräch nimmt, statt ihm zu antworten. Wenn du aus diesem Kapitel nur ein Argument mitnimmst, mit dem du künftig Sorgen wegwischst, dann habe ich dir ein besseres Wort für Ludditen beigebracht und sonst nichts.</w:t>
      </w:r>
    </w:p>
    <w:p>
      <w:pPr>
        <w:pStyle w:val="Fliesstext"/>
        <w:ind w:firstLine="283"/>
      </w:pPr>
      <w:r>
        <w:t>Die Ludditen hatten in der Sache recht. Ihre Löhne fielen wirklich, ihr Handwerk wurde wirklich entwertet, die billige Massenware kam wirklich. Sie haben den Konflikt verloren, aber sie haben ihn nicht erfunden. Erasmus hatte recht mit der Bücherflut. Und im nächsten Kapitel wirst du sehen, dass auch bei Taschenrechner, Kamera und Internet mindestens eine Sorge dabei war, die genau ins Schwarze traf.</w:t>
      </w:r>
    </w:p>
    <w:p>
      <w:pPr>
        <w:pStyle w:val="Fliesstext"/>
        <w:ind w:firstLine="283"/>
      </w:pPr>
      <w:r>
        <w:t>Die eigentliche Frage dieses Buches beginnt also erst jetzt, und sie lautet nicht: Wiederholt sich die Angst? Das weißt du inzwischen, sie tut es, mit ermüdender Regelmäßigkeit. Sie lautet: Wie erkennt man die Fälle, in denen sie recht hat?</w:t>
      </w:r>
    </w:p>
    <w:p>
      <w:pPr>
        <w:pStyle w:val="Fliesstext"/>
        <w:ind w:firstLine="283"/>
      </w:pPr>
      <w:r>
        <w:t>Dafür braucht es kein Muster mehr, sondern ein Prüfverfahren. Das bauen wir uns im nächsten Kapitel, und wir fangen mit einem Gerät an, das heute in jeder Schultasche liegt und vor fünfzig Jahren als Ende des Rechnenkönnens galt.</w:t>
      </w:r>
    </w:p>
    <w:p>
      <w:r>
        <w:br w:type="page"/>
      </w:r>
    </w:p>
    <w:p>
      <w:pPr>
        <w:pStyle w:val="Fliesstext"/>
      </w:pPr>
    </w:p>
    <w:p>
      <w:pPr>
        <w:pStyle w:val="Fliesstext"/>
      </w:pPr>
    </w:p>
    <w:p>
      <w:pPr>
        <w:pStyle w:val="Fliesstext"/>
      </w:pPr>
    </w:p>
    <w:p>
      <w:pPr>
        <w:pStyle w:val="Fliesstext"/>
      </w:pPr>
    </w:p>
    <w:p>
      <w:pPr>
        <w:pStyle w:val="Fliesstext"/>
      </w:pPr>
    </w:p>
    <w:p>
      <w:pPr>
        <w:pStyle w:val="Fliesstext"/>
      </w:pPr>
    </w:p>
    <w:p>
      <w:pPr>
        <w:pStyle w:val="TeilLabel"/>
      </w:pPr>
      <w:r>
        <w:t>TEIL II</w:t>
      </w:r>
    </w:p>
    <w:p>
      <w:pPr>
        <w:pStyle w:val="TeilTitel"/>
      </w:pPr>
      <w:r>
        <w:t>Die ehrliche Bilanz: Was KI wirklich kann (und kostet)</w:t>
      </w:r>
    </w:p>
    <w:p>
      <w:r>
        <w:br w:type="page"/>
      </w:r>
    </w:p>
    <w:p>
      <w:pPr>
        <w:pStyle w:val="KapitelNummer"/>
      </w:pPr>
      <w:r>
        <w:rPr>
          <w:i/>
        </w:rPr>
        <w:t>Kapitel 5</w:t>
      </w:r>
    </w:p>
    <w:p>
      <w:pPr>
        <w:pStyle w:val="KapitelTitel"/>
      </w:pPr>
      <w:r>
        <w:t>Der Taschenrechner-Moment</w:t>
      </w:r>
    </w:p>
    <w:p>
      <w:pPr>
        <w:pStyle w:val="Fliesstext"/>
      </w:pPr>
      <w:r>
        <w:t>In meinem Berufsalltag höre ich sehr oft, warum eine Automatisierung nicht funktionieren wird. Das gehört dazu, das ist auch gut so, und ich habe mir angewöhnt, den Einwänden zuzuhören, bevor ich sie einsortiere. Zwei davon sind mir im Gedächtnis geblieben, weil sie in derselben Woche fielen.</w:t>
      </w:r>
    </w:p>
    <w:p>
      <w:pPr>
        <w:pStyle w:val="Fliesstext"/>
        <w:ind w:firstLine="283"/>
      </w:pPr>
      <w:r>
        <w:t>Der erste kam aus einem Fachbereich, in dem wir eine Datenübernahme automatisieren sollten. Ein Kollege sagte, das könne nicht klappen, dafür sei sein Prozess viel zu komplex, das habe hier noch nie jemand verstanden. Das war keine Analyse, das war ein Bauchgefühl in Argumentform. Der Bot lief nach ein paar Wochen, und der Kollege gehörte irgendwann zu denen, die neue Ideen einreichten.</w:t>
      </w:r>
    </w:p>
    <w:p>
      <w:pPr>
        <w:pStyle w:val="Fliesstext"/>
        <w:ind w:firstLine="283"/>
      </w:pPr>
      <w:r>
        <w:t>Der zweite Einwand kam von einer Kollegin aus einem ganz anderen Bereich, und er lautete ungefähr: Wenn der Bot die Prüfung übernimmt, schaut ab nächstem Monat niemand mehr auf die Zahlen. Und wenn dann jemand fragt, warum ein Fall so entschieden wurde, weiß es keiner mehr.</w:t>
      </w:r>
    </w:p>
    <w:p>
      <w:pPr>
        <w:pStyle w:val="Fliesstext"/>
        <w:ind w:firstLine="283"/>
      </w:pPr>
      <w:r>
        <w:t>Der erste Einwand war Unsinn. Der zweite war exakt richtig. Er ist übrigens bei uns eingetreten, in abgeschwächter Form, und wir haben Monate damit verbracht, das wieder geradezuziehen.</w:t>
      </w:r>
    </w:p>
    <w:p>
      <w:pPr>
        <w:pStyle w:val="Fliesstext"/>
        <w:ind w:firstLine="283"/>
      </w:pPr>
      <w:r>
        <w:t>Beide Sätze fielen im selben Tonfall, in ähnlichen Meetings, von Leuten mit vergleichbarer Erfahrung. Von außen sahen sie gleich aus. Ein Verfahren, um sie auseinanderzuhalten, hätte mir damals eine Menge Arbeit gespart.</w:t>
      </w:r>
    </w:p>
    <w:p>
      <w:pPr>
        <w:pStyle w:val="Fliesstext"/>
        <w:ind w:firstLine="283"/>
      </w:pPr>
      <w:r>
        <w:t>Ich erzähle das, weil ich dich in den letzten Kapiteln durch eine ziemlich einseitige Beweisführung geführt habe. Trithemius irrte sich. Die bayerische Ärztewarnung gab es vermutlich nie. Das Telefon hat die Familie nicht zerstört, das Fernsehen die Kinder nicht verblödet. Wenn ich jetzt so weitermachen würde, hättest du am Ende des Buches ein sehr angenehmes Gefühl und keinerlei Urteilsvermögen. Du hättest gelernt: Technikangst ist immer übertrieben. Und das ist falsch.</w:t>
      </w:r>
    </w:p>
    <w:p>
      <w:pPr>
        <w:pStyle w:val="Fliesstext"/>
        <w:ind w:firstLine="283"/>
      </w:pPr>
      <w:r>
        <w:t>Hier dreht das Buch. Von jetzt an schauen wir uns die Fälle an, in denen die Angst recht hatte — und den einen Fall, der wichtiger ist als alle anderen, weil er weder das eine noch das andere war.</w:t>
      </w:r>
    </w:p>
    <w:p>
      <w:pPr>
        <w:pStyle w:val="Zwischen"/>
      </w:pPr>
      <w:r>
        <w:t>Ein Klassenzimmer, ungefähr 1975</w:t>
      </w:r>
    </w:p>
    <w:p>
      <w:pPr>
        <w:pStyle w:val="Fliesstext"/>
      </w:pPr>
      <w:r>
        <w:t>Ich war nicht dabei, dafür bin ich zu jung. Aber die Argumente, die in diesen Jahren in Lehrerzimmern und auf Elternabenden fielen, sind dokumentiert, und man kann sich die Szene daraus zusammensetzen. Ich mache das ausdrücklich als Rekonstruktion, nicht als Protokoll.</w:t>
      </w:r>
    </w:p>
    <w:p>
      <w:pPr>
        <w:pStyle w:val="Fliesstext"/>
        <w:ind w:firstLine="283"/>
      </w:pPr>
      <w:r>
        <w:t>Also: eine Mathematiklehrerin, seit achtzehn Jahren im Dienst, steht vor einer Klasse, in der drei Schüler ein Gerät auf dem Tisch liegen haben, das ihr Vater aus dem Kaufhaus mitgebracht hat. Es kostet weniger als ein guter Füller und kann, was sie diesen Kindern in zwei Jahren beigebracht hat, fehlerfrei in einer Zwanzigstelsekunde.</w:t>
      </w:r>
    </w:p>
    <w:p>
      <w:pPr>
        <w:pStyle w:val="Fliesstext"/>
        <w:ind w:firstLine="283"/>
      </w:pPr>
      <w:r>
        <w:t>Sie sagt nicht: Ich habe Angst vor dem Fortschritt. Das sagt nie jemand. Sie sagt: Wenn der Junge da hinten sich beim Eintippen vertut, merkt er es nicht. Ein Kind, das im Kopf überschlägt, weiß ungefähr, wo die Antwort liegen muss. Ein Kind, das nur tippt, weiß gar nichts. Es glaubt.</w:t>
      </w:r>
    </w:p>
    <w:p>
      <w:pPr>
        <w:pStyle w:val="Fliesstext"/>
        <w:ind w:firstLine="283"/>
      </w:pPr>
      <w:r>
        <w:t>Das ist das Kernargument der Kritiker gewesen, und es war nicht das dümmste, sondern das beste: Wer selbst nicht mehr rechnen kann, kann auch nicht mehr beurteilen, ob das, was auf dem Display steht, überhaupt plausibel ist.[1][2]</w:t>
      </w:r>
    </w:p>
    <w:p>
      <w:pPr>
        <w:pStyle w:val="Fliesstext"/>
        <w:ind w:firstLine="283"/>
      </w:pPr>
      <w:r>
        <w:t>Merk dir dieses Argument. Es ist dasselbe, das heute gegen KI-Assistenten vorgebracht wird, und es ist immer noch das beste. Wenn dir ein Sprachmodell eine Zahl oder eine Quellenangabe liefert, brauchst du genug eigenes Wissen, um zu merken, wenn sie erfunden ist. Das ist keine Technikfeindlichkeit, sondern die Beschreibung einer Voraussetzung.</w:t>
      </w:r>
    </w:p>
    <w:p>
      <w:pPr>
        <w:pStyle w:val="Fliesstext"/>
        <w:ind w:firstLine="283"/>
      </w:pPr>
      <w:r>
        <w:t>Getragen wurde die Sorge nach der historischen Aufarbeitung von einer „überwältigenden Mehrheit" von Lehrkräften, Eltern und Bildungsakteuren.[1] Das war kein Randphänomen. In den USA bündelte sich der Widerstand unter anderem in einer Demonstration auf der Jahrestagung der Mathematiklehrerorganisation NCTM im Jahr 1986, angeführt vom Schulbuchautor John Saxon.[1] Im deutschsprachigen Raum ist über eine Sekundärquelle eine Zeitungsmeldung von 1976 überliefert, nach der hohe Beamte des österreichischen Unterrichtsministeriums dem Taschenrechner den Krieg erklärt und vor einem „Rechen-Analphabetismus" gewarnt hätten.[3] Der Begriff ist schön, und er hat exakt die Tonlage, die du heute in Kommentarspalten unter jedem Artikel über ChatGPT in der Schule findest.</w:t>
      </w:r>
    </w:p>
    <w:p>
      <w:pPr>
        <w:pStyle w:val="Fliesstext"/>
        <w:ind w:firstLine="283"/>
      </w:pPr>
      <w:r>
        <w:t>Die Bildungspolitik schloss sich der Verbotsfront nicht an. Schon 1975 empfahl ein nationales Beratungsgremium in den USA, Schülerinnen und Schülern ab der achten Klasse in allen Arbeiten und Prüfungen Zugang zu Rechnern zu geben; 1980 empfahl die NCTM in ihrer „Agenda for Action" den Einsatz von Rechnern und Computern auf allen Klassenstufen und plädierte dafür, den Begriff der Grundfertigkeiten weiter zu fassen als bloßes Ausrechnen.[1] In Deutschland lief die Entwicklung später auf entsprechende Empfehlungen der Kultusministerkonferenz hinaus.[3]</w:t>
      </w:r>
    </w:p>
    <w:p>
      <w:pPr>
        <w:pStyle w:val="Fliesstext"/>
        <w:ind w:firstLine="283"/>
      </w:pPr>
      <w:r>
        <w:t>Beachte die Reihenfolge. Die Empfehlung kam 1975, die Protestdemonstration 1986. Es war nicht erst Widerstand und dann Vernunft; beides lief elf Jahre lang nebeneinander her. Die Lehrerin aus meiner Rekonstruktion musste in dieser Zeit unterrichten, ohne zu wissen, wer recht behalten würde.</w:t>
      </w:r>
    </w:p>
    <w:p>
      <w:pPr>
        <w:pStyle w:val="Zwischen"/>
      </w:pPr>
      <w:r>
        <w:t>Die Klasse-4-Ausnahme</w:t>
      </w:r>
    </w:p>
    <w:p>
      <w:pPr>
        <w:pStyle w:val="Fliesstext"/>
      </w:pPr>
      <w:r>
        <w:t>Und dann kommt die Stelle, wegen der dieses Kapitel so heißt, wie es heißt.</w:t>
      </w:r>
    </w:p>
    <w:p>
      <w:pPr>
        <w:pStyle w:val="Fliesstext"/>
        <w:ind w:firstLine="283"/>
      </w:pPr>
      <w:r>
        <w:t xml:space="preserve">1986 erschien im </w:t>
      </w:r>
      <w:r>
        <w:rPr>
          <w:i/>
        </w:rPr>
        <w:t>Journal for Research in Mathematics Education</w:t>
      </w:r>
      <w:r>
        <w:t xml:space="preserve"> eine Meta-Analyse von Ray Hembree und Donald Dessart, die 79 Einzelstudien zusammenführte.[4] Das Ergebnis war für die Warner eine schlechte Nachricht: Auf fast allen Klassenstufen verbesserte der Rechnereinsatz, wenn er zusätzlich zum klassischen Unterricht erfolgte, im Schnitt sogar die Fertigkeiten mit Papier und Bleistift — beim Rechnen wie beim Problemlösen — und obendrein die Einstellung der Schüler zur Mathematik. Das Kopfrechnen starb nicht aus. Es ging ihm eher besser.</w:t>
      </w:r>
    </w:p>
    <w:p>
      <w:pPr>
        <w:pStyle w:val="Fliesstext"/>
        <w:ind w:firstLine="283"/>
      </w:pPr>
      <w:r>
        <w:t>Mit einer Ausnahme. In der vierten Klasse schien anhaltender Rechnergebrauch die Entwicklung der Grundfertigkeiten beim durchschnittlichen Schüler zu behindern.[4] Spätere Arbeiten, etwa die Meta-Analyse von Ellington aus dem Jahr 2003, bestätigen das Gesamtbild eines neutralen bis positiven Effekts — unter der Bedingung, dass der Rechner ergänzend und didaktisch eingebettet eingesetzt wird.[5]</w:t>
      </w:r>
    </w:p>
    <w:p>
      <w:pPr>
        <w:pStyle w:val="Fliesstext"/>
        <w:ind w:firstLine="283"/>
      </w:pPr>
      <w:r>
        <w:t>Lies die letzten beiden Absätze noch einmal nebeneinander, denn zusammen ergeben sie etwas, das ein einzelner Absatz nie ergeben könnte.</w:t>
      </w:r>
    </w:p>
    <w:p>
      <w:pPr>
        <w:pStyle w:val="Fliesstext"/>
        <w:ind w:firstLine="283"/>
      </w:pPr>
      <w:r>
        <w:t xml:space="preserve">Die Angst vor dem Taschenrechner war nicht falsch. Sie war auch nicht richtig. Sie war </w:t>
      </w:r>
      <w:r>
        <w:rPr>
          <w:b/>
        </w:rPr>
        <w:t>unpräzise</w:t>
      </w:r>
      <w:r>
        <w:t>. Sie behauptete: Das Gerät zerstört die Fähigkeit. Wahr war: Das Gerät zerstört die Fähigkeit bei einer bestimmten Gruppe, in einer bestimmten Phase, unter bestimmten Bedingungen — nämlich dann, wenn die Grundfertigkeit noch nicht sitzt und das Werkzeug sie nicht ergänzt, sondern ersetzt. Nicht das Ob entschied, sondern das Wann und das Wie.</w:t>
      </w:r>
    </w:p>
    <w:p>
      <w:pPr>
        <w:pStyle w:val="Fliesstext"/>
        <w:ind w:firstLine="283"/>
      </w:pPr>
      <w:r>
        <w:t>Das ist ein Unterschied, der in einer Talkshow keine drei Sekunden überlebt und trotzdem der ganze Punkt ist. Denn beide Lager haben aus dieser Geschichte das Falsche gelernt. Die eine Seite sagt bis heute „Beim Taschenrechner hieß es auch, wir verlernen alles, und schau, nichts ist passiert" und wischt damit eine reale Einschränkung weg. Die andere Seite sagt „Seht ihr, es gab Schäden" und unterschlägt, dass der Gesamteffekt positiv war. Beide zitieren dieselbe Studie. Beide lesen nur ihren halben Satz.</w:t>
      </w:r>
    </w:p>
    <w:p>
      <w:pPr>
        <w:pStyle w:val="Fliesstext"/>
        <w:ind w:firstLine="283"/>
      </w:pPr>
      <w:r>
        <w:t>Und die Lehrerin von 1975? Für ihre Zehntklässler lag sie daneben. Für die vierte Klasse im Stockwerk darunter hatte sie den Finger genau auf der richtigen Stelle. Nur konnte das damals niemand wissen, sie eingeschlossen — die Auflösung kam elf Jahre nach dem Streit.</w:t>
      </w:r>
    </w:p>
    <w:p>
      <w:pPr>
        <w:pStyle w:val="Zwischen"/>
      </w:pPr>
      <w:r>
        <w:t>Ein Viertel bis die Hälfte</w:t>
      </w:r>
    </w:p>
    <w:p>
      <w:pPr>
        <w:pStyle w:val="Fliesstext"/>
      </w:pPr>
      <w:r>
        <w:t>Ein Zwischenfall, der selten erzählt wird, weil er unspektakulär ausging — und der trotzdem zeigt, wie eine Technikangst aussieht, die einfach nur verschwindet.</w:t>
      </w:r>
    </w:p>
    <w:p>
      <w:pPr>
        <w:pStyle w:val="Fliesstext"/>
        <w:ind w:firstLine="283"/>
      </w:pPr>
      <w:r>
        <w:t>Als in den achtziger Jahren die Computer in Büros, Behörden und Schulen kamen, entstand neben der großen Rationalisierungsdebatte eine ganz kleine, private Angst: die vor dem Gerät auf dem eigenen Tisch. Die Forschung nahm sie ernst genug, um sie zu benennen. Die ersten wissenschaftlichen Arbeiten zur „computer anxiety" erschienen Anfang der achtziger Jahre; Rosen und Weil ordneten sie 1990 in den breiteren Rahmen der Technophobie ein.[6] Die Prävalenzzahlen sind das Bemerkenswerte daran: In praktisch jeder getesteten Gruppe — Polizistinnen, Lehrkräfte, Büroangestellte, Studierende, Schulkinder — berichtete rund ein Viertel bis die Hälfte ein gewisses Maß an Angst vor Informationstechnik.[6]</w:t>
      </w:r>
    </w:p>
    <w:p>
      <w:pPr>
        <w:pStyle w:val="Fliesstext"/>
        <w:ind w:firstLine="283"/>
      </w:pPr>
      <w:r>
        <w:t>Ein Viertel bis die Hälfte. Das ist keine Randgruppe von Technikverweigerern, das ist ein Querschnitt der arbeitenden Bevölkerung. Und es hat sich aufgelöst, ohne dass jemand ein Programm dagegen aufgelegt hätte. Die Angst nahm mit Verbreitung und Erfahrung ab; wer mehr benutzte, hatte weniger davon.[6]</w:t>
      </w:r>
    </w:p>
    <w:p>
      <w:pPr>
        <w:pStyle w:val="Fliesstext"/>
        <w:ind w:firstLine="283"/>
      </w:pPr>
      <w:r>
        <w:t>Nur steckt in genau diesem Satz eine Falle, und Rosen und Weil haben sie 1995 selbst gefunden. Sie untersuchten Schulen in Südkalifornien, in denen Computer vorhanden waren, und stellten fest, dass viele Lehrkräfte sie schlicht nicht benutzten — und dass ausgerechnet die, die weniger nutzten, die höhere Computerangst hatten.[6] Der Zusammenhang läuft also in einem Kreis. Erfahrung baut die Angst ab, und die Angst verhindert die Erfahrung. Wer nicht anfängt, kommt nie an den Punkt, an dem es besser wird.</w:t>
      </w:r>
    </w:p>
    <w:p>
      <w:pPr>
        <w:pStyle w:val="Fliesstext"/>
        <w:ind w:firstLine="283"/>
      </w:pPr>
      <w:r>
        <w:t>Hinzu kam ein Verstärker von außen. Die zeithistorische Forschung beschreibt, wie die Medien dieser Jahre die Computerängste nicht nur abbildeten, sondern aufluden; „Automation" löste „Sorgen, Ängste, ja Furcht" aus, und „wegrationalisiert" wurde zum Schlagwort des Jahrzehnts.[7]</w:t>
      </w:r>
    </w:p>
    <w:p>
      <w:pPr>
        <w:pStyle w:val="Fliesstext"/>
        <w:ind w:firstLine="283"/>
      </w:pPr>
      <w:r>
        <w:t>Dieser Kreis ist der Teil, der mir im Berufsalltag praktisch täglich begegnet. Wenn ich zwei Wochen lang jemandem über die Schulter schaue, während er das neue Werkzeug selbst bedient, ist die Angst am Ende weg. Wenn ich stattdessen eine Schulung mit vierzig Leuten und sechzig Folien mache, ist sie hinterher genauso groß wie vorher, nur höflicher. Das ist keine Studie, das ist meine Erfahrung — sie deckt sich nur verdächtig gut mit dem, was Rosen und Weil an kalifornischen Schulen gemessen haben.</w:t>
      </w:r>
    </w:p>
    <w:p>
      <w:pPr>
        <w:pStyle w:val="Fliesstext"/>
        <w:ind w:firstLine="283"/>
      </w:pPr>
      <w:r>
        <w:t>Die Computerangst gehört damit in eine eigene Kategorie: real, breit verbreitet, messbar — und beendet nicht durch Verbot, Gegenkampagne oder Aufklärung, sondern durch die eigene Hand auf der eigenen Tastatur.</w:t>
      </w:r>
    </w:p>
    <w:p>
      <w:pPr>
        <w:pStyle w:val="Zwischen"/>
      </w:pPr>
      <w:r>
        <w:t>Ein sehr kluger Mann liegt sehr falsch</w:t>
      </w:r>
    </w:p>
    <w:p>
      <w:pPr>
        <w:pStyle w:val="Fliesstext"/>
      </w:pPr>
      <w:r>
        <w:t xml:space="preserve">Am 26. Februar 1995 erschien in </w:t>
      </w:r>
      <w:r>
        <w:rPr>
          <w:i/>
        </w:rPr>
        <w:t>Newsweek</w:t>
      </w:r>
      <w:r>
        <w:t xml:space="preserve"> ein Artikel unter der Überschrift „Why the Web Won't Be Nirvana". Geschrieben hatte ihn Clifford Stoll, Astronom, früher Internet-Insider, ein Mann, der das Netz kannte, lange bevor es Mode war. Wenn 1995 irgendjemand qualifiziert war, über die Zukunft des Internets zu urteilen, dann er.</w:t>
      </w:r>
    </w:p>
    <w:p>
      <w:pPr>
        <w:pStyle w:val="Fliesstext"/>
        <w:ind w:firstLine="283"/>
      </w:pPr>
      <w:r>
        <w:t>Sein Kernsatz lautet:[8]</w:t>
      </w:r>
    </w:p>
    <w:p>
      <w:pPr>
        <w:pStyle w:val="Fliesstext"/>
        <w:spacing w:before="120" w:after="120"/>
        <w:ind w:left="454"/>
      </w:pPr>
      <w:r>
        <w:rPr>
          <w:i/>
        </w:rPr>
        <w:t>„The truth is no online database will replace your daily newspaper, no CD-ROM can take the place of a competent teacher and no computer network will change the way government works."</w:t>
      </w:r>
    </w:p>
    <w:p>
      <w:pPr>
        <w:pStyle w:val="Fliesstext"/>
      </w:pPr>
      <w:r>
        <w:t xml:space="preserve">Er spottete außerdem über die Vorstellung, „cyberbusiness" könne dem lokalen Einkaufszentrum Konkurrenz machen, oder man werde eines Tages Flugtickets buchen, Restauranttische reservieren und Kaufverträge über das Netz abwickeln. Sein Urteil dazu: „Baloney." Quatsch.[8] Der Artikel begleitete sein Buch </w:t>
      </w:r>
      <w:r>
        <w:rPr>
          <w:i/>
        </w:rPr>
        <w:t>Silicon Snake Oil</w:t>
      </w:r>
      <w:r>
        <w:t>, das im selben Jahr erschien.[8]</w:t>
      </w:r>
    </w:p>
    <w:p>
      <w:pPr>
        <w:pStyle w:val="Fliesstext"/>
        <w:ind w:firstLine="283"/>
      </w:pPr>
      <w:r>
        <w:t xml:space="preserve">Der Artikel gilt heute als die berühmteste Fehlprognose der Internetgeschichte, und es gehört zum guten Ton, sich darüber lustig zu machen. </w:t>
      </w:r>
      <w:r>
        <w:rPr>
          <w:i/>
        </w:rPr>
        <w:t>Newsweek</w:t>
      </w:r>
      <w:r>
        <w:t xml:space="preserve"> selbst stellte 2012 die Printausgabe ein und ging online, was die Sache nicht besser macht. Stoll hat sich später selbst dazu bekannt und geschrieben, unter seinen vielen Fehlern, Patzern und Böcken seien wenige so öffentlich gewesen wie sein Bock von 1995.[8]</w:t>
      </w:r>
    </w:p>
    <w:p>
      <w:pPr>
        <w:pStyle w:val="Fliesstext"/>
        <w:ind w:firstLine="283"/>
      </w:pPr>
      <w:r>
        <w:t>Trotzdem finde ich, dass man diesen Fall falsch erzählt, wenn man nur lacht — und ich habe eine praktische Begründung dafür, keine höfliche.</w:t>
      </w:r>
    </w:p>
    <w:p>
      <w:pPr>
        <w:pStyle w:val="Fliesstext"/>
        <w:ind w:firstLine="283"/>
      </w:pPr>
      <w:r>
        <w:t>Setz dich einen Moment an seinen Schreibtisch. Auch das ist Rekonstruktion, aber die Zutaten sind belegt. Das Modem pfeift und rauscht eine halbe Minute lang, bevor überhaupt etwas passiert. Eine Seite mit einem einzigen Bild baut sich von oben nach unten auf, Zeile für Zeile, und du siehst dabei zu. Die Suche nach einer konkreten Information dauert länger als der Weg in die Stadtbibliothek. Wer in diesem Moment behauptet hätte, in fünfzehn Jahren werde ein erheblicher Teil des Welthandels über dieses Ding laufen, hätte nicht klug gewirkt, sondern verwirrt.</w:t>
      </w:r>
    </w:p>
    <w:p>
      <w:pPr>
        <w:pStyle w:val="Fliesstext"/>
        <w:ind w:firstLine="283"/>
      </w:pPr>
      <w:r>
        <w:t>Stoll hat nichts Dummes getan. Er hat den damaligen Stand hochgerechnet. Sein Fehler war nicht mangelnde Sachkenntnis, sondern ein Denkfehler in der Zeitachse: Er verlängerte die Gegenwart in die Zukunft und unterschätzte, was passiert, wenn eine Technik zehn Jahre lang jedes Jahr ein Stück billiger, schneller und verbreiteter wird. Wer nah an einer Technik sitzt, sieht ihre Mängel am schärfsten — ein Vorteil beim Beschreiben, ein Nachteil beim Vorhersagen.</w:t>
      </w:r>
    </w:p>
    <w:p>
      <w:pPr>
        <w:pStyle w:val="Fliesstext"/>
        <w:ind w:firstLine="283"/>
      </w:pPr>
      <w:r>
        <w:t>Das ist keine Marotte von 1995. Denselben Fehler machen heute beide Lager der KI-Debatte, nur in entgegengesetzte Richtungen. Die eine Seite zeigt auf eine erfundene Quellenangabe eines Chatbots und schließt daraus, dass das alles nie funktionieren wird — Gegenwart hochgerechnet. Die andere zeigt auf den Sprung der letzten zwei Jahre und schließt daraus, dass in fünf Jahren alles gelöst sei — auch Gegenwart hochgerechnet, nur mit anderem Vorzeichen. Wie man solche Aussagen liest, nehmen wir uns im neunten Kapitel vor. Für hier reicht die Lehre aus Stoll: Eine Prognose kann von einem klugen, informierten, ehrlichen Menschen stammen und trotzdem krachend danebenliegen. Prüfe nie den Absender. Prüfe die Annahme über die Zeit.</w:t>
      </w:r>
    </w:p>
    <w:p>
      <w:pPr>
        <w:pStyle w:val="Zwischen"/>
      </w:pPr>
      <w:r>
        <w:t>Drei Ängste vor dem Internet, drei verschiedene Ausgänge</w:t>
      </w:r>
    </w:p>
    <w:p>
      <w:pPr>
        <w:pStyle w:val="Fliesstext"/>
      </w:pPr>
      <w:r>
        <w:t>Stoll ist der Fall, den alle kennen, weil er so schön eindeutig ist. Die drei anderen großen Internetängste der neunziger Jahre sind lehrreicher, weil sie nicht eindeutig ausgingen — jede auf ihre eigene Art.</w:t>
      </w:r>
    </w:p>
    <w:p>
      <w:pPr>
        <w:pStyle w:val="Fliesstext"/>
        <w:ind w:firstLine="283"/>
      </w:pPr>
      <w:r>
        <w:rPr>
          <w:b/>
        </w:rPr>
        <w:t>Erstens die Vereinsamung.</w:t>
      </w:r>
      <w:r>
        <w:t xml:space="preserve"> 1998 erschien im </w:t>
      </w:r>
      <w:r>
        <w:rPr>
          <w:i/>
        </w:rPr>
        <w:t>American Psychologist</w:t>
      </w:r>
      <w:r>
        <w:t xml:space="preserve"> die HomeNet-Studie von Robert Kraut und Kollegen, die 93 Haushalte durch ihre ersten zwölf bis achtzehn Monate im Netz begleitet hatten. Der Befund: Wer das Internet mehr nutzte, wurde tendenziell einsamer, sozial weniger eingebunden und depressiver.[9] Die Autoren nannten das „Internet-Paradox" — ein soziales Medium, das offenbar das Gegenteil bewirkte. Das war kein Kommentar und keine Vermutung, sondern eine Längsschnittstudie in einer der wichtigsten Zeitschriften des Fachs, und sie bestätigte genau die Sorge, über die man sich damals lustig machte.</w:t>
      </w:r>
    </w:p>
    <w:p>
      <w:pPr>
        <w:pStyle w:val="Fliesstext"/>
        <w:ind w:firstLine="283"/>
      </w:pPr>
      <w:r>
        <w:t>Dann kam 2002 die Folgestudie derselben Gruppe, „Internet Paradox Revisited". Die negativen Effekte fanden sich vor allem früh, in der Anfangszeit der Online-Nutzung. Später überwogen die positiven Wirkungen: größerer sozialer Kreis, mehr Vertrauen, mehr positives Erleben. Die Effekte waren temporär und hingen von Persönlichkeit und sozialer Unterstützung ab.[9]</w:t>
      </w:r>
    </w:p>
    <w:p>
      <w:pPr>
        <w:pStyle w:val="Fliesstext"/>
        <w:ind w:firstLine="283"/>
      </w:pPr>
      <w:r>
        <w:t>Halte das neben die vierte Klasse. Dieselbe Struktur, andere Achse: Beim Taschenrechner war die Bedingung das Alter, hier ist es die Phase. Eine Angst kann für das erste Jahr vollkommen berechtigt sein und für das dritte vollkommen unbegründet. Wer nur die Studie von 1998 kennt, warnt sein Leben lang. Wer nur die von 2002 kennt, hat nie verstanden, warum die Leute besorgt waren.</w:t>
      </w:r>
    </w:p>
    <w:p>
      <w:pPr>
        <w:pStyle w:val="Fliesstext"/>
        <w:ind w:firstLine="283"/>
      </w:pPr>
      <w:r>
        <w:rPr>
          <w:b/>
        </w:rPr>
        <w:t>Zweitens der Jugendschutz.</w:t>
      </w:r>
      <w:r>
        <w:t xml:space="preserve"> Die USA versuchten es 1996 mit dem Gesetz. Der Communications Decency Act stellte „unanständige" und „offenkundig anstößige" Online-Inhalte mit Blick auf Minderjährige unter Strafe, angedroht waren bis zu zwei Jahre Haft und 250.000 Dollar. Der Supreme Court erklärte die Anti-Indecency-Bestimmungen 1997 in </w:t>
      </w:r>
      <w:r>
        <w:rPr>
          <w:i/>
        </w:rPr>
        <w:t>Reno v. ACLU</w:t>
      </w:r>
      <w:r>
        <w:t xml:space="preserve"> einstimmig für verfassungswidrig: zu vage, zu pauschal, ein Verstoß gegen den ersten Verfassungszusatz.[10]</w:t>
      </w:r>
    </w:p>
    <w:p>
      <w:pPr>
        <w:pStyle w:val="Fliesstext"/>
        <w:ind w:firstLine="283"/>
      </w:pPr>
      <w:r>
        <w:t>Einstimmig ist hier das interessante Wort. Die zugrunde liegende Sorge war nie bestritten worden und war auch nicht albern. Was scheiterte, war der Zuschnitt: Ein Gesetz, das „anstößig" nicht sauber definieren kann, verbietet am Ende alles Mögliche mit. Die Angst war berechtigt, das Werkzeug war es nicht. Merk dir das für das achte Kapitel — der häufigste Fehler bei KI-Regulierung ist nicht, dass reguliert wird, sondern dass zu unscharf reguliert wird.</w:t>
      </w:r>
    </w:p>
    <w:p>
      <w:pPr>
        <w:pStyle w:val="Fliesstext"/>
        <w:ind w:firstLine="283"/>
      </w:pPr>
      <w:r>
        <w:rPr>
          <w:b/>
        </w:rPr>
        <w:t>Drittens die Sucht.</w:t>
      </w:r>
      <w:r>
        <w:t xml:space="preserve"> Diese Geschichte ist die absurdeste. 1995 prägte der Psychiater Ivan Goldberg den Begriff „internet addiction disorder" — als Satire, eine Parodie auf die Diagnosekultur des psychiatrischen Handbuchs DSM, ein Witz unter Kollegen.[11]</w:t>
      </w:r>
    </w:p>
    <w:p>
      <w:pPr>
        <w:pStyle w:val="Fliesstext"/>
        <w:ind w:firstLine="283"/>
      </w:pPr>
      <w:r>
        <w:t>Der Witz wurde ernst genommen. Kimberly Young stellte 1996 auf einer Fachtagung erste Kriterien vor und adaptierte 1998 die DSM-IV-Kriterien für pathologisches Glücksspiel zu einem Fragebogen.[11] Ihre frühe Quote — 66 Prozent der Untersuchten seien abhängig — wurde scharf kritisiert und ist nicht haltbar; spätere Studien nennen eher sechs bis dreizehn Prozent problematische Nutzung, und auch diese Zahlen bleiben umstritten. Eine eigenständige Diagnose „Internetsucht" erkennt das DSM-5 bis heute nicht an; im Forschungsanhang steht lediglich „Internet Gaming Disorder".[11]</w:t>
      </w:r>
    </w:p>
    <w:p>
      <w:pPr>
        <w:pStyle w:val="Fliesstext"/>
        <w:ind w:firstLine="283"/>
      </w:pPr>
      <w:r>
        <w:t>Aus einer satirischen Geste ist ein ernstes, aber strittiges Forschungsfeld geworden. Ich finde das nicht komisch, sondern warnend. Ein Suchtbegriff hat rhetorisch enorme Wucht: Er verwandelt eine Verhaltensfrage in eine Krankheit, eine Diskussion in einen Notfall — und er wandert bemerkenswert leicht von der Pointe in die scheinbar harte Diagnostik. Wenn du das nächste Mal „KI-Sucht" liest, frag nach den Kriterien und danach, wer sie aufgestellt hat.</w:t>
      </w:r>
    </w:p>
    <w:p>
      <w:pPr>
        <w:pStyle w:val="Fliesstext"/>
        <w:ind w:firstLine="283"/>
      </w:pPr>
      <w:r>
        <w:t xml:space="preserve">Eine vierte Sorge lief nebenher und ist älter als das Netz: die Informationsüberflutung. Den Begriff „information overload" hat Alvin Toffler 1970 in </w:t>
      </w:r>
      <w:r>
        <w:rPr>
          <w:i/>
        </w:rPr>
        <w:t>Future Shock</w:t>
      </w:r>
      <w:r>
        <w:t xml:space="preserve"> populär gemacht, ein Vierteljahrhundert bevor irgendjemand ein Modem hatte; für das Internet wurde er einfach wiederverwendet.[12] Wir sind damit zurück bei Erasmus und seiner Klage über die Bücherflut. Manche Ängste warten geduldig auf die nächste Technik.</w:t>
      </w:r>
    </w:p>
    <w:p>
      <w:pPr>
        <w:pStyle w:val="Zwischen"/>
      </w:pPr>
      <w:r>
        <w:t>Die Angst, die recht hatte</w:t>
      </w:r>
    </w:p>
    <w:p>
      <w:pPr>
        <w:pStyle w:val="Fliesstext"/>
      </w:pPr>
      <w:r>
        <w:t>Und jetzt der Fall, der die Balance im Buch herstellt.</w:t>
      </w:r>
    </w:p>
    <w:p>
      <w:pPr>
        <w:pStyle w:val="Fliesstext"/>
        <w:ind w:firstLine="283"/>
      </w:pPr>
      <w:r>
        <w:t>1888 brachte George Eastman die Kodak Nr. 1 heraus. Eine Box-Kamera, ab Werk mit Film für hundert Aufnahmen geladen, für 25 Dollar, dazu der Slogan „You press the button, we do the rest" — man schickte die gesamte Kamera zur Entwicklung nach Rochester zurück.[13] Zum ersten Mal konnte eine bürgerliche Mittelschicht ohne Ausbildung, ohne Stativ, ohne Vorbereitung Momentaufnahmen machen. Und zwar überall.</w:t>
      </w:r>
    </w:p>
    <w:p>
      <w:pPr>
        <w:pStyle w:val="Fliesstext"/>
        <w:ind w:firstLine="283"/>
      </w:pPr>
      <w:r>
        <w:t>Überall ist das entscheidende Wort. Bis dahin war Fotografiertwerden ein verabredeter Vorgang: Man ging zum Fotografen, setzte sich hin, hielt still. Jetzt erfuhrst du davon erst, wenn das Bild irgendwo auftauchte.</w:t>
      </w:r>
    </w:p>
    <w:p>
      <w:pPr>
        <w:pStyle w:val="Fliesstext"/>
        <w:ind w:firstLine="283"/>
      </w:pPr>
      <w:r>
        <w:t xml:space="preserve">Die Reaktion kam prompt und war heftig. Es entstand ein Schmähbegriff für den neuen Plagegeist, der jeden per Knopfdruck festhalten konnte: der „Kodak fiend", der Kodak-Teufel. Zeitungen und Literatur griffen ihn auf, ein Gedicht von Joel Benton warnte 1894 vor ihm, die </w:t>
      </w:r>
      <w:r>
        <w:rPr>
          <w:i/>
        </w:rPr>
        <w:t>Hawaiian Gazette</w:t>
      </w:r>
      <w:r>
        <w:t xml:space="preserve"> warnte vor diesen Fotografen. In Seebädern tauchte der „camera fiend" auf, der Badende heimlich ablichtete; ein Aushang soll sinngemäß gelautet haben, es sei den Leuten verboten, ihre Kodaks am Strand zu benutzen. Zeitweise waren Kodaks am Washington Monument untersagt.[14] Diese Einzelanekdoten sind zeittypisch und nicht alle gleich gut gesichert; der Kern aber — Verbote, Empörung, ein neues Wort für die neue Zumutung — ist es.</w:t>
      </w:r>
    </w:p>
    <w:p>
      <w:pPr>
        <w:pStyle w:val="Fliesstext"/>
        <w:ind w:firstLine="283"/>
      </w:pPr>
      <w:r>
        <w:t>Nimm den Strandaushang einen Moment ernst, statt ihn drollig zu finden. Jemand musste ihn aufhängen, also hatte es Beschwerden gegeben — mutmaßlich von Frauen im Badeanzug, die feststellten, dass ein fremder Mann mit einer Holzkiste in der Hand am Rand stand und auf den richtigen Moment wartete. Es gab kein Wort für das, was er tat, und keinen Paragrafen dagegen. Es gab einen Aushang und die Hoffnung, dass er sich daran hält.</w:t>
      </w:r>
    </w:p>
    <w:p>
      <w:pPr>
        <w:pStyle w:val="Fliesstext"/>
        <w:ind w:firstLine="283"/>
      </w:pPr>
      <w:r>
        <w:t>Du erkennst das Muster, und du erkennst wahrscheinlich auch schon den Reflex, das Ganze in die Ecke „damals hatten sie Angst vor Fotos, wie putzig" zu stellen. Tu es nicht.</w:t>
      </w:r>
    </w:p>
    <w:p>
      <w:pPr>
        <w:pStyle w:val="Fliesstext"/>
        <w:ind w:firstLine="283"/>
      </w:pPr>
      <w:r>
        <w:t xml:space="preserve">Denn am 15. Dezember 1890 erschien in der </w:t>
      </w:r>
      <w:r>
        <w:rPr>
          <w:i/>
        </w:rPr>
        <w:t>Harvard Law Review</w:t>
      </w:r>
      <w:r>
        <w:t xml:space="preserve"> ein Aufsatz von Samuel D. Warren und Louis D. Brandeis mit dem Titel „The Right to Privacy". Er gilt vielen als der einflussreichste Law-Review-Aufsatz der amerikanischen Geschichte. Er reagierte ausdrücklich auf „instantaneous photographs and newspaper enterprise" — auf Momentaufnahmen und Pressebetrieb —, die in die „heiligen Bezirke des privaten und häuslichen Lebens" eingedrungen seien. Und er formulierte das Recht, in Ruhe gelassen zu werden: „the right to be let alone".[15]</w:t>
      </w:r>
    </w:p>
    <w:p>
      <w:pPr>
        <w:pStyle w:val="Fliesstext"/>
        <w:ind w:firstLine="283"/>
      </w:pPr>
      <w:r>
        <w:t>Aus dieser Angst wurde kein Verbot, kein Untergang und kein Achselzucken. Aus dieser Angst wurde Recht. Die Wurzeln des modernen Persönlichkeits- und Datenschutzrechts liegen in einer Technikpanik über eine Amateurkamera. Wer heute darüber schimpft, dass er in ein Cookie-Banner klicken muss, schimpft über einen sehr späten Urenkel des Kodak-Teufels.</w:t>
      </w:r>
    </w:p>
    <w:p>
      <w:pPr>
        <w:pStyle w:val="Fliesstext"/>
        <w:ind w:firstLine="283"/>
      </w:pPr>
      <w:r>
        <w:t>Ich halte diesen Fall für den wichtigsten des ganzen Kapitels, und zwar nicht, weil er zeigt, dass Ängste manchmal berechtigt sind. Sondern weil er zeigt, was eine berechtigte Angst produktiv macht. Warren und Brandeis haben nicht gefordert, die Kamera abzuschaffen. Sie haben auch nicht behauptet, es sei alles halb so wild. Sie haben präzise benannt, welches Gut bedroht ist, und daraus eine Schutznorm entwickelt. Das ist dasselbe Muster, das ich dir im ersten Kapitel am Buchdruck gezeigt habe: nicht verbieten, nicht schönreden, sondern einhegen. Wenn wir im achten Kapitel über Datenschutz, Deepfakes und den europäischen KI-Rechtsrahmen sprechen, sind wir juristisch gesehen immer noch in derselben Debatte, die 1890 begann. Sie ist nur teurer geworden.</w:t>
      </w:r>
    </w:p>
    <w:p>
      <w:pPr>
        <w:pStyle w:val="Fliesstext"/>
        <w:ind w:firstLine="283"/>
      </w:pPr>
      <w:r>
        <w:t xml:space="preserve">Und stell den Fall neben </w:t>
      </w:r>
      <w:r>
        <w:rPr>
          <w:i/>
        </w:rPr>
        <w:t>Reno v. ACLU</w:t>
      </w:r>
      <w:r>
        <w:t>. Warren und Brandeis benannten ein konkretes Gut und leiteten daraus einen Anspruch ab; der Communications Decency Act benannte ein Gefühl und leitete daraus ein Strafgesetz ab. Das eine trägt bis heute. Das andere hielt ein Jahr.</w:t>
      </w:r>
    </w:p>
    <w:p>
      <w:pPr>
        <w:pStyle w:val="Zwischen"/>
      </w:pPr>
      <w:r>
        <w:t>Antisoziale Drohnen</w:t>
      </w:r>
    </w:p>
    <w:p>
      <w:pPr>
        <w:pStyle w:val="Fliesstext"/>
      </w:pPr>
      <w:r>
        <w:t>1979 kam der Walkman. Was daraufhin geschrieben wurde, hat einen Tonfall, den du sofort wiedererkennst: Kommentatoren fürchteten, die Geräte machten aus Menschen „disconnected, antisocial drones", abgekoppelte, unsoziale Drohnen in ihrer privaten Musikblase.[16] Das Eintauchen in die eigene Klangwelt wurde teils mit exzessivem Drogenkonsum gleichgesetzt und als Bedrohung überlieferter Lebensweisen empfunden, im schärfsten Fall als amoralisch.[16]</w:t>
      </w:r>
    </w:p>
    <w:p>
      <w:pPr>
        <w:pStyle w:val="Fliesstext"/>
        <w:ind w:firstLine="283"/>
      </w:pPr>
      <w:r>
        <w:t>Das kurioseste Detail stammt nicht von den Kritikern, sondern vom Hersteller. Sony-Chef Akio Morita sorgte sich selbst um antisoziales Verhalten und ließ den ersten Walkman deshalb mit einer zweiten Kopfhörerbuchse ausstatten, damit zwei Leute gleichzeitig hören konnten.[16] Niemand wollte sie. Die Leute wollten allein hören.</w:t>
      </w:r>
    </w:p>
    <w:p>
      <w:pPr>
        <w:pStyle w:val="Fliesstext"/>
        <w:ind w:firstLine="283"/>
      </w:pPr>
      <w:r>
        <w:t>Diese Anekdote zeigt eine Sorte Irrtum, die im Buch sonst kaum vorkommt: Morita lag nicht in der Beobachtung falsch, sondern in der Bewertung. Die Leute kapselten sich tatsächlich ab, das war keine Einbildung der Kulturkritiker. Es wurde nur nicht als Defekt behandelt, sondern als Wahlfreiheit. Nicht jede Angst wird widerlegt. Manche wird umgewertet.</w:t>
      </w:r>
    </w:p>
    <w:p>
      <w:pPr>
        <w:pStyle w:val="Fliesstext"/>
        <w:ind w:firstLine="283"/>
      </w:pPr>
      <w:r>
        <w:t>Der Verkehrsteil der Sorge ging anders aus. Eine Studie von Lichenstein und Kollegen dokumentierte für die USA zwischen 2004 und 2011 116 Fälle von Tod oder Verletzung kopfhörertragender Fußgänger, mit mehr als einer Verdreifachung der jährlichen Fälle über sechs Jahre, rund 70 Prozent davon tödlich. Als Mechanismen nennen die Autoren Unaufmerksamkeitsblindheit und schlicht das Übertönen von Warnsignalen.[17] Das ist ein realer Schadensmechanismus, und er ist genau der, vor dem 1980 gewarnt wurde.</w:t>
      </w:r>
    </w:p>
    <w:p>
      <w:pPr>
        <w:pStyle w:val="Fliesstext"/>
        <w:ind w:firstLine="283"/>
      </w:pPr>
      <w:r>
        <w:t>Es ist aber auch eine deskriptive Studie mit kleinen absoluten Zahlen und ohne Risikoquotienten. Sie sagt nicht, wie viel gefährlicher Kopfhörertragen ist, sondern nur, dass es diese Fälle gab und dass sie zunahmen — in einem Zeitraum, in dem auch die Zahl der Kopfhörerträger stark zunahm. Kein Beleg für ein Massenphänomen, aber auch nichts, was man wegwischen darf.</w:t>
      </w:r>
    </w:p>
    <w:p>
      <w:pPr>
        <w:pStyle w:val="Fliesstext"/>
        <w:ind w:firstLine="283"/>
      </w:pPr>
      <w:r>
        <w:t>Die Vereinzelungs-Apokalypse trat nicht ein, die Verkehrssorge hatte einen Kern. Dieselbe Technik, dieselbe Debatte, zwei verschiedene Antworten — wer nur eine davon zitiert, sagt etwas Wahres und etwas Irreführendes im selben Satz. Beides zugleich stehen zu lassen ist die eigentliche Übung dieses Kapitels.</w:t>
      </w:r>
    </w:p>
    <w:p>
      <w:pPr>
        <w:pStyle w:val="Zwischen"/>
      </w:pPr>
      <w:r>
        <w:t>Was beim Smartphone belegt ist — und was nicht</w:t>
      </w:r>
    </w:p>
    <w:p>
      <w:pPr>
        <w:pStyle w:val="Fliesstext"/>
      </w:pPr>
      <w:r>
        <w:t>Bleiben wir bei den Fällen, in denen nicht entwarnt werden darf. Das Smartphone ist der beste, weil hier alles gleichzeitig vorkommt: robuste Befunde, wacklige Befunde und ein offener wissenschaftlicher Streit. Ich sortiere sie dir bewusst in diese drei Stufen, denn die Stufe ist wichtiger als der Befund.</w:t>
      </w:r>
    </w:p>
    <w:p>
      <w:pPr>
        <w:pStyle w:val="Fliesstext"/>
        <w:ind w:firstLine="283"/>
      </w:pPr>
      <w:r>
        <w:rPr>
          <w:b/>
        </w:rPr>
        <w:t>Stufe eins, robust belegt: der Schlaf.</w:t>
      </w:r>
      <w:r>
        <w:t xml:space="preserve"> Meta-Analysen und Übersichtsarbeiten verknüpfen nächtliche Bildschirm- und Smartphone-Nutzung mit kürzerer Schlafdauer, schlechterer Schlafqualität und Tagesmüdigkeit; als Mechanismen gelten die Verdrängung von Schlafzeit, kognitiv aktivierende Inhalte und die Melatonin-Unterdrückung durch Blaulicht.[18] Wenn dir jemand sagt, das sei Kulturpessimismus, hat er die Literatur nicht gelesen. Von allen Smartphone-Sorgen steht diese am festesten — und sie ist die einzige, bei der man sofort selbst etwas ändern kann, ohne auf Politik, Plattformen oder Forschung zu warten.</w:t>
      </w:r>
    </w:p>
    <w:p>
      <w:pPr>
        <w:pStyle w:val="Fliesstext"/>
        <w:ind w:firstLine="283"/>
      </w:pPr>
      <w:r>
        <w:rPr>
          <w:b/>
        </w:rPr>
        <w:t>Stufe zwei, plausibel, aber wacklig: der „Brain Drain".</w:t>
      </w:r>
      <w:r>
        <w:t xml:space="preserve"> Adrian Ward und Kollegen zeigten 2017, dass schon die bloße Anwesenheit des eigenen Smartphones — auf dem Tisch, in der Tasche, im Nebenraum — die verfügbare kognitive Kapazität verringert, und zwar umso stärker, je präsenter das Gerät ist.[19] Der Befund ist plausibel, jeder kennt das Gefühl, und er wird deshalb ständig zitiert. Nur ließ er sich in einem Replikationsversuch nicht reproduzieren, und eine Meta-Analyse relativiert seine Robustheit.[19] Das macht ihn nicht falsch. Es macht ihn zu etwas, das man nicht als gesicherte Tatsache verkaufen darf.</w:t>
      </w:r>
    </w:p>
    <w:p>
      <w:pPr>
        <w:pStyle w:val="Fliesstext"/>
        <w:ind w:firstLine="283"/>
      </w:pPr>
      <w:r>
        <w:t>Ich erwähne das ausdrücklich, weil dieser Befund gut in mein Weltbild passt und ich ihn deshalb besonders gern glauben würde. Das ist der unangenehmste Moment beim Prüfen: nicht wenn eine Studie einer Position widerspricht, die man ablehnt, sondern wenn eine bröckelt, die man mag.</w:t>
      </w:r>
    </w:p>
    <w:p>
      <w:pPr>
        <w:pStyle w:val="Fliesstext"/>
        <w:ind w:firstLine="283"/>
      </w:pPr>
      <w:r>
        <w:t>Auf dieselbe Stufe gehört das „Phubbing" — aus „phone" und „snubbing" —, ein Begriff, der im Mai 2012 nicht in der Wissenschaft entstand, sondern in einer Wörterbuchkampagne einer australischen Werbeagentur. Die Forschung hat ihn trotzdem aufgegriffen und verbindet „partner phubbing" mit geringerer Beziehungs- und Lebenszufriedenheit bis hin zu depressiven Symptomen.[20] Effektstärken und Ursachenrichtung sind offen: Genauso denkbar ist, dass unzufriedene Paare mehr aufs Handy schauen.</w:t>
      </w:r>
    </w:p>
    <w:p>
      <w:pPr>
        <w:pStyle w:val="Fliesstext"/>
        <w:ind w:firstLine="283"/>
      </w:pPr>
      <w:r>
        <w:rPr>
          <w:b/>
        </w:rPr>
        <w:t>Stufe drei, offener Streit: Jugendliche und psychische Gesundheit.</w:t>
      </w:r>
      <w:r>
        <w:t xml:space="preserve"> Jonathan Haidt hat diese Frage mit „The Anxious Generation" 2024 in die Weltöffentlichkeit getragen, Jean Twenge zuvor mit „iGen": Der Anstieg von Angst, Depression, Selbstverletzung und Einsamkeit bei Jugendlichen falle zeitlich mit der Verbreitung von Smartphone und sozialen Medien ab etwa 2012 zusammen und sei mitursächlich.[21]</w:t>
      </w:r>
    </w:p>
    <w:p>
      <w:pPr>
        <w:pStyle w:val="Fliesstext"/>
        <w:ind w:firstLine="283"/>
      </w:pPr>
      <w:r>
        <w:t xml:space="preserve">Dagegen steht die Entwicklungspsychologin Candice Odgers, die Haidts Buch 2024 in </w:t>
      </w:r>
      <w:r>
        <w:rPr>
          <w:i/>
        </w:rPr>
        <w:t>Nature</w:t>
      </w:r>
      <w:r>
        <w:t xml:space="preserve"> besprach und die These, digitale Technik verdrahte das Gehirn von Kindern neu und löse eine Epidemie psychischer Erkrankungen aus, als „not supported by science" bezeichnete. Hunderte Forschende, sie eingeschlossen, hätten nach den behaupteten großen Effekten gesucht und „a mix of no, small and mixed associations" gefunden; die Datenlage sei überwiegend korrelativ, und es sei ebenso möglich, dass ohnehin belastete Jugendliche die Plattformen mehr und anders nutzen.[21]</w:t>
      </w:r>
    </w:p>
    <w:p>
      <w:pPr>
        <w:pStyle w:val="Fliesstext"/>
        <w:ind w:firstLine="283"/>
      </w:pPr>
      <w:r>
        <w:t>Twenge und Haidt halten dagegen, es gebe einen einigermaßen robusten Konsens über eine zumindest teilweise Verknüpfung, und Twenge hat Odgers' Alternativerklärung geprüft und Befunde vorgelegt, die ihr widersprechen.[21]</w:t>
      </w:r>
    </w:p>
    <w:p>
      <w:pPr>
        <w:pStyle w:val="Fliesstext"/>
        <w:ind w:firstLine="283"/>
      </w:pPr>
      <w:r>
        <w:t>Beide Seiten sind ausgewiesene Fachleute, beide arbeiten mit denselben Datensätzen, und beide werfen der jeweils anderen vor, selektiv zu lesen. Das ist kein Streit zwischen Wissenschaft und Bauchgefühl, sondern einer innerhalb der Wissenschaft, und zwar die schwierigste Sorte: einer über Kausalität in Daten, die von Natur aus korrelativ sind. Wenn Jugendliche mit depressiven Symptomen mehr auf Instagram sind, kann Instagram die Ursache sein, die Folge, oder beides kann von etwas Drittem kommen. Kinder lassen sich nicht randomisiert einer Kindheit mit und ohne Smartphone zuweisen. Deshalb wird dieser Streit womöglich nie so entschieden, wie eine Talkshow es gern hätte.</w:t>
      </w:r>
    </w:p>
    <w:p>
      <w:pPr>
        <w:pStyle w:val="Fliesstext"/>
        <w:ind w:firstLine="283"/>
      </w:pPr>
      <w:r>
        <w:t>Ich habe hier keine Auflösung für dich, weil es keine gibt. Stattdessen die ehrliche Version: Das ist der Punkt, an dem die Antwort „war doch immer so, wird schon gutgehen" intellektuell unredlich wäre. Meine Haltung, ausdrücklich als Meinung: Ich würde bei meinen eigenen Kindern nicht auf den Ausgang dieses Streits warten, bevor ich Regeln aufstelle — wo der Schaden im Ernstfall groß und schwer umkehrbar wäre und die Vermeidung wenig kostet, entscheide ich lieber vorsichtig als richtig. Aber ich würde auch niemandem erlauben, mir diesen Streit als entschieden zu verkaufen.</w:t>
      </w:r>
    </w:p>
    <w:p>
      <w:pPr>
        <w:pStyle w:val="Zwischen"/>
      </w:pPr>
      <w:r>
        <w:t>Der Taschenrechner-Test</w:t>
      </w:r>
    </w:p>
    <w:p>
      <w:pPr>
        <w:pStyle w:val="Fliesstext"/>
      </w:pPr>
      <w:r>
        <w:t>Aus diesem Material lässt sich ein Werkzeug destillieren, und wir werden es in den nächsten Kapiteln dauernd benutzen. Ich nenne es für mich den Taschenrechner-Test. Es sind sechs Fragen, die man einer Technikangst stellt — der eigenen zuerst.</w:t>
      </w:r>
    </w:p>
    <w:p>
      <w:pPr>
        <w:pStyle w:val="Fliesstext"/>
        <w:ind w:firstLine="283"/>
      </w:pPr>
      <w:r>
        <w:t>Zwei Warnungen vorweg. Es ist kein Punktesystem; es gibt kein Ergebnis wie „vier von sechs, also unbegründet". Und es ist nicht dafür gemacht, andere zu widerlegen, sondern dafür, eine schwammige Sorge in eine bearbeitbare Frage zu übersetzen — auch und gerade die eigene.</w:t>
      </w:r>
    </w:p>
    <w:p>
      <w:pPr>
        <w:pStyle w:val="Fliesstext"/>
        <w:ind w:firstLine="283"/>
      </w:pPr>
      <w:r>
        <w:rPr>
          <w:b/>
        </w:rPr>
        <w:t>Gibt es einen Mechanismus, oder nur eine Gleichzeitigkeit?</w:t>
      </w:r>
      <w:r>
        <w:t xml:space="preserve"> Beim Schlaf kann man erklären, wie der Schaden entsteht: verdrängte Zeit, Aktivierung, Melatonin.[18] Bei der Jugend-Psyche haben wir überwiegend Korrelationen und einen ungeklärten Streit über die Richtung des Pfeils.[21] Beides sind Sorgen. Nur die eine hat ein Getriebe. Eine Angst ohne benennbaren Wirkweg ist nicht widerlegt, aber sie ist noch keine Behauptung, sie ist eine Beobachtung. Praktisch gefragt: Kannst du in drei Sätzen sagen, was zwischen dem Einschalten des Geräts und dem Schaden passiert? Wenn nicht, weißt du noch nicht, wovor du dich fürchtest.</w:t>
      </w:r>
    </w:p>
    <w:p>
      <w:pPr>
        <w:pStyle w:val="Fliesstext"/>
        <w:ind w:firstLine="283"/>
      </w:pPr>
      <w:r>
        <w:rPr>
          <w:b/>
        </w:rPr>
        <w:t>Betrifft es alle, oder eine bestimmte Gruppe in einer bestimmten Phase?</w:t>
      </w:r>
      <w:r>
        <w:t xml:space="preserve"> Das ist die Klasse-4-Frage, und sie ist die produktivste des ganzen Sets. Fast jede Technikangst wird als Aussage über die Menschheit formuliert und ist in Wahrheit eine Aussage über eine Teilgruppe unter Bedingungen.[4] Kraut hat dieselbe Struktur auf der Zeitachse gezeigt: erst schädlich, später nicht mehr.[9] Wer das übersetzt, verwandelt einen unlösbaren Kulturkampf in eine bearbeitbare Frage: nicht „ruiniert KI das Denken", sondern „bei wem, ab wann, in welcher Dosis, mit welcher Vorbereitung". Die Antwort kostet dann meistens etwas und nimmt jemanden in die Pflicht. Deshalb wird die Frage so ungern gestellt.</w:t>
      </w:r>
    </w:p>
    <w:p>
      <w:pPr>
        <w:pStyle w:val="Fliesstext"/>
        <w:ind w:firstLine="283"/>
      </w:pPr>
      <w:r>
        <w:rPr>
          <w:b/>
        </w:rPr>
        <w:t>Ist die Sorge über die Technik oder über ihre Verteilung?</w:t>
      </w:r>
      <w:r>
        <w:t xml:space="preserve"> Als die Mikroelektronik in die Büros und Fabriken kam, war die große Angst die Massenarbeitslosigkeit; die Bundeszentrale für politische Bildung behandelte 1980 die „dritte industrielle Revolution" und ihre Beschäftigungswirkungen.[22] Eingetreten ist sie nicht: In Deutschland erlitten Regionen mit hoher Automatisierungsexposition keine überdurchschnittlichen Jobverluste, Produktivitätszuwächse gingen eher mit regionalem Beschäftigungswachstum einher.[23] Aber die Sorge war deshalb nicht gegenstandslos, sie war nur an der falschen Stelle adressiert. Real sind Verteilungs- und Belastungseffekte: 46 Prozent der Beschäftigten in Deutschland verbinden Digitalisierung mit steigender Arbeitsbelastung, nur 9 Prozent mit Entlastung.[23] Die Angst wanderte vom Jobverlust zur Verdichtung. Wenn eine Sorge sich auf „wer trägt die Kosten" reduzieren lässt, ist sie keine Technikfrage, sondern eine politische — und dann hilft kein Faktencheck über die Technik.</w:t>
      </w:r>
    </w:p>
    <w:p>
      <w:pPr>
        <w:pStyle w:val="Fliesstext"/>
        <w:ind w:firstLine="283"/>
      </w:pPr>
      <w:r>
        <w:rPr>
          <w:b/>
        </w:rPr>
        <w:t>Wer profitiert davon, dass ich das glaube?</w:t>
      </w:r>
      <w:r>
        <w:t xml:space="preserve"> Im zweiten Kapitel haben wir drei Sorten von Angst unterschieden: die erfundene, die echte und die geschürte. Die dritte ist die unangenehmste, weil sie sich wie die zweite anfühlt. Diese Frage kostet nichts und deckt erstaunlich viel auf — sie gilt übrigens in beide Richtungen. Von einer KI-Panik profitieren Aufmerksamkeitsökonomen, von einer KI-Euphorie profitieren Leute, die Aktien und Abos verkaufen. Ich selbst sitze nicht neutral in dieser Sache: Ich verdiene mein Geld mit Automatisierung. Rechne das ein, wenn du mich liest.</w:t>
      </w:r>
    </w:p>
    <w:p>
      <w:pPr>
        <w:pStyle w:val="Fliesstext"/>
        <w:ind w:firstLine="283"/>
      </w:pPr>
      <w:r>
        <w:rPr>
          <w:b/>
        </w:rPr>
        <w:t>Ist die Behauptung überhaupt widerlegbar?</w:t>
      </w:r>
      <w:r>
        <w:t xml:space="preserve"> Stolls Prognose war es, deshalb konnte sie scheitern und deshalb hat er sie später eingestanden.[8] Sätze wie „die KI entfremdet uns von uns selbst" sind es nicht. Man kann sie glauben oder nicht, man kann sie schön finden, aber man kann sie nicht prüfen. Solche Sätze sind keine Analyse, sie sind Stimmung. Ich lasse sie gelten, wenn jemand dazusagt, dass er gerade eine Stimmung beschreibt. Der Praxistest dafür ist eine einzige Frage: Was müsste passieren, damit du deine Meinung änderst? Wer darauf keine Antwort hat, diskutiert nicht, sondern bekennt.</w:t>
      </w:r>
    </w:p>
    <w:p>
      <w:pPr>
        <w:pStyle w:val="Fliesstext"/>
        <w:ind w:firstLine="283"/>
      </w:pPr>
      <w:r>
        <w:rPr>
          <w:b/>
        </w:rPr>
        <w:t>Wird ein Verlust benannt und ein Gewinn verrechnet?</w:t>
      </w:r>
      <w:r>
        <w:t xml:space="preserve"> Das ist die Weiterentwicklung des Prinzips aus dem ersten Kapitel — nicht „was verlieren wir", sondern „was verlieren wir, was gewinnen wir, wie steht die Bilanz". Nach diesem Kapitel muss ich zwei Zeilen ergänzen, sonst ist die Bilanz zu bequem. </w:t>
      </w:r>
      <w:r>
        <w:rPr>
          <w:b/>
        </w:rPr>
        <w:t>Bei wem fällt der Verlust an und bei wem der Gewinn?</w:t>
      </w:r>
      <w:r>
        <w:t xml:space="preserve"> Wenn eine Automatisierung dem Unternehmen 30 Prozent Bearbeitungszeit spart und einer Sachbearbeiterin die Hälfte ihrer Aufgaben nimmt, ist die Gesamtbilanz positiv und für sie trotzdem negativ. „Unterm Strich gut" ist keine Antwort an jemanden, der unter dem Strich steht. Und: </w:t>
      </w:r>
      <w:r>
        <w:rPr>
          <w:b/>
        </w:rPr>
        <w:t>Ist der Verlust umkehrbar?</w:t>
      </w:r>
      <w:r>
        <w:t xml:space="preserve"> Kopfrechnen kann man nachholen. Ein Foto, das einmal im Netz ist, holt niemand zurück — genau deshalb brauchte es 1890 ein Recht und keine Beruhigung.</w:t>
      </w:r>
    </w:p>
    <w:p>
      <w:pPr>
        <w:pStyle w:val="Fliesstext"/>
        <w:ind w:firstLine="283"/>
      </w:pPr>
      <w:r>
        <w:t>Der Test liefert keine Wahrheit. Er sortiert. Am Ende landet eine Sorge in einem von drei Fächern: berechtigt und bearbeitbar, unpräzise und deshalb erst zu schärfen, oder Stimmung. Die meisten Ängste, die mir begegnen, landen im mittleren Fach. Das ist keine Entwarnung. Es ist Arbeit.</w:t>
      </w:r>
    </w:p>
    <w:p>
      <w:pPr>
        <w:pStyle w:val="Zwischen"/>
      </w:pPr>
      <w:r>
        <w:t>Zwei Durchgänge</w:t>
      </w:r>
    </w:p>
    <w:p>
      <w:pPr>
        <w:pStyle w:val="Fliesstext"/>
      </w:pPr>
      <w:r>
        <w:t>Damit das nicht abstrakt bleibt, zwei Fälle im Durchgang. Einer aus diesem Kapitel, einer aus meinem Büro.</w:t>
      </w:r>
    </w:p>
    <w:p>
      <w:pPr>
        <w:pStyle w:val="Fliesstext"/>
        <w:ind w:firstLine="283"/>
      </w:pPr>
      <w:r>
        <w:rPr>
          <w:b/>
        </w:rPr>
        <w:t>Erster Durchgang: „Die Leute werden süchtig nach dem Ding."</w:t>
      </w:r>
      <w:r>
        <w:t xml:space="preserve"> Gemeint war damit das Internet, heute wird derselbe Satz über Chatbots gesagt.</w:t>
      </w:r>
    </w:p>
    <w:p>
      <w:pPr>
        <w:pStyle w:val="Fliesstext"/>
        <w:ind w:firstLine="283"/>
      </w:pPr>
      <w:r>
        <w:t>Mechanismus? In Umrissen ja: Ein System, das mal Belohnendes und mal Belangloses ausschüttet, erzeugt mehr Wiederholung als eines mit verlässlichem Ergebnis. Gruppe und Phase? Hier fällt die Behauptung auseinander. Youngs frühe 66 Prozent waren nicht haltbar, die späteren Schätzungen von sechs bis dreizehn Prozent sind umstritten, und die Kriterien wandern seit dreißig Jahren.[11] Über wen genau reden wir? Verteilung? Teilweise, denn hinter der Bindungswirkung stehen Geschäftsmodelle, die genau darauf optimieren — keine Eigenschaft der Technik, sondern eine Entscheidung von Leuten mit Zielvorgaben. Wer profitiert? Auf beiden Seiten jemand: Wer „Sucht" ruft, bekommt Aufmerksamkeit; wer abwiegelt, verkauft weiter. Widerlegbar? Nur, wenn die Kriterien vorher feststehen — und das tun sie nicht, sonst hätte das DSM-5 sie übernommen.[11]</w:t>
      </w:r>
    </w:p>
    <w:p>
      <w:pPr>
        <w:pStyle w:val="Fliesstext"/>
        <w:ind w:firstLine="283"/>
      </w:pPr>
      <w:r>
        <w:t>Ergebnis: mittleres Fach. Nicht Stimmung, denn ein Mechanismus ist da. Aber unpräzise, solange niemand sagt, wer betroffen ist und woran man es erkennt. Die produktive Fassung lautet nicht „KI macht süchtig", sondern: Welche Gestaltungsentscheidungen erhöhen die Nutzungsdauer, wer trifft sie, und was wäre die Alternative? Darüber kann man streiten und, wichtiger, verhandeln.</w:t>
      </w:r>
    </w:p>
    <w:p>
      <w:pPr>
        <w:pStyle w:val="Fliesstext"/>
        <w:ind w:firstLine="283"/>
      </w:pPr>
      <w:r>
        <w:rPr>
          <w:b/>
        </w:rPr>
        <w:t>Zweiter Durchgang: „Wenn der Bot die Rechnungen vorprüft, fällt ein Fehler erst beim Jahresabschluss auf."</w:t>
      </w:r>
      <w:r>
        <w:t xml:space="preserve"> Dieser Satz oder eine Variante davon fällt in fast jedem Projekt, das ich begleite.</w:t>
      </w:r>
    </w:p>
    <w:p>
      <w:pPr>
        <w:pStyle w:val="Fliesstext"/>
        <w:ind w:firstLine="283"/>
      </w:pPr>
      <w:r>
        <w:t>Mechanismus? Ein sehr konkreter, in drei Schritten: Wer nicht mehr prüfen muss, prüft nicht; wer nicht prüft, verliert das Gefühl dafür, wie ein auffälliger Vorgang aussieht; wer das Gefühl verloren hat, erkennt ihn auch dann nicht, wenn er ihm zufällig unterkommt. Gruppe und Phase? Die Fälle knapp unterhalb der automatischen Auffälligkeitsschwelle, ab dem Moment, in dem die manuelle Stichprobe ausgedünnt wird, weil ja nie etwas gefunden wird. Verteilung? Die klassische Haftungsfrage — der Nutzen liegt beim Bereich, der schneller wird, das Risiko bei dem, der am Ende unterschreibt. Wer profitiert? Ich, unter anderem: Ein Projekt ohne Kontrollstrecke ist billiger, schneller fertig und sieht in der Bilanz besser aus. Widerlegbar? Vollständig. Fehlerquote vor und nach dem Rollout messen, verdeckte Testfälle einspeisen, zählen, wie viele Stichproben tatsächlich noch gezogen werden. Umkehrbarkeit? Ein Buchungsfehler ist korrigierbar, eine falsche Auskunft, die ein Kunde bereits erhalten hat, nur noch teilweise.</w:t>
      </w:r>
    </w:p>
    <w:p>
      <w:pPr>
        <w:pStyle w:val="Fliesstext"/>
        <w:ind w:firstLine="283"/>
      </w:pPr>
      <w:r>
        <w:t>Ergebnis: erstes Fach. Berechtigt und bearbeitbar. Und die Bearbeitung ist unspektakulär: eine feste Stichprobenquote, die nicht wegoptimiert werden darf, eingespeiste Testfälle, ein Protokoll, das die Entscheidungsgrundlage mitschreibt, und ein benannter Mensch, der dafür geradesteht. Nichts davon ist Technik. Alles davon kostet Geld und muss vor dem Rollout beschlossen werden, weil es danach niemand mehr bezahlt.</w:t>
      </w:r>
    </w:p>
    <w:p>
      <w:pPr>
        <w:pStyle w:val="Fliesstext"/>
        <w:ind w:firstLine="283"/>
      </w:pPr>
      <w:r>
        <w:t>Der Unterschied zwischen beiden Durchgängen liegt nicht darin, dass die eine Sorge besser wäre. Er liegt darin, dass die zweite prüfbar formuliert war und die erste nicht. Das ist keine Eigenschaft der Welt, sondern eine Eigenschaft des Satzes — und Sätze kann man umformulieren. Genau dafür ist der Test da.</w:t>
      </w:r>
    </w:p>
    <w:p>
      <w:pPr>
        <w:pStyle w:val="Zwischen"/>
      </w:pPr>
      <w:r>
        <w:t>Und heute?</w:t>
      </w:r>
    </w:p>
    <w:p>
      <w:pPr>
        <w:pStyle w:val="Fliesstext"/>
      </w:pPr>
      <w:r>
        <w:t>Zurück zu den beiden Einwänden vom Anfang, denn inzwischen kann ich sagen, warum ich den einen hätte ernst nehmen müssen und den anderen nicht.</w:t>
      </w:r>
    </w:p>
    <w:p>
      <w:pPr>
        <w:pStyle w:val="Fliesstext"/>
        <w:ind w:firstLine="283"/>
      </w:pPr>
      <w:r>
        <w:t>Der Einwand „das ist zu komplex" hatte keinen Mechanismus, keine Gruppe, keine Phase, keine prüfbare Behauptung. Er war Stimmung in Argumentform. Der Einwand „dann schaut keiner mehr hin und keiner weiß mehr warum" hatte alles davon: einen klaren Wirkweg (wer nicht prüfen muss, prüft nicht), eine benannte Gruppe (das Team nach dem Rollout), eine Phase (sobald die Routine sich einschleift) und eine Aussage, die man hätte falsifizieren können, indem man nachgemessen hätte. Sie hatte sogar die Klasse-4-Struktur: Das Werkzeug schadet dort, wo die Fähigkeit noch nicht gefestigt ist oder nicht mehr geübt wird.</w:t>
      </w:r>
    </w:p>
    <w:p>
      <w:pPr>
        <w:pStyle w:val="Fliesstext"/>
        <w:ind w:firstLine="283"/>
      </w:pPr>
      <w:r>
        <w:t>Das ist übrigens keine Einzelbeobachtung. Wenn sich in meinen Projekten eine Sorge als exakt richtig herausstellt, hat sie fast nie mit der Technik zu tun. Sie hat mit Prozessqualität, mit Verantwortung oder mit Kontrolle zu tun.</w:t>
      </w:r>
    </w:p>
    <w:p>
      <w:pPr>
        <w:pStyle w:val="Fliesstext"/>
        <w:ind w:firstLine="283"/>
      </w:pPr>
      <w:r>
        <w:t>Prozessqualität: Der Prozess, den wir automatisieren sollen, war vorher nie sauber beschrieben, sondern lief über das Erfahrungswissen von zwei Personen. Automatisierung friert diesen Zustand nicht ein, sie legt ihn offen — und was offenliegt, muss entschieden werden. Wer sagt, das werde ein Problem, hat meistens recht.</w:t>
      </w:r>
    </w:p>
    <w:p>
      <w:pPr>
        <w:pStyle w:val="Fliesstext"/>
        <w:ind w:firstLine="283"/>
      </w:pPr>
      <w:r>
        <w:t>Verantwortung: Wer haftet, wenn der Bot Mist baut? In der Regel steht das nirgends. Solange nichts passiert, ist das eine akademische Frage. Sobald etwas passiert, ist es die einzige.</w:t>
      </w:r>
    </w:p>
    <w:p>
      <w:pPr>
        <w:pStyle w:val="Fliesstext"/>
        <w:ind w:firstLine="283"/>
      </w:pPr>
      <w:r>
        <w:t>Kontrolle: Wer merkt es überhaupt, und wer kann den Vorgang in drei Jahren noch erklären, wenn eine Prüferin danach fragt? Das ist die Frage, die uns damals eingeholt hat. Sie war nicht schwer, weil die Technik schwer gewesen wäre, sondern weil niemand sie rechtzeitig gestellt hatte.</w:t>
      </w:r>
    </w:p>
    <w:p>
      <w:pPr>
        <w:pStyle w:val="Fliesstext"/>
        <w:ind w:firstLine="283"/>
      </w:pPr>
      <w:r>
        <w:t>Die Technik funktioniert meistens. Das Drumherum ist die Baustelle. Meine Erfahrung, keine Studie — aber oft genug gemacht, um sie hinzuschreiben. Mit einem Nebeneffekt, den ich unterschätzt hatte: Wer den Leuten diese drei Fragen zugesteht, statt sie als Widerstand abzutun, bekommt sie meistens auf seine Seite. Nicht weil er sie überzeugt hätte, sondern weil endlich jemand ihre Frage aufgeschrieben hat.</w:t>
      </w:r>
    </w:p>
    <w:p>
      <w:pPr>
        <w:pStyle w:val="Fliesstext"/>
        <w:ind w:firstLine="283"/>
      </w:pPr>
      <w:r>
        <w:t>Und damit sind wir am Übergang. Die Sorge des Abtes Trithemius um die geistige Disziplin zielte im Kern auf etwas Reales, auch wenn seine Prognose überwiegend danebenlag. Beim Taschenrechner ist es dasselbe, nur mit Messwerten statt Vermutungen. Bei der Kodak-Kamera hatte die Angst schlicht recht und hat etwas Bleibendes hervorgebracht. Bei der Computerangst löste sie sich in Erfahrung auf, beim Walkman wurde sie umgewertet statt widerlegt. Das Muster ist also nicht „Angst irrt sich". Es ist: Die Angst zeigt fast immer in eine reale Richtung und trifft fast nie den richtigen Punkt.</w:t>
      </w:r>
    </w:p>
    <w:p>
      <w:pPr>
        <w:pStyle w:val="Fliesstext"/>
        <w:ind w:firstLine="283"/>
      </w:pPr>
      <w:r>
        <w:t>Die größte aller KI-Ängste zeigt in die Richtung des eigenen Schreibtischs. Nimmt sie mir die Arbeit weg. Wir werden diese Angst jetzt nicht wegreden und nicht bestätigen, sondern durch die sechs Fragen schicken — und ich sage dir gleich, dass die Antwort unbequemer ausfällt, als sie in meiner eigenen Facharbeit ausgefallen ist.</w:t>
      </w:r>
    </w:p>
    <w:p>
      <w:r>
        <w:br w:type="page"/>
      </w:r>
    </w:p>
    <w:p>
      <w:pPr>
        <w:pStyle w:val="KapitelNummer"/>
      </w:pPr>
      <w:r>
        <w:rPr>
          <w:i/>
        </w:rPr>
        <w:t>Kapitel 6</w:t>
      </w:r>
    </w:p>
    <w:p>
      <w:pPr>
        <w:pStyle w:val="KapitelTitel"/>
      </w:pPr>
      <w:r>
        <w:t>Nimmt die KI mir die Arbeit weg?</w:t>
      </w:r>
    </w:p>
    <w:p>
      <w:pPr>
        <w:pStyle w:val="Fliesstext"/>
      </w:pPr>
      <w:r>
        <w:t>„Und was mache ich jetzt?"</w:t>
      </w:r>
    </w:p>
    <w:p>
      <w:pPr>
        <w:pStyle w:val="Fliesstext"/>
        <w:ind w:firstLine="283"/>
      </w:pPr>
      <w:r>
        <w:t>Der Satz meiner Kollegin, in der Einleitung, zehn Sekunden nach „Gott sei Dank". Ich schulde dir die Fortsetzung.</w:t>
      </w:r>
    </w:p>
    <w:p>
      <w:pPr>
        <w:pStyle w:val="Fliesstext"/>
        <w:ind w:firstLine="283"/>
      </w:pPr>
      <w:r>
        <w:t>Vorher sah ihr Tag so aus: Zwei Systeme nebeneinander auf dem Bildschirm, links die Buchungen des Vortags, rechts die Maske, in die sie gehörten. Zeile für Zeile. Sie kannte die Teams, die sauber buchten, und die, bei denen man zweimal hinsehen musste. Sie kannte die Projektnummern, die regelmäßig vertippt wurden, und sie korrigierte sie im Vorbeigehen, ohne dass das je irgendwo dokumentiert war. In keinem Organigramm stand, dass sie der Grund war, warum die Zahlen im zweiten System stimmten. Aber sie war es.</w:t>
      </w:r>
    </w:p>
    <w:p>
      <w:pPr>
        <w:pStyle w:val="Fliesstext"/>
        <w:ind w:firstLine="283"/>
      </w:pPr>
      <w:r>
        <w:t>Dann lief der Bot. Nachts, ohne Murren, ohne Tippfehler.</w:t>
      </w:r>
    </w:p>
    <w:p>
      <w:pPr>
        <w:pStyle w:val="Fliesstext"/>
        <w:ind w:firstLine="283"/>
      </w:pPr>
      <w:r>
        <w:t>Die Wochen danach waren nicht das, was sich Leute vorstellen, wenn sie „Automatisierung" hören. Es gab kein Gespräch mit der Personalabteilung. Es gab ein paar Tage, an denen sie morgens ins Büro kam und den ersten Teil ihres Tages nicht mehr hatte, und das ist ein seltsames Gefühl, auch wenn man diesen Teil nie gemocht hat. Was danach kam, hat niemand geplant, es hat sich ergeben: Der Bot scheiterte an Fällen, in denen jemand ein Feld freihändig befüllt hatte, statt aus der Liste zu wählen. Diese Fälle landeten in einem Ordner. Jemand musste sie ansehen. Sie sah sie an — und weil sie sie ansah, fiel ihr auf, dass immer dieselben drei Abteilungen betroffen waren. Also rief sie dort an.</w:t>
      </w:r>
    </w:p>
    <w:p>
      <w:pPr>
        <w:pStyle w:val="Fliesstext"/>
        <w:ind w:firstLine="283"/>
      </w:pPr>
      <w:r>
        <w:t>Heute macht sie das: die Ausnahmen prüfen, mit den Leuten reden, die sie erzeugen, dafür sorgen, dass die Daten stimmen, bevor sie irgendwo landen. Sie hat nicht weniger zu tun als vorher. Sie hat etwas anderes zu tun, und sie hat mir irgendwann gesagt, dass sie zum ersten Mal das Gefühl hat, die Zahlen zu kennen, statt sie nur zu bewegen.</w:t>
      </w:r>
    </w:p>
    <w:p>
      <w:pPr>
        <w:pStyle w:val="Fliesstext"/>
        <w:ind w:firstLine="283"/>
      </w:pPr>
      <w:r>
        <w:t>Und jetzt kommt der Teil, den ich mir nicht schenken darf: Das beweist genau gar nichts.</w:t>
      </w:r>
    </w:p>
    <w:p>
      <w:pPr>
        <w:pStyle w:val="Fliesstext"/>
        <w:ind w:firstLine="283"/>
      </w:pPr>
      <w:r>
        <w:t>Ein Schreibtisch ist keine Volkswirtschaft. Ich könnte dir drei weitere solcher Geschichten erzählen, sie sind alle wahr, und ein Kollege aus einer anderen Firma könnte dir drei Geschichten erzählen, in denen es anders ausging. Anekdoten sind gut, um zu zeigen, wie sich etwas anfühlt. Sie taugen nichts, um zu klären, was passiert. Wenn du wissen willst, ob die KI dir die Arbeit wegnimmt, musst du dich mit Daten herumschlagen, und ein Teil dieser Daten wird dir nicht gefallen. Mir gefällt er auch nicht.</w:t>
      </w:r>
    </w:p>
    <w:p>
      <w:pPr>
        <w:pStyle w:val="Fliesstext"/>
        <w:ind w:firstLine="283"/>
      </w:pPr>
      <w:r>
        <w:t>Also: Beweisaufnahme. Erst das, was belegt ist. Dann das, was geschätzt wird. Dann das, was jemand einfach behauptet. In dieser Reihenfolge, und ich sage dir jedes Mal, in welcher Kategorie wir gerade sind.</w:t>
      </w:r>
    </w:p>
    <w:p>
      <w:pPr>
        <w:pStyle w:val="Zwischen"/>
      </w:pPr>
      <w:r>
        <w:t>Was tatsächlich gemessen wurde</w:t>
      </w:r>
    </w:p>
    <w:p>
      <w:pPr>
        <w:pStyle w:val="Fliesstext"/>
      </w:pPr>
      <w:r>
        <w:t>Fangen wir mit dem an, wofür es echte Messungen gibt, keine Umfragen über Erwartungen, sondern beobachtete Arbeit von echten Leuten.</w:t>
      </w:r>
    </w:p>
    <w:p>
      <w:pPr>
        <w:pStyle w:val="Fliesstext"/>
        <w:ind w:firstLine="283"/>
      </w:pPr>
      <w:r>
        <w:t xml:space="preserve">Die bekannteste Untersuchung stammt von Erik Brynjolfsson, Danielle Li und Lindsey Raymond und ist 2025 im </w:t>
      </w:r>
      <w:r>
        <w:rPr>
          <w:i/>
        </w:rPr>
        <w:t>Quarterly Journal of Economics</w:t>
      </w:r>
      <w:r>
        <w:t xml:space="preserve"> erschienen. Datengrundlage: 5.172 Kundendienst-Mitarbeitende eines Software-Unternehmens.[1]</w:t>
      </w:r>
    </w:p>
    <w:p>
      <w:pPr>
        <w:pStyle w:val="Fliesstext"/>
        <w:ind w:firstLine="283"/>
      </w:pPr>
      <w:r>
        <w:t xml:space="preserve">Bevor ich dir das Ergebnis nenne, lohnt sich ein Blick auf den Aufbau, denn der ist der eigentliche Grund, warum diese Studie zählt und tausend Anbieter-Fallstudien nicht. Das Unternehmen führte den KI-Assistenten nicht auf einen Schlag ein, sondern </w:t>
      </w:r>
      <w:r>
        <w:rPr>
          <w:b/>
        </w:rPr>
        <w:t>gestaffelt</w:t>
      </w:r>
      <w:r>
        <w:t>: erst eine Gruppe, dann die nächste, dann die übernächste.[1] Das war keine wissenschaftliche Absicht, so rollt man Software eben aus. Aber es hat einen Nebeneffekt, von dem Forscherinnen träumen. Wer nur „vorher gegen nachher" vergleicht, misst immer auch alles andere mit, was sich zwischen vorher und nachher verändert hat — die Saison, die Produktversion, die Stimmung im Laden. Wer gestaffelt einführt, hat zu jedem Zeitpunkt Leute mit Assistent und Leute ohne, im selben Betrieb, mit denselben Kunden, unter denselben Bedingungen. Der Unterschied zwischen beiden Gruppen ist dann sehr viel eher der Assistent und sehr viel weniger der Zufall.</w:t>
      </w:r>
    </w:p>
    <w:p>
      <w:pPr>
        <w:pStyle w:val="Fliesstext"/>
        <w:ind w:firstLine="283"/>
      </w:pPr>
      <w:r>
        <w:t>Das Ergebnis: eine durchschnittliche Steigerung der gelösten Vorgänge pro Stunde von rund 15 Prozent — in der früheren Arbeitspapier-Fassung waren es 14.[1]</w:t>
      </w:r>
    </w:p>
    <w:p>
      <w:pPr>
        <w:pStyle w:val="Fliesstext"/>
        <w:ind w:firstLine="283"/>
      </w:pPr>
      <w:r>
        <w:t>Auch dieses Maß ist eine Entscheidung, keine Naturgegebenheit. „Gelöste Vorgänge pro Stunde" ist gut zählbar und deshalb beliebt. Es misst nicht, ob die Lösung die beste war, ob der Kunde beim nächsten Mal wiederkommt, ob die Mitarbeiterin dabei etwas gelernt hat. Die Autoren haben deshalb weitere Größen mit erhoben, und die zeigen in dieselbe Richtung: Kundenzufriedenheit und Mitarbeiterbindung stiegen.[1] Das ist wichtig, weil sonst der naheliegende Verdacht im Raum stünde, hier werde einfach schneller schlechter gearbeitet.</w:t>
      </w:r>
    </w:p>
    <w:p>
      <w:pPr>
        <w:pStyle w:val="Fliesstext"/>
        <w:ind w:firstLine="283"/>
      </w:pPr>
      <w:r>
        <w:t>Der interessantere Befund steckt aber nicht im Durchschnitt, sondern in der Verteilung. Am stärksten profitierten die wenig erfahrenen und gering qualifizierten Beschäftigten; sie wurden nicht nur schneller, sondern auch besser. Die erfahrensten Kräfte zeigten nur kleine Zuwächse.[1]</w:t>
      </w:r>
    </w:p>
    <w:p>
      <w:pPr>
        <w:pStyle w:val="Fliesstext"/>
        <w:ind w:firstLine="283"/>
      </w:pPr>
      <w:r>
        <w:t>Halte das fest, denn es ist der Kern des ganzen Kapitels: Das Werkzeug hebt die Basis, nicht die Spitze. Es macht aus einem Anfänger schneller einen Soliden. Aus einem Könner macht es kaum mehr, als er ohnehin ist.</w:t>
      </w:r>
    </w:p>
    <w:p>
      <w:pPr>
        <w:pStyle w:val="Fliesstext"/>
        <w:ind w:firstLine="283"/>
      </w:pPr>
      <w:r>
        <w:t>Was die Studie nicht ist, gehört genauso dazu: Sie beschreibt ein Unternehmen, eine Tätigkeit, eine Werkzeuggeneration. Kundenservice ist eine Arbeit, in der es viele ähnliche Fälle gibt, in der gute Antworten irgendwo schon einmal geschrieben wurden und in der Erfolg sich einigermaßen sauber messen lässt. Das sind ziemlich genau die Bedingungen, unter denen ein Sprachmodell glänzt. Ob dasselbe für eine Baustellenleitung gilt, für eine Betriebsprüfung oder für das Gespräch mit einem wütenden Kunden, das eskaliert ist, weiß niemand.</w:t>
      </w:r>
    </w:p>
    <w:p>
      <w:pPr>
        <w:pStyle w:val="Fliesstext"/>
        <w:ind w:firstLine="283"/>
      </w:pPr>
      <w:r>
        <w:t>Die zweite oft zitierte Zahl kommt aus der Softwareentwicklung. In einem randomisierten Experiment sollten Entwicklerinnen und Entwickler einen HTTP-Server in JavaScript implementieren. Die Zuteilung zur Gruppe mit oder ohne GitHub Copilot erfolgte per Zufall, was der sauberste Weg ist, um sicherzugehen, dass nicht einfach die Besseren das Werkzeug bekommen haben. Die Gruppe mit Copilot war rund 56 Prozent schneller: 71 Minuten gegen 160.[2]</w:t>
      </w:r>
    </w:p>
    <w:p>
      <w:pPr>
        <w:pStyle w:val="Fliesstext"/>
        <w:ind w:firstLine="283"/>
      </w:pPr>
      <w:r>
        <w:t>Beeindruckend — und genau hier muss ich anfangen zu bremsen, obwohl mir die Zahl als Automatisierer natürlich gefällt. Es ist ein Arbeitspapier, nicht peer-reviewt. Und es ist ein Laborversuch mit einer klar umrissenen Aufgabe: neues Verzeichnis, bekanntes Problem, definiertes Ziel, keine Altlasten, kein Kollege, der vor drei Jahren eine Sonderlogik eingebaut hat, die nirgends dokumentiert ist. Eine solche Aufgabe hat mit dem, was Entwickler den ganzen Tag tun, ungefähr so viel zu tun wie ein Fahrschulparcours mit dem Berufsverkehr in Essen. Der Parcours misst etwas Echtes. Er misst nur nicht das, was du wissen willst.</w:t>
      </w:r>
    </w:p>
    <w:p>
      <w:pPr>
        <w:pStyle w:val="Fliesstext"/>
        <w:ind w:firstLine="283"/>
      </w:pPr>
      <w:r>
        <w:t>Wie wenig, zeigt der nächste Befund.</w:t>
      </w:r>
    </w:p>
    <w:p>
      <w:pPr>
        <w:pStyle w:val="Zwischen"/>
      </w:pPr>
      <w:r>
        <w:t>Der Befund, der mir nicht in den Kram passt</w:t>
      </w:r>
    </w:p>
    <w:p>
      <w:pPr>
        <w:pStyle w:val="Fliesstext"/>
      </w:pPr>
      <w:r>
        <w:t>Ich habe in diesem Buch versprochen, dir auch die Zahlen zu zeigen, die gegen meine eigene Begeisterung sprechen. Hier ist die wichtigste.</w:t>
      </w:r>
    </w:p>
    <w:p>
      <w:pPr>
        <w:pStyle w:val="Fliesstext"/>
        <w:ind w:firstLine="283"/>
      </w:pPr>
      <w:r>
        <w:t xml:space="preserve">Die Forschungsorganisation METR führte 2025 einen randomisierten kontrollierten Versuch durch. Teilnehmer waren 16 erfahrene Open-Source-Entwicklerinnen und -Entwickler, die an ihren eigenen, großen, ihnen bestens vertrauten Repositories arbeiteten. Keine Laboraufgabe, sondern echte Arbeit an echtem Code, den sie seit Jahren kennen. Mit KI-Werkzeugen brauchten sie im Schnitt 19 Prozent </w:t>
      </w:r>
      <w:r>
        <w:rPr>
          <w:b/>
        </w:rPr>
        <w:t>länger</w:t>
      </w:r>
      <w:r>
        <w:t>.[3]</w:t>
      </w:r>
    </w:p>
    <w:p>
      <w:pPr>
        <w:pStyle w:val="Fliesstext"/>
        <w:ind w:firstLine="283"/>
      </w:pPr>
      <w:r>
        <w:t>Der Aufbau ist das Gegenteil des Copilot-Experiments, und deshalb sind die beiden Studien kein Widerspruch, sondern ein Paar. Sechzehn Personen kann man nicht sinnvoll in acht gegen acht teilen; dafür sind Menschen zu verschieden, und ein einziger außergewöhnlich schneller Teilnehmer würde das Ergebnis kippen. Die Vergleichbarkeit muss also über die Aufgaben kommen, nicht über die Köpfe: dieselben Leute, viele einzelne Arbeitspakete, per Zufall mit oder ohne KI-Erlaubnis. Und gemessen wurde die Zeit, nicht abgefragt.[3] Genau darin liegt der Wert. Denn dann kommt der eigentliche Hammer.</w:t>
      </w:r>
    </w:p>
    <w:p>
      <w:pPr>
        <w:pStyle w:val="Fliesstext"/>
        <w:ind w:firstLine="283"/>
      </w:pPr>
      <w:r>
        <w:t>Dieselben Leute glaubten hinterher, sie seien rund 20 Prozent schneller gewesen. Sie waren langsamer und fühlten sich schneller. Die Differenz zwischen Wahrnehmung und Messung beträgt ungefähr vierzig Prozentpunkte.[3]</w:t>
      </w:r>
    </w:p>
    <w:p>
      <w:pPr>
        <w:pStyle w:val="Fliesstext"/>
        <w:ind w:firstLine="283"/>
      </w:pPr>
      <w:r>
        <w:t>Setz dich damit einen Moment auseinander, bevor du weiterliest. Wenn erfahrene Profis in ihrem eigenen Fachgebiet um vierzig Punkte danebenliegen, was die Wirkung eines Werkzeugs auf ihre eigene Arbeit angeht — was ist dann dein Bauchgefühl wert? Und was meins? Ich habe abends Werkzeuge mit Claude Code gebaut und war überzeugt, in zwei Stunden geschafft zu haben, wofür ich sonst einen Samstag gebraucht hätte. Vielleicht stimmt das. Vielleicht habe ich auch nur die vierzig Minuten vergessen, in denen ich einen Fehler gesucht habe, den ich selbst nie gemacht hätte. Ich habe es nie gestoppt. Fast niemand stoppt es. Und das ist der Grund, warum praktisch jede Produktivitätsaussage über KI, die du im Betrieb hörst, wertlos ist: Sie ist eine Erinnerung, keine Messung.</w:t>
      </w:r>
    </w:p>
    <w:p>
      <w:pPr>
        <w:pStyle w:val="Fliesstext"/>
        <w:ind w:firstLine="283"/>
      </w:pPr>
      <w:r>
        <w:t>Der Ehrlichkeit halber gehört die andere Hälfte dazu. Sechzehn Teilnehmer sind sechzehn Teilnehmer. Es sind außerdem sehr spezielle sechzehn: Leute, die ein großes Projekt so gut kennen, dass sie die halbe Codebasis im Kopf haben. Das ist der denkbar härteste Fall für ein Werkzeug, dessen Stärke darin besteht, jemandem etwas zu geben, das er noch nicht hat. METR hat im Februar 2026 nachgelegt und eingeschätzt, dass spätere Werkzeuggenerationen aus dem Jahr 2025 vermutlich stärker beschleunigen.[3] Die Studie ist eine Momentaufnahme, kein Naturgesetz.</w:t>
      </w:r>
    </w:p>
    <w:p>
      <w:pPr>
        <w:pStyle w:val="Fliesstext"/>
        <w:ind w:firstLine="283"/>
      </w:pPr>
      <w:r>
        <w:t>Trotzdem bleibt eine Lehre, die ich für belastbarer halte als jede einzelne Prozentzahl: Der Produktivitätsgewinn hängt davon ab, wer du bist und was du tust. Bist du neu in einer Sache, hilft dir das Modell viel. Bist du seit fünfzehn Jahren in einem komplizierten System zu Hause, kann es dich bremsen, weil du seine Vorschläge dauernd prüfen und korrigieren musst — und das Prüfen dauert manchmal länger als das Selbermachen. Wer dir eine einzige Prozentzahl für „die Produktivität durch KI" nennt, hat entweder nur eine Studie gelesen oder verkauft dir etwas.</w:t>
      </w:r>
    </w:p>
    <w:p>
      <w:pPr>
        <w:pStyle w:val="Zwischen"/>
      </w:pPr>
      <w:r>
        <w:t>Was in echten Projekten mit den Menschen passiert</w:t>
      </w:r>
    </w:p>
    <w:p>
      <w:pPr>
        <w:pStyle w:val="Fliesstext"/>
      </w:pPr>
      <w:r>
        <w:t xml:space="preserve">Bevor wir zu den großen Zahlen gehen, ein Zwischenstopp bei den kleinen. Was jetzt kommt, ist </w:t>
      </w:r>
      <w:r>
        <w:rPr>
          <w:b/>
        </w:rPr>
        <w:t>meine Erfahrung aus Automatisierungsprojekten</w:t>
      </w:r>
      <w:r>
        <w:t>, keine Studie, und ich kennzeichne das so deutlich, weil es sich hinterher gern in Fakten verwandelt, wenn man es nicht tut.</w:t>
      </w:r>
    </w:p>
    <w:p>
      <w:pPr>
        <w:pStyle w:val="Fliesstext"/>
        <w:ind w:firstLine="283"/>
      </w:pPr>
      <w:r>
        <w:t>Ein Automatisierungsprojekt beginnt nicht mit Technik. Es beginnt damit, dass jemand aus dem Fachbereich den Prozess beschreiben soll. Und derjenige, der ihn am besten beschreiben kann, ist derjenige, der ihn macht. Also sitzt du mit einem Menschen zusammen, der dir Schritt für Schritt erklärt, was er tut, wo die Ausnahmen liegen, welche Regel er nie aufgeschrieben, aber immer eingehalten hat. Er diktiert dir, in aller Freundlichkeit, die Spezifikation für das Ding, das ihm das abnehmen wird. Die meisten machen das mit. Manche werden dabei ungewöhnlich gründlich und ungewöhnlich langsam, und ich habe gelernt, das nicht als Sabotage zu lesen, sondern als das, was es ist.</w:t>
      </w:r>
    </w:p>
    <w:p>
      <w:pPr>
        <w:pStyle w:val="Fliesstext"/>
        <w:ind w:firstLine="283"/>
      </w:pPr>
      <w:r>
        <w:t>Zweite Beobachtung: Was tatsächlich frei wird, ist selten eine ganze Stelle. Es sind zwanzig Minuten hier, ein halber Nachmittag dort, verteilt über eine Abteilung. Im Business Case steht dann eine Zahl wie „1,2 Vollzeitäquivalente". Niemand verliert 1,2 Menschen. Die 1,2 sind eine Summe aus Bruchstücken, und Bruchstücke ergeben keine Kündigung. Sie ergeben, dass mehr in denselben Tag passt.</w:t>
      </w:r>
    </w:p>
    <w:p>
      <w:pPr>
        <w:pStyle w:val="Fliesstext"/>
        <w:ind w:firstLine="283"/>
      </w:pPr>
      <w:r>
        <w:t>Dritte Beobachtung, und das ist die unangenehme. Ich habe erlebt, dass Stellen nach einer Automatisierung nicht mehr besetzt wurden. Jemand geht in Rente, jemand wechselt, und die Ausschreibung kommt nicht, weil „das macht ja jetzt größtenteils der Bot". Das ist Arbeitsplatzverlust ohne Ereignis. Keine Entlassung, keine Schlagzeile, keine Zeile in einer Statistik über Freisetzungen. In den Zahlen, die wir gleich betrachten, taucht so etwas nicht als Verlust auf, sondern als langsameres Wachstum — was, wie du sehen wirst, ausgerechnet das ist, was das Institut für Arbeitsmarkt- und Berufsforschung als historisches Muster beschreibt.[8] Ich möchte, dass du dir merkst, wie so ein Muster von innen aussieht: Es sieht nach nichts aus.</w:t>
      </w:r>
    </w:p>
    <w:p>
      <w:pPr>
        <w:pStyle w:val="Fliesstext"/>
        <w:ind w:firstLine="283"/>
      </w:pPr>
      <w:r>
        <w:t>Vierte Beobachtung: Wer gut aus so einem Projekt herauskommt, ist fast nie der mit dem besten technischen Verständnis. Es sind die Leute, die früh an den Bot herangehen und sich zu seinem Betreuer machen — die verstehen, wann er scheitert, die Ausnahmen an sich ziehen, irgendwann Änderungswünsche formulieren. Das klingt nach einem Ratschlag, und ich habe ihn auch schon so gegeben, aber ehrlich ist er nur mit dem Zusatz: Dafür brauchst du Zeit, Ansehen im Team und eine Führungskraft, die dir das durchgehen lässt. Wer keins davon hat, hat auch diese Möglichkeit nicht, und das hat nichts mit Fleiß zu tun.</w:t>
      </w:r>
    </w:p>
    <w:p>
      <w:pPr>
        <w:pStyle w:val="Fliesstext"/>
        <w:ind w:firstLine="283"/>
      </w:pPr>
      <w:r>
        <w:t>Und die fünfte, die alles andere trägt: Ob die Geschichte gut ausgeht, entscheidet sich, bevor die erste Zeile Code existiert. Nämlich dort, wo jemand festlegt, ob die eingesparte Zeit als Personalkosten gebucht wird oder als Kapazität. Ist es Personalkosten, steht das Ergebnis fest, und das Projekt liefert es pflichtgemäß ab. Ist es Kapazität, gibt es Spielraum, und dann entscheidet sich später, was daraus wird. Ich habe beides gesehen. Die Technik war jedes Mal dieselbe.</w:t>
      </w:r>
    </w:p>
    <w:p>
      <w:pPr>
        <w:pStyle w:val="Zwischen"/>
      </w:pPr>
      <w:r>
        <w:t>Die großen Schätzungen — und warum sie Schätzungen bleiben</w:t>
      </w:r>
    </w:p>
    <w:p>
      <w:pPr>
        <w:pStyle w:val="Fliesstext"/>
      </w:pPr>
      <w:r>
        <w:t xml:space="preserve">Jetzt wechseln wir die Kategorie. Alles, was jetzt kommt, sind </w:t>
      </w:r>
      <w:r>
        <w:rPr>
          <w:b/>
        </w:rPr>
        <w:t>Prognosen und Modellrechnungen</w:t>
      </w:r>
      <w:r>
        <w:t>, keine Messungen. Ich sage das nicht aus Bescheidenheit, sondern weil der Unterschied entscheidend ist: Man kann zählen, wie viele Vorgänge 5.172 Menschen in einer Stunde gelöst haben. Man kann nicht zählen, wie viele Jobs es 2030 gibt.</w:t>
      </w:r>
    </w:p>
    <w:p>
      <w:pPr>
        <w:pStyle w:val="Fliesstext"/>
        <w:ind w:firstLine="283"/>
      </w:pPr>
      <w:r>
        <w:t xml:space="preserve">Das Weltwirtschaftsforum befragte für seinen </w:t>
      </w:r>
      <w:r>
        <w:rPr>
          <w:i/>
        </w:rPr>
        <w:t>Future of Jobs Report 2025</w:t>
      </w:r>
      <w:r>
        <w:t xml:space="preserve"> rund 1.000 Unternehmen mit zusammen über 14 Millionen Beschäftigten aus 22 Branchen und 55 Volkswirtschaften. Die Erwartung dieser Arbeitgeber: bis 2030 rund 170 Millionen neu entstehende und 92 Millionen wegfallende Stellen, also ein Netto-Zuwachs von 78 Millionen Arbeitsplätzen durch KI und Informationstechnologien. 85 Prozent der Arbeitgeber planen, in Weiterbildung zu investieren.[4]</w:t>
      </w:r>
    </w:p>
    <w:p>
      <w:pPr>
        <w:pStyle w:val="Fliesstext"/>
        <w:ind w:firstLine="283"/>
      </w:pPr>
      <w:r>
        <w:t>Nimm diese Zahlen einmal auseinander. Befragt wurden nicht Beschäftigte, nicht Arbeitsagenturen, nicht Statistikämter, sondern Personalverantwortliche — und zwar nach ihren Erwartungen. Eine Erwartung ist kein Ereignis. Sie sagt aus, was Unternehmen glauben, dass sie tun werden, und Personalabteilungen glauben im Januar oft Dinge, die im September niemand mehr sagt. Dazu kommt, dass die absoluten Millionenzahlen nicht gezählt, sondern hochgerechnet sind: Aus Anteilsangaben der Befragten wird auf die weltweite Beschäftigung geschlossen. Jede solche Hochrechnung erbt die Auswahl der Befragten. Wer an einer Umfrage des Weltwirtschaftsforums teilnimmt, ist im Zweifel ein größeres, internationaleres, technikaffineres Unternehmen als der Durchschnittsbetrieb dieser Welt. Das ist keine Manipulation, das ist die Natur der Sache — aber es heißt, dass „78 Millionen" eine Zahl mit sehr weichen Rändern ist. Diese Einordnung ist meine, nicht die des WEF. Besonders die 85 Prozent bei der Weiterbildung würde ich mir gern in fünf Jahren noch einmal ansehen.</w:t>
      </w:r>
    </w:p>
    <w:p>
      <w:pPr>
        <w:pStyle w:val="Fliesstext"/>
        <w:ind w:firstLine="283"/>
      </w:pPr>
      <w:r>
        <w:t xml:space="preserve">Die OECD schaut in ihrem </w:t>
      </w:r>
      <w:r>
        <w:rPr>
          <w:i/>
        </w:rPr>
        <w:t>Employment Outlook 2025</w:t>
      </w:r>
      <w:r>
        <w:t xml:space="preserve"> nicht nach vorn, sondern zurück, und findet bislang wenig Belege dafür, dass KI zu Jobverlusten geführt hat. Zwei Drittel der Beschäftigten, die bereits mit KI arbeiten, geben an, ihre Arbeit sei weniger monoton oder weniger gefährlich geworden.[5] Dieselbe OECD beziffert aber auch den Anteil der Berufe mit dem höchsten Automatisierungsrisiko auf 27 Prozent der Beschäftigung im OECD-Raum.[5]</w:t>
      </w:r>
    </w:p>
    <w:p>
      <w:pPr>
        <w:pStyle w:val="Fliesstext"/>
        <w:ind w:firstLine="283"/>
      </w:pPr>
      <w:r>
        <w:t>Beides in einem Bericht, und beides stimmt, weil beides etwas anderes misst. Der erste Befund ist eine Rückschau: Was ist bisher passiert? Der zweite ist eine Einstufung: Welche Berufe bestehen überwiegend aus Tätigkeiten, die technisch automatisierbar wären? „Höchstes Risiko" ist eine Kategorie, keine Vorhersage. Berufe fallen in diese Kategorie, weil ihre Aufgabenzusammensetzung so aussieht, nicht weil jemand gemessen hätte, dass sie verschwinden. Zwischen „technisch möglich" und „wirtschaftlich sinnvoll" und „tatsächlich gemacht" liegen jeweils Jahre und in vielen Fällen ein Nein.</w:t>
      </w:r>
    </w:p>
    <w:p>
      <w:pPr>
        <w:pStyle w:val="Fliesstext"/>
        <w:ind w:firstLine="283"/>
      </w:pPr>
      <w:r>
        <w:t xml:space="preserve">Die Internationale Arbeitsorganisation hat gemeinsam mit dem polnischen Forschungsinstitut NASK im Mai 2025 einen Expositionsindex vorgelegt. Ergebnis: Weltweit arbeitet etwa jeder vierte Beschäftigte in einem Beruf mit einer gewissen Exposition gegenüber generativer KI. Die meisten dieser Jobs werden nach Einschätzung der Autoren </w:t>
      </w:r>
      <w:r>
        <w:rPr>
          <w:b/>
        </w:rPr>
        <w:t>transformiert, nicht ersetzt</w:t>
      </w:r>
      <w:r>
        <w:t>.[6]</w:t>
      </w:r>
    </w:p>
    <w:p>
      <w:pPr>
        <w:pStyle w:val="Fliesstext"/>
        <w:ind w:firstLine="283"/>
      </w:pPr>
      <w:r>
        <w:t xml:space="preserve">Ein Wort dazu, was so ein Index überhaupt tut, sonst liest man ihn zwangsläufig falsch. Er bewertet </w:t>
      </w:r>
      <w:r>
        <w:rPr>
          <w:b/>
        </w:rPr>
        <w:t>Berufe</w:t>
      </w:r>
      <w:r>
        <w:t>, nicht Menschen. Ein Beruf wird in seine Tätigkeiten zerlegt, diese Tätigkeiten werden danach eingeschätzt, wie gut eine generative KI sie berühren kann, und daraus entsteht ein Wert für den Beruf. Dieser Wert wird anschließend mit der Beschäftigungsstruktur eines Landes verrechnet.[6] Das heißt dreierlei. Erstens: „Exposition" bedeutet Berührbarkeit, nicht Ersetzbarkeit — deshalb der ausdrückliche Hinweis der Autoren auf Transformation. Zweitens: Der Index sagt nichts darüber, ob ein Unternehmen die Sache auch anfasst. Drittens: Er kennt dich nicht. Zwei Menschen mit derselben Stellenbezeichnung machen oft sehr Verschiedenes, und der Index sieht nur die Bezeichnung.</w:t>
      </w:r>
    </w:p>
    <w:p>
      <w:pPr>
        <w:pStyle w:val="Fliesstext"/>
        <w:ind w:firstLine="283"/>
      </w:pPr>
      <w:r>
        <w:t>Der Internationale Währungsfonds kam im Januar 2024 auf eine breitere Definition und deshalb auf eine größere Zahl: rund 40 Prozent der Jobs weltweit seien KI-exponiert, in fortgeschrittenen Volkswirtschaften etwa 60 Prozent. In Schwellenländern liegt der Wert bei rund 40 Prozent, in Niedrigeinkommensländern bei rund 26 Prozent.[7]</w:t>
      </w:r>
    </w:p>
    <w:p>
      <w:pPr>
        <w:pStyle w:val="Fliesstext"/>
        <w:ind w:firstLine="283"/>
      </w:pPr>
      <w:r>
        <w:t xml:space="preserve">Der methodisch interessanteste Schritt kommt danach, und er wird beim Weitererzählen fast immer unterschlagen. Der IWF teilt die exponierten Jobs in zwei Hälften: solche, in denen KI die Arbeit voraussichtlich </w:t>
      </w:r>
      <w:r>
        <w:rPr>
          <w:b/>
        </w:rPr>
        <w:t>ergänzt</w:t>
      </w:r>
      <w:r>
        <w:t xml:space="preserve"> — dort steigt eher die Produktivität und womöglich der Lohn —, und solche, in denen sie sie </w:t>
      </w:r>
      <w:r>
        <w:rPr>
          <w:b/>
        </w:rPr>
        <w:t>ersetzt</w:t>
      </w:r>
      <w:r>
        <w:t>, mit einem Risiko sinkender Arbeitsnachfrage oder sinkender Löhne. Von den 60 Prozent in fortgeschrittenen Volkswirtschaften trägt ungefähr die Hälfte dieses Abwärtsrisiko.[7] Wer also „60 Prozent der Jobs sind bedroht" sagt, hat die Studie nicht gelesen, sondern nur ihre größte Zahl. Ob ein Job in die eine oder die andere Hälfte fällt, ist zudem keine Messung, sondern eine Einschätzung — und damit die eigentliche Stellschraube dieser Rechnung.</w:t>
      </w:r>
    </w:p>
    <w:p>
      <w:pPr>
        <w:pStyle w:val="Fliesstext"/>
        <w:ind w:firstLine="283"/>
      </w:pPr>
      <w:r>
        <w:t>Für Deutschland gibt es einen Befund vom Institut für Arbeitsmarkt- und Berufsforschung. Nach IAB-Forschung wuchs die Beschäftigung zuletzt in Berufen mit hoher KI-Exposition mit 5,9 Prozent stärker als in Berufen mit geringer Exposition (2,5 Prozent), während sie in Berufen ohne Exposition um 1,7 Prozent zurückging. Historisch, so das IAB, führte ein hohes Substituierbarkeitspotenzial ohnehin selten zu echten Jobverlusten, eher zu langsamerem Wachstum.[8]</w:t>
      </w:r>
    </w:p>
    <w:p>
      <w:pPr>
        <w:pStyle w:val="Fliesstext"/>
        <w:ind w:firstLine="283"/>
      </w:pPr>
      <w:r>
        <w:t>Diese Zahl ist die freundlichste im ganzen Kapitel für meine These, und deshalb schaue ich sie mir besonders misstrauisch an. Sie ist eine Beobachtung von Zusammenhängen, kein Nachweis von Ursachen. Stark KI-exponierte Berufe sind überwiegend qualifizierte Bürotätigkeiten in wachsenden Branchen; Berufe ohne Exposition sind überwiegend körperliche und einfache Tätigkeiten in Bereichen, die aus ganz anderen Gründen schrumpfen. Es kann also gut sein, dass hier nicht die KI wirkt, sondern der Strukturwandel — und dass die Exposition nur zufällig auf derselben Seite steht. Und selbst wenn der Zusammenhang echt ist, misst er die Vergangenheit einer Technik, die vor drei Jahren im Alltag ankam. „Bislang gewachsen" ist kein Versprechen.</w:t>
      </w:r>
    </w:p>
    <w:p>
      <w:pPr>
        <w:pStyle w:val="Fliesstext"/>
        <w:ind w:firstLine="283"/>
      </w:pPr>
      <w:r>
        <w:t>Wenn man das zusammennimmt — und das ist jetzt meine Lesart, nicht die der Institute —, ergibt sich ein ziemlich einheitliches Bild: Verschiebung ja, Umbau ja, Ungleichheitsrisiko ernst. Massenarbeitslosigkeit findet in keiner dieser Rechnungen statt. Kein einziges der genannten Häuser prognostiziert sie.</w:t>
      </w:r>
    </w:p>
    <w:p>
      <w:pPr>
        <w:pStyle w:val="Zwischen"/>
      </w:pPr>
      <w:r>
        <w:t>Wen es zuerst trifft</w:t>
      </w:r>
    </w:p>
    <w:p>
      <w:pPr>
        <w:pStyle w:val="Fliesstext"/>
      </w:pPr>
      <w:r>
        <w:t>Damit sind wir bei dem Teil, der in der deutschen Debatte praktisch nicht vorkommt, obwohl er der politisch wichtigste ist.</w:t>
      </w:r>
    </w:p>
    <w:p>
      <w:pPr>
        <w:pStyle w:val="Fliesstext"/>
        <w:ind w:firstLine="283"/>
      </w:pPr>
      <w:r>
        <w:t>Die Exposition ist extrem ungleich verteilt. Nach dem ILO-Index liegen 34 Prozent der Beschäftigung in Hocheinkommensländern in exponierten Berufen, gegenüber 11 Prozent in Niedrigeinkommensländern. In der höchsten Expositionskategorie befinden sich 3,3 Prozent der weltweiten Beschäftigung — bei Frauen sind es 4,7 Prozent, bei Männern 2,4 Prozent.[6]</w:t>
      </w:r>
    </w:p>
    <w:p>
      <w:pPr>
        <w:pStyle w:val="Fliesstext"/>
        <w:ind w:firstLine="283"/>
      </w:pPr>
      <w:r>
        <w:t>Fast doppelt so hoch bei Frauen. Der Grund ist unspektakulär und deswegen so hartnäckig: In den Berufen, die generative KI am ehesten berührt, also Büro-, Sachbearbeitungs- und Sekretariatstätigkeiten, arbeiten überproportional viele Frauen. Das ist kein Effekt der Technik. Das ist die Geschlechtersegregation des Arbeitsmarkts, die es seit Jahrzehnten gibt und die jetzt eine Rechnung präsentiert bekommt. Eine Technik, die Textarbeit, Formulararbeit und Terminarbeit anfasst, trifft zwangsläufig die Leute, die Text-, Formular- und Terminarbeit machen. Wer das ändern will, muss nicht an der Technik ansetzen, sondern daran, wer in welchen Berufen landet — und das ist eine Debatte, die deutlich älter ist als ChatGPT.</w:t>
      </w:r>
    </w:p>
    <w:p>
      <w:pPr>
        <w:pStyle w:val="Fliesstext"/>
        <w:ind w:firstLine="283"/>
      </w:pPr>
      <w:r>
        <w:t xml:space="preserve">Jetzt die Richtung der Zahlen, denn sie ist nicht die, die man erwartet. Die reichen Länder sind </w:t>
      </w:r>
      <w:r>
        <w:rPr>
          <w:b/>
        </w:rPr>
        <w:t>stärker</w:t>
      </w:r>
      <w:r>
        <w:t xml:space="preserve"> exponiert, nicht schwächer: 34 gegen 11 Prozent bei der ILO, rund 60 gegen rund 26 Prozent beim IWF.[6][7] Wer viel Bürojob hat, hat viel Angriffsfläche. Ein Land, in dem die Mehrheit der Menschen in der Landwirtschaft oder in einfacher Fertigung arbeitet, ist von einer Technik, die Texte schreibt und Tabellen auswertet, zunächst kaum berührt.</w:t>
      </w:r>
    </w:p>
    <w:p>
      <w:pPr>
        <w:pStyle w:val="Fliesstext"/>
        <w:ind w:firstLine="283"/>
      </w:pPr>
      <w:r>
        <w:t>Genau deshalb muss man die Ungleichheitswarnung des IWF präzise lesen, sonst dreht man sie um.[7] Die Sorge ist nicht, dass arme Länder mehr Jobs verlieren. Sie ist, dass sie an den Produktivitätsgewinnen nicht teilhaben können — weil dafür Infrastruktur nötig ist, Strom, Netz, Rechenzentren, Ausbildung, Kapital. Die Exposition ist ein Maß für Betroffenheit. Teilhabefähigkeit ist ein Maß für Nutzen. Beides fällt hier auseinander: Die Länder mit der größten Angriffsfläche sind zugleich die mit den besten Voraussetzungen, etwas daraus zu machen. Der Abstand wächst also nicht, weil die einen verlieren, sondern weil die anderen gewinnen. Das ist eine völlig andere Sorge als die, die man in deutschen Talkshows hört, und sie ist schwerer zu adressieren, weil sie sich nicht durch Zurückhaltung lösen lässt.</w:t>
      </w:r>
    </w:p>
    <w:p>
      <w:pPr>
        <w:pStyle w:val="Fliesstext"/>
        <w:ind w:firstLine="283"/>
      </w:pPr>
      <w:r>
        <w:t>Wo ist die Verschiebung heute schon sichtbar, mit Beleg? In vier Feldern. Im Kundenservice, wo sie gemessen wurde und wo sie die Unerfahrenen anhebt.[1] In der Softwareentwicklung, wo sie messbar ist und je nach Erfahrung in beide Richtungen zeigt.[2][3] In Büro-, Sachbearbeitungs- und Sekretariatstätigkeiten, die in der höchsten Expositionskategorie der ILO liegen.[6] Und im Finanzsektor und in der Industrie, wo die OECD 2022 in sieben Ländern nachgefragt hat und in Firmen, die KI bereits einsetzten, 20 Prozent (Finanz) beziehungsweise 15 Prozent (Industrie) der Beschäftigten jemanden persönlich kannten, der wegen KI seinen Job verloren hatte.[16] Mehr als diese vier gibt es an belastbarer Empirie derzeit nicht. Alles andere, was du über „Berufe, die die KI abschafft", liest, ist eine Liste, die jemand geschätzt hat.</w:t>
      </w:r>
    </w:p>
    <w:p>
      <w:pPr>
        <w:pStyle w:val="Zwischen"/>
      </w:pPr>
      <w:r>
        <w:t>Wenn seriöse Ökonomen um Faktor zehn auseinanderliegen</w:t>
      </w:r>
    </w:p>
    <w:p>
      <w:pPr>
        <w:pStyle w:val="Fliesstext"/>
      </w:pPr>
      <w:r>
        <w:t>Und jetzt der Teil, der dich davor bewahren soll, jemals wieder eine Zukunftszahl für bare Münze zu nehmen. Es ist die Lehrstunde dieses Kapitels, und sie ist wertvoller als jede einzelne Zahl darin.</w:t>
      </w:r>
    </w:p>
    <w:p>
      <w:pPr>
        <w:pStyle w:val="Fliesstext"/>
        <w:ind w:firstLine="283"/>
      </w:pPr>
      <w:r>
        <w:t xml:space="preserve">Daron Acemoglu, MIT-Ökonom und einer der meistzitierten Forscher zum Thema Technologie und Arbeit, hat im April 2024 ein Papier beim National Bureau of Economic Research vorgelegt: </w:t>
      </w:r>
      <w:r>
        <w:rPr>
          <w:i/>
        </w:rPr>
        <w:t>The Simple Macroeconomics of AI</w:t>
      </w:r>
      <w:r>
        <w:t>, NBER Working Paper 32487. Seine Rechnung: Der Zuwachs an totaler Faktorproduktivität durch KI werde über zehn Jahre höchstens etwa 0,66 Prozent betragen.[9] Nicht pro Jahr. Insgesamt.</w:t>
      </w:r>
    </w:p>
    <w:p>
      <w:pPr>
        <w:pStyle w:val="Fliesstext"/>
        <w:ind w:firstLine="283"/>
      </w:pPr>
      <w:r>
        <w:t>Der Aufbau seiner Rechnung ist so schlicht, dass man sie auf einem Bierdeckel nachvollziehen kann, und genau das machen wir jetzt. Er multipliziert drei Anteile. Erstens: Wie viele Arbeitsaufgaben kann diese Technik überhaupt berühren? Acemoglu setzt rund 20 Prozent an. Zweitens: Wie viele davon lassen sich zu Kosten automatisieren, die sich lohnen? Er setzt gut 23 Prozent an.[9] Damit sind wir bei 4,6 Prozent aller Aufgaben. Drittens: Wie viel billiger wird eine solche Aufgabe im Schnitt? Hier musst du gar nicht nachschlagen, du kannst es zurückrechnen: Wenn 4,6 Prozent der Aufgaben zusammen 0,66 Prozent Produktivität ergeben sollen, dann steckt darin eine durchschnittliche Kostenersparnis von rund 14 Prozent auf diesen Aufgaben. Das ist keine Unterstellung. Das ist Dreisatz.</w:t>
      </w:r>
    </w:p>
    <w:p>
      <w:pPr>
        <w:pStyle w:val="Fliesstext"/>
        <w:ind w:firstLine="283"/>
      </w:pPr>
      <w:r>
        <w:t>Im selben Zeitraum rechnete Goldman Sachs Research vor, generative KI könne das globale Bruttoinlandsprodukt über zehn Jahre um rund 7 Prozent heben, was etwa 7 Billionen Dollar entspräche, bei einem Produktivitätsschub von rund anderthalb Prozentpunkten.[10] McKinsey bezifferte über 63 Anwendungsfälle hinweg ein jährliches Potenzial von 2,6 bis 4,4 Billionen US-Dollar.[11]</w:t>
      </w:r>
    </w:p>
    <w:p>
      <w:pPr>
        <w:pStyle w:val="Fliesstext"/>
        <w:ind w:firstLine="283"/>
      </w:pPr>
      <w:r>
        <w:t>Das sind keine Nuancen. Zwischen „0,66 Prozent in zehn Jahren" und „7 Prozent globales BIP" liegt der Unterschied zwischen einer netten Verbesserung und einer industriellen Revolution. Beide Seiten sind seriös, beide rechnen mit Modellen, beide veröffentlichen ihre Annahmen. Acemoglu hat inzwischen den Wirtschaftsnobelpreis; Goldman Sachs hat ein Research-Haus, das für seine Prognosen bezahlt wird und dessen Kundschaft investiert. Beides sollte man wissen, und beides erklärt den Unterschied nicht.</w:t>
      </w:r>
    </w:p>
    <w:p>
      <w:pPr>
        <w:pStyle w:val="Fliesstext"/>
        <w:ind w:firstLine="283"/>
      </w:pPr>
      <w:r>
        <w:t xml:space="preserve">Erste Lehre, und sie ist die banalste und wird trotzdem ständig übersehen: </w:t>
      </w:r>
      <w:r>
        <w:rPr>
          <w:b/>
        </w:rPr>
        <w:t>Die beiden messen nicht dasselbe.</w:t>
      </w:r>
      <w:r>
        <w:t xml:space="preserve"> Acemoglu spricht über totale Faktorproduktivität — grob, wie viel mehr Ergebnis bei gleichem Einsatz herauskommt. Goldman spricht über das Niveau des Bruttoinlandsprodukts. McKinsey spricht über „Potenzial", also über das, was technisch abrufbar wäre, wenn alle es täten. Drei verschiedene Größen. Man kann sie nebeneinanderlegen, und Zeitungen tun das täglich, aber man vergleicht dabei einen Wirkungsgrad mit einer Summe mit einer Möglichkeit.</w:t>
      </w:r>
    </w:p>
    <w:p>
      <w:pPr>
        <w:pStyle w:val="Fliesstext"/>
        <w:ind w:firstLine="283"/>
      </w:pPr>
      <w:r>
        <w:t xml:space="preserve">Zweite Lehre, und dafür drehen wir jetzt an Acemoglus Bierdeckel. Ich rechne mit </w:t>
      </w:r>
      <w:r>
        <w:rPr>
          <w:b/>
        </w:rPr>
        <w:t>meinen</w:t>
      </w:r>
      <w:r>
        <w:t xml:space="preserve"> Zahlen, nicht mit seinen und nicht mit Goldmans; das hier ist eine Veranschaulichung, kein Zitat.</w:t>
      </w:r>
    </w:p>
    <w:p>
      <w:pPr>
        <w:pStyle w:val="Fliesstext"/>
        <w:ind w:firstLine="283"/>
      </w:pPr>
      <w:r>
        <w:t>Nimm die Kostenersparnis von 14 auf 29 Prozent hoch. Das ist keine wilde Annahme — das Copilot-Experiment misst auf seiner Aufgabe 56 Prozent Zeitersparnis, du bleibst also weit darunter.[2] Ergebnis: 1,3 Prozent statt 0,66. Schon eine Verdopplung. Jetzt nimm zusätzlich an, dass sich nicht 23, sondern 60 Prozent der berührbaren Aufgaben profitabel automatisieren lassen, weil die Modelle in den nächsten Jahren weiter billiger werden — auch das ist eine These, über die man streiten kann, aber keine absurde. Ergebnis: rund 3,5 Prozent. Du bist mit zwei Handgriffen, von denen keiner unseriös ist, beim Fünffachen.</w:t>
      </w:r>
    </w:p>
    <w:p>
      <w:pPr>
        <w:pStyle w:val="Fliesstext"/>
        <w:ind w:firstLine="283"/>
      </w:pPr>
      <w:r>
        <w:t xml:space="preserve">Und dann kommt die Stellschraube, die alles andere in den Schatten stellt: </w:t>
      </w:r>
      <w:r>
        <w:rPr>
          <w:b/>
        </w:rPr>
        <w:t>Zählst du nur Aufgaben mit, die es heute gibt?</w:t>
      </w:r>
      <w:r>
        <w:t xml:space="preserve"> Eine Rechnung, die den Bestand durchgeht, kann per Konstruktion nur zu einer bescheidenen Zahl kommen. Sie kann nicht abbilden, dass ganze Tätigkeiten entstehen, die heute niemand benennen kann, oder dass freigewordene Arbeitskraft woanders etwas produziert. Wer diesen Kanal mitrechnet, bekommt große Zahlen; wer ihn weglässt, kleine. Das ist der Kern des Streits, und er ist nicht durch bessere Daten zu entscheiden, weil es über nicht existierende Tätigkeiten keine Daten geben kann.</w:t>
      </w:r>
    </w:p>
    <w:p>
      <w:pPr>
        <w:pStyle w:val="Fliesstext"/>
        <w:ind w:firstLine="283"/>
      </w:pPr>
      <w:r>
        <w:rPr>
          <w:b/>
        </w:rPr>
        <w:t>Der Unterschied steckt also nicht in den Daten, er steckt in den Annahmen.</w:t>
      </w:r>
      <w:r>
        <w:t xml:space="preserve"> Wie viel Prozent der Aufgaben sind berührbar? Wie stark sinken die Kosten? Wie schnell übernehmen Unternehmen die Werkzeuge tatsächlich? Wie viele neue Aufgaben entstehen? Drehst du an diesen vier Stellschrauben, kommt jede beliebige Zahl heraus. Das ist kein Vorwurf an die Ökonomen — anders geht es nicht. Es ist ein Vorwurf an jeden, der eine dieser Zahlen ohne die Annahmen weitererzählt.</w:t>
      </w:r>
    </w:p>
    <w:p>
      <w:pPr>
        <w:pStyle w:val="Fliesstext"/>
        <w:ind w:firstLine="283"/>
      </w:pPr>
      <w:r>
        <w:t>Wenn du mich zwingst, mich zu entscheiden, sage ich das hier, als Meinung: Acemoglus Rechnung gefällt mir besser, nicht weil sie kleiner ist, sondern weil sie angreifbarer ist. Er nennt jede Zahl, aus der sein Ergebnis besteht, und liefert dir damit die Anleitung, ihn zu widerlegen. Er kann sich in fünf Jahren blamieren. Ein „Potenzial" kann sich nicht blamieren, weil es nie behauptet hat, einzutreten.</w:t>
      </w:r>
    </w:p>
    <w:p>
      <w:pPr>
        <w:pStyle w:val="Fliesstext"/>
        <w:ind w:firstLine="283"/>
      </w:pPr>
      <w:r>
        <w:t xml:space="preserve">Merk dir diesen Satz, wir brauchen ihn im neunten Kapitel wieder: </w:t>
      </w:r>
      <w:r>
        <w:rPr>
          <w:b/>
        </w:rPr>
        <w:t>Wer dir eine Zahl für 2035 nennt, verkauft dir eine Annahme.</w:t>
      </w:r>
      <w:r>
        <w:t xml:space="preserve"> Frag nach der Annahme. Wenn er sie nicht nennen kann, hat er die Zahl irgendwo abgeschrieben.</w:t>
      </w:r>
    </w:p>
    <w:p>
      <w:pPr>
        <w:pStyle w:val="Fliesstext"/>
        <w:ind w:firstLine="283"/>
      </w:pPr>
      <w:r>
        <w:t>Ein Detail noch, das für die Bodenhaftung sorgt. Der AI Index der Stanford-Universität berichtet für 2024 eine organisationale KI-Adoption von rund 78 Prozent, nach 55 Prozent im Jahr zuvor.[12] Fast vier von fünf Organisationen setzen also irgendetwas mit KI ein. Wenn davon eine Produktivitätsexplosion ausginge, müsste man sie inzwischen in den Statistiken sehen. Man sieht sie nicht. Das spricht eher für Acemoglu — vorerst. Es kann auch schlicht heißen, dass es dauert. Bei der Elektrifizierung der Fabriken hat es Jahrzehnte gedauert, bis die Produktivität nachzog, weil man die Fabriken erst umbauen musste. Das ist meine Vermutung, kein Beleg. Und „setzt irgendetwas mit KI ein" ist ohnehin ein weicher Begriff: In dieser Zahl steckt der Konzern, der seine gesamte Sachbearbeitung umgebaut hat, genauso wie der Betrieb, in dem drei Leute ein Abo haben.</w:t>
      </w:r>
    </w:p>
    <w:p>
      <w:pPr>
        <w:pStyle w:val="Zwischen"/>
      </w:pPr>
      <w:r>
        <w:t>Was die Geschichte dazu sagt — und was meine Facharbeit dazu sagt</w:t>
      </w:r>
    </w:p>
    <w:p>
      <w:pPr>
        <w:pStyle w:val="Fliesstext"/>
      </w:pPr>
      <w:r>
        <w:t>Wir waren im vierten Kapitel bei den Ludditen. Kurze Erinnerung, weil sie hier gebraucht wird: Die Weber, die zwischen 1811 und 1812 in Nottinghamshire und Yorkshire Strumpfwirkerstühle zerschlugen, waren keine Technikhasser. Sie waren Facharbeiter, deren Existenzgrundlage von ungelernten Arbeitskräften an neuen Maschinen unterboten wurde, in einer Zeit ohne Sozialversicherung und mit hohen Lebensmittelpreisen. Das britische Parlament stellte das Zerstören von Maschinen 1812 unter Todesstrafe; Lord Byron hielt am 27. Februar 1812 im Oberhaus eine Rede dagegen.[13]</w:t>
      </w:r>
    </w:p>
    <w:p>
      <w:pPr>
        <w:pStyle w:val="Fliesstext"/>
        <w:ind w:firstLine="283"/>
      </w:pPr>
      <w:r>
        <w:t>Das ist die entscheidende Korrektur. Die Ludditen hatten nicht unrecht über ihr eigenes Leben. Sie hatten unrecht über die Textilindustrie insgesamt, die in den folgenden Jahrzehnten wuchs und mehr Menschen beschäftigte als je zuvor. Beide Sätze sind wahr, und die Spannung zwischen ihnen ist genau die Spannung, um die es in diesem Kapitel geht.</w:t>
      </w:r>
    </w:p>
    <w:p>
      <w:pPr>
        <w:pStyle w:val="Fliesstext"/>
        <w:ind w:firstLine="283"/>
      </w:pPr>
      <w:r>
        <w:t>Näher an uns dran, und in Deutschland: 1980 diskutierte die Bundesrepublik unter dem Stichwort „Mikroelektronik — die dritte industrielle Revolution" ernsthaft die Gefahr einer technologisch verursachten Massenarbeitslosigkeit.[14] Das war keine Stammtischsorge. Das war eine Debatte in seriösen Publikationen, mit Gutachten, Anhörungen und einer politischen Öffentlichkeit, die sich damit befasste. Man kann heute darüber schmunzeln, sollte es aber nicht. Die Sorge war rational begründet — sie hat sich in dieser Form nur nicht bewahrheitet, sonst würden wir heute nicht über Fachkräftemangel reden. Für Deutschland gilt sogar das Gegenteil: Regionen mit hoher Automatisierungsexposition erlitten keine überdurchschnittlichen Jobverluste; Produktivitätszuwächse gingen eher mit regionalem Beschäftigungswachstum einher.[17] Das ist meine Einordnung des Ausgangs, keine Statistik über die Debatte selbst.</w:t>
      </w:r>
    </w:p>
    <w:p>
      <w:pPr>
        <w:pStyle w:val="Fliesstext"/>
        <w:ind w:firstLine="283"/>
      </w:pPr>
      <w:r>
        <w:t>Nun der Haken, den ich mir selbst schlage, denn ich benutze diesen Vergleich gern und muss ihm deshalb misstrauen. Die Mikroelektronik-Angst von 1980 richtete sich auf Fertigung und auf Routinearbeit an Maschinen. Die Exposition, die ILO und IWF heute messen, liegt woanders: im Büro, in der Sachbearbeitung, in der Verwaltung.[6][7] Das ist ausgerechnet die Ecke, in die man damals nicht schaute — und in die die Beschäftigung in den Jahrzehnten danach gewachsen ist. Wenn eine Technik dorthin greift, wo die letzte Verschiebung die Leute hingespült hat, dann ist der Verweis auf den guten Ausgang von damals kein Beleg. Er ist bestenfalls eine Ermutigung. Auch das ist meine Einordnung.</w:t>
      </w:r>
    </w:p>
    <w:p>
      <w:pPr>
        <w:pStyle w:val="Fliesstext"/>
        <w:ind w:firstLine="283"/>
      </w:pPr>
      <w:r>
        <w:t xml:space="preserve">Damit sind wir bei der These, die ich als Student in einer Facharbeit vertreten habe und die ich hier ausdrücklich als </w:t>
      </w:r>
      <w:r>
        <w:rPr>
          <w:b/>
        </w:rPr>
        <w:t>meine These</w:t>
      </w:r>
      <w:r>
        <w:t xml:space="preserve"> kennzeichne, nicht als Befund: </w:t>
      </w:r>
      <w:r>
        <w:rPr>
          <w:b/>
        </w:rPr>
        <w:t>Automatisierung nimmt nicht die Jobs, sie verschiebt die Tätigkeit.</w:t>
      </w:r>
    </w:p>
    <w:p>
      <w:pPr>
        <w:pStyle w:val="Fliesstext"/>
        <w:ind w:firstLine="283"/>
      </w:pPr>
      <w:r>
        <w:t>Was spricht dafür? Der ILO-Befund, dass die meisten exponierten Jobs transformiert statt ersetzt werden.[6] Der OECD-Befund, dass bisher wenig Jobverluste zu sehen sind.[5] Der IAB-Befund, dass exponierte Berufe in Deutschland schneller wachsen.[8] Die WEF-Erwartung eines Netto-Zuwachses.[4] Und ein historisches Muster, das seit den Ludditen ziemlich stabil ist.</w:t>
      </w:r>
    </w:p>
    <w:p>
      <w:pPr>
        <w:pStyle w:val="Fliesstext"/>
        <w:ind w:firstLine="283"/>
      </w:pPr>
      <w:r>
        <w:t>Was spricht dagegen? Vier Dinge, und ich habe als Student keines davon ernst genommen.</w:t>
      </w:r>
    </w:p>
    <w:p>
      <w:pPr>
        <w:pStyle w:val="Fliesstext"/>
        <w:ind w:firstLine="283"/>
      </w:pPr>
      <w:r>
        <w:t>Erstens: „Bisher" ist kein Argument über morgen. Die stärksten Belege für meine These sind Rückschauen, und eine Rückschau auf eine drei Jahre alte Alltagstechnik ist eine sehr kurze Rückschau.</w:t>
      </w:r>
    </w:p>
    <w:p>
      <w:pPr>
        <w:pStyle w:val="Fliesstext"/>
        <w:ind w:firstLine="283"/>
      </w:pPr>
      <w:r>
        <w:t>Zweitens: Jeder historische Vergleich setzt voraus, dass diese Technik im Kern wie frühere funktioniert. Das ist eine Annahme, keine Erkenntnis. Frühere Automatisierung nahm Menschen einzelne, klar umrissene Verrichtungen ab und ließ ihnen das Urteil. Ob eine Technik, die auf Urteil, Formulierung und Zusammenfassung zielt, denselben Rest übrig lässt, ist die offene Frage, und sie lässt sich mit keiner Statistik über Webstühle beantworten.</w:t>
      </w:r>
    </w:p>
    <w:p>
      <w:pPr>
        <w:pStyle w:val="Fliesstext"/>
        <w:ind w:firstLine="283"/>
      </w:pPr>
      <w:r>
        <w:t>Drittens: Meine These beschreibt ein Ergebnis, als wäre es ein Naturgesetz, und es ist eine Entscheidung. Erik Brynjolfsson — derselbe, dessen Kundendienst-Studie oben steht — hat dafür den Begriff der Turing-Falle geprägt: Systeme, die Menschen ersetzen, senken deren Verhandlungsmacht und konzentrieren den geschaffenen Wert; Systeme, die Menschen erweitern, lassen sie daran teilhaben. Seine Diagnose ist, dass die Anreize derzeit die erste Richtung begünstigen.[18] Das ist eine ökonomische Position, keine Messung, und ich teile sie. Wenn sie stimmt, dann ist „die Tätigkeit verschiebt sich" kein Trost, sondern eine Aufgabe. Verschieben tut sich nichts von allein.</w:t>
      </w:r>
    </w:p>
    <w:p>
      <w:pPr>
        <w:pStyle w:val="Fliesstext"/>
        <w:ind w:firstLine="283"/>
      </w:pPr>
      <w:r>
        <w:t>Viertens, und das ist der blinde Fleck, der mir heute am meisten zu schaffen macht.</w:t>
      </w:r>
    </w:p>
    <w:p>
      <w:pPr>
        <w:pStyle w:val="Zwischen"/>
      </w:pPr>
      <w:r>
        <w:t>Der Durchschnitt tröstet niemanden</w:t>
      </w:r>
    </w:p>
    <w:p>
      <w:pPr>
        <w:pStyle w:val="Fliesstext"/>
      </w:pPr>
      <w:r>
        <w:t>Der blinde Fleck ist der Durchschnitt.</w:t>
      </w:r>
    </w:p>
    <w:p>
      <w:pPr>
        <w:pStyle w:val="Fliesstext"/>
        <w:ind w:firstLine="283"/>
      </w:pPr>
      <w:r>
        <w:t>„Die Beschäftigung bleibt insgesamt erhalten" ist ein wahrer Satz, der einem einzelnen Menschen nichts nützt. Wenn dein Job verschwindet und woanders zwei neue entstehen, für die du weder qualifiziert bist noch umziehen kannst, dann ist die volkswirtschaftliche Bilanz positiv und dein Leben trotzdem kaputt. Die Weber von Nottingham sind nicht dadurch satt geworden, dass die Textilindustrie vierzig Jahre später boomte. Ein Durchschnitt ist eine Auskunft über eine Gesamtheit, und niemand lebt in einer Gesamtheit. Die Tätigkeitsverschiebung, die ich in meiner Facharbeit gefeiert habe, ist für die betroffene Person keine Verschiebung. Sie ist ein Bruch.</w:t>
      </w:r>
    </w:p>
    <w:p>
      <w:pPr>
        <w:pStyle w:val="Fliesstext"/>
        <w:ind w:firstLine="283"/>
      </w:pPr>
      <w:r>
        <w:t xml:space="preserve">Und es gibt einen Befund, der mich mehr beunruhigt als alle anderen in diesem Kapitel. Er stammt ausgerechnet wieder von Brynjolfsson, zusammen mit Bharat Chandar und Ruyu Chen, aus dem Stanford Digital Economy Lab. Titel: </w:t>
      </w:r>
      <w:r>
        <w:rPr>
          <w:i/>
        </w:rPr>
        <w:t>Canaries in the Coal Mine?</w:t>
      </w:r>
      <w:r>
        <w:t xml:space="preserve"> — Kanarienvögel im Bergwerk.[15]</w:t>
      </w:r>
    </w:p>
    <w:p>
      <w:pPr>
        <w:pStyle w:val="Fliesstext"/>
        <w:ind w:firstLine="283"/>
      </w:pPr>
      <w:r>
        <w:t>Die Datengrundlage ist der Grund, warum man hinsehen muss: Lohnabrechnungsdaten des Dienstleisters ADP von über 25 Millionen Beschäftigten in den USA. Das ist keine Befragung, in der Leute erzählen, wie es ihnen geht. Das sind Abrechnungen. Wer im September auf einer Gehaltsliste steht und im Oktober nicht mehr, ist nicht mehr da. Die Autoren gruppieren diese Menschen nach Alter und nach der KI-Exposition ihres Berufs und schauen, wie sich die Gruppen seit der Verbreitung generativer KI zueinander entwickeln.</w:t>
      </w:r>
    </w:p>
    <w:p>
      <w:pPr>
        <w:pStyle w:val="Fliesstext"/>
        <w:ind w:firstLine="283"/>
      </w:pPr>
      <w:r>
        <w:t xml:space="preserve">Ergebnis: In den am stärksten KI-exponierten Berufen zeigt sich ein relativer Beschäftigungsrückgang von etwa 13 bis 16 Prozent bei Berufseinsteigerinnen und Berufseinsteigern zwischen 22 und 25 Jahren, während ältere Kohorten zwischen 35 und 49 Jahren zulegten. Der Rückgang konzentriert sich auf Anwendungen, die Tätigkeiten </w:t>
      </w:r>
      <w:r>
        <w:rPr>
          <w:b/>
        </w:rPr>
        <w:t>automatisieren</w:t>
      </w:r>
      <w:r>
        <w:t>, nicht auf solche, die sie unterstützen.[15]</w:t>
      </w:r>
    </w:p>
    <w:p>
      <w:pPr>
        <w:pStyle w:val="Fliesstext"/>
        <w:ind w:firstLine="283"/>
      </w:pPr>
      <w:r>
        <w:t>Drei Präzisierungen, damit die Zahl nicht größer wird, als sie ist. „Relativ" heißt: im Vergleich zu anderen Gruppen, nicht als absoluter Einbruch. Lohndaten sehen außerdem nur, wer beschäftigt ist — sie sehen nicht, ob jemand arbeitslos wurde, studiert, ins Ausland ging oder in einem anderen Beruf anfing. Und es ist ein Land, ein Datenanbieter, ein Zeitraum. Es ist eine Studie, sie ist neu.</w:t>
      </w:r>
    </w:p>
    <w:p>
      <w:pPr>
        <w:pStyle w:val="Fliesstext"/>
        <w:ind w:firstLine="283"/>
      </w:pPr>
      <w:r>
        <w:t xml:space="preserve">Der letzte Teilbefund ist trotzdem der wichtigste des Kapitels, weil er die beiden Hälften zusammenbringt. Der Rückgang hängt daran, ob die KI in einem Beruf </w:t>
      </w:r>
      <w:r>
        <w:rPr>
          <w:b/>
        </w:rPr>
        <w:t>automatisierend</w:t>
      </w:r>
      <w:r>
        <w:t xml:space="preserve"> oder </w:t>
      </w:r>
      <w:r>
        <w:rPr>
          <w:b/>
        </w:rPr>
        <w:t>unterstützend</w:t>
      </w:r>
      <w:r>
        <w:t xml:space="preserve"> eingesetzt wird.[15] Das ist exakt Brynjolfssons eigene Unterscheidung aus der Turing-Falle,[18] und hier taucht sie zum ersten Mal in Beschäftigungsdaten auf. Es ist also nicht die Technik, die entscheidet. Es ist, wofür man sie einsetzt.</w:t>
      </w:r>
    </w:p>
    <w:p>
      <w:pPr>
        <w:pStyle w:val="Fliesstext"/>
        <w:ind w:firstLine="283"/>
      </w:pPr>
      <w:r>
        <w:t>Erinnerst du dich an den Befund aus dem Kundenservice? Dort war die KI die große Chance für die Unerfahrenen, weil sie deren Leistung anhob. Hier ist sie das Problem der Unerfahrenen, weil sie deren Einstiegsjobs überflüssig macht. Das ist kein Widerspruch, das ist dieselbe Medaille von beiden Seiten. Wenn ein Werkzeug die Leistung von Anfängern auf ein solides Niveau hebt, dann steigt der Wert des Anfängers für die Arbeit, die er tut — und gleichzeitig sinkt die Zahl der Anfänger, die man dafür braucht.</w:t>
      </w:r>
    </w:p>
    <w:p>
      <w:pPr>
        <w:pStyle w:val="Fliesstext"/>
        <w:ind w:firstLine="283"/>
      </w:pPr>
      <w:r>
        <w:t>Wenn dieser Befund sich bestätigt, dann trifft die KI genau die Menschen, die am wenigsten Puffer haben. Nicht mich, mit fünfzehn Jahren Berufserfahrung und einem Team. Sondern den, der gerade fertig geworden ist und den ersten Job sucht, in dem er das Handwerk lernen soll. Die einfachen Fälle waren nie nur Arbeit. Sie waren die Übung, an der man lernte, die schweren zu erkennen. Wer keine Einstiegsjobs mehr hat, hat in zehn Jahren keine Erfahrenen. Das ist meine Sorge, und ich habe keine gute Antwort darauf.</w:t>
      </w:r>
    </w:p>
    <w:p>
      <w:pPr>
        <w:pStyle w:val="Fliesstext"/>
        <w:ind w:firstLine="283"/>
      </w:pPr>
      <w:r>
        <w:t>Was die Beschäftigten selbst denken, hat die OECD 2022 in sieben Ländern erhoben, im Finanzsektor und in der Industrie, bei über 2.000 Arbeitgebern und über 5.300 Beschäftigten. Rund 20 Prozent waren sehr oder äußerst besorgt, in den nächsten zehn Jahren ihren Job zu verlieren. In Firmen, die KI bereits einsetzten, kannten 20 Prozent (Finanz) beziehungsweise 15 Prozent (Industrie) jemanden persönlich, der wegen KI seinen Job verloren hatte.[16] Das ist keine eingebildete Angst. Für einen von fünf Menschen in diesen Betrieben hat sie ein Gesicht. Und es ist bemerkenswert, dass diese Erhebung von 2022 stammt, also aus der Zeit vor dem Durchbruch der Chatbots — was diese Leute erlebt hatten, war klassische Automatisierung.</w:t>
      </w:r>
    </w:p>
    <w:p>
      <w:pPr>
        <w:pStyle w:val="Fliesstext"/>
        <w:ind w:firstLine="283"/>
      </w:pPr>
      <w:r>
        <w:t xml:space="preserve">Gleichzeitig zeigen dieselben OECD-Erhebungen eine deutliche Lohnprämie für KI-Kompetenzen, auch gegenüber vergleichbaren Beschäftigten mit anderen fortgeschrittenen Fähigkeiten.[16] Beides zusammen ergibt die unbequemste Formel dieses Kapitels: Die Technik entwertet nicht Menschen, sie entwertet </w:t>
      </w:r>
      <w:r>
        <w:rPr>
          <w:b/>
        </w:rPr>
        <w:t>bestimmte Tätigkeiten</w:t>
      </w:r>
      <w:r>
        <w:t xml:space="preserve"> und wertet andere auf. Wer die Bewegung mitmacht, gewinnt. Wer sie nicht mitmachen kann, verliert. Und ob du sie mitmachen kannst, hängt von Alter, Beruf, Bildung, Geld und Zeit ab — also von lauter Dingen, die schon vorher ungleich verteilt waren.</w:t>
      </w:r>
    </w:p>
    <w:p>
      <w:pPr>
        <w:pStyle w:val="Zwischen"/>
      </w:pPr>
      <w:r>
        <w:t>Die Prüffragen, angelegt</w:t>
      </w:r>
    </w:p>
    <w:p>
      <w:pPr>
        <w:pStyle w:val="Fliesstext"/>
      </w:pPr>
      <w:r>
        <w:t>Im fünften Kapitel habe ich dir ein Werkzeug in die Hand gegeben. Legen wir es an.</w:t>
      </w:r>
    </w:p>
    <w:p>
      <w:pPr>
        <w:pStyle w:val="Fliesstext"/>
        <w:ind w:firstLine="283"/>
      </w:pPr>
      <w:r>
        <w:rPr>
          <w:b/>
        </w:rPr>
        <w:t>Ist die Sorge über die Technik oder über ihre Verteilung?</w:t>
      </w:r>
      <w:r>
        <w:t xml:space="preserve"> Bei der Job-Angst ist die Antwort ziemlich eindeutig: über die Verteilung. Keine der oben genannten Institutionen erwartet, dass die Arbeit ausgeht. Fast alle erwarten, dass sich verschiebt, wer welche Arbeit macht und was sie einbringt. Die Ludditen hatten kein Maschinenproblem, sie hatten ein Verteilungsproblem. Wer heute „die KI nimmt uns die Jobs" sagt, meint fast immer: „Ich fürchte, ich stehe auf der falschen Seite der Verschiebung." Das ist eine völlig andere Frage — und, das ist der Punkt, eine politisch beantwortbare. Technik kann man nicht verhandeln. Verteilung schon.</w:t>
      </w:r>
    </w:p>
    <w:p>
      <w:pPr>
        <w:pStyle w:val="Fliesstext"/>
        <w:ind w:firstLine="283"/>
      </w:pPr>
      <w:r>
        <w:rPr>
          <w:b/>
        </w:rPr>
        <w:t>Betrifft es alle oder eine bestimmte Gruppe in einer bestimmten Phase?</w:t>
      </w:r>
      <w:r>
        <w:t xml:space="preserve"> Diese Frage hat in diesem Kapitel eine ungewöhnlich klare Antwort bekommen, und sie ist keine beruhigende. Die Gruppe hat einen Namen und ein Alter: 22 bis 25, in stark exponierten Berufen, am Anfang.[15] Und sie hat ein Geschlecht: 4,7 gegen 2,4 Prozent in der höchsten Expositionskategorie.[6] Wer die Frage stellt, bekommt hier keine Entwarnung, sondern eine Adresse. Das ist genau der Zweck der Frage.</w:t>
      </w:r>
    </w:p>
    <w:p>
      <w:pPr>
        <w:pStyle w:val="Fliesstext"/>
        <w:ind w:firstLine="283"/>
      </w:pPr>
      <w:r>
        <w:rPr>
          <w:b/>
        </w:rPr>
        <w:t>Wer profitiert davon, dass ich das glaube?</w:t>
      </w:r>
      <w:r>
        <w:t xml:space="preserve"> Diese Frage schneidet in beide Richtungen, und das ist ihre Stärke. Von der Panik profitieren erst einmal die Anbieter: Ein Werkzeug, das angeblich ganze Berufe ersetzt, lässt sich teurer verkaufen als eines, das die Bearbeitung von Servicetickets um 15 Prozent beschleunigt. „Wir ersetzen euer Team" ist ein besserer Pitch als „Wir helfen euch ein bisschen". Ein Teil der Untergangsrhetorik über den Arbeitsmarkt ist schlicht Marketing mit umgekehrtem Vorzeichen. Von der Entwarnung profitieren aber auch Leute: Arbeitgeber, die keine Umschulung bezahlen wollen, und Politiker, die sich um die Verteilungsfrage drücken. Und, damit du es von mir hörst: Ich profitiere selbst. Ich verdiene mein Geld mit Automatisierung. Wenn du glaubst, dass Automatisierung Tätigkeiten verschiebt statt Jobs zu vernichten, ist das für mein Geschäft angenehmer. Rechne das ein, wenn du meine These liest. Ich habe versucht, sie mit Befunden zu prüfen statt mit Wunschdenken, und ich habe dir den METR-Befund und die Kanarienvögel nicht verschwiegen. Aber ich bin nicht neutral, und niemand ist es.</w:t>
      </w:r>
    </w:p>
    <w:p>
      <w:pPr>
        <w:pStyle w:val="Zwischen"/>
      </w:pPr>
      <w:r>
        <w:t>Und heute?</w:t>
      </w:r>
    </w:p>
    <w:p>
      <w:pPr>
        <w:pStyle w:val="Fliesstext"/>
      </w:pPr>
      <w:r>
        <w:t>Die Beweisaufnahme endet nicht mit einem Freispruch und nicht mit einem Schuldspruch. Sie endet mit einem Befund, der sich in einem Satz sagen lässt: Die Arbeit geht nicht aus, aber sie zieht um — und niemand garantiert dir, dass sie dorthin zieht, wo du stehst.</w:t>
      </w:r>
    </w:p>
    <w:p>
      <w:pPr>
        <w:pStyle w:val="Fliesstext"/>
        <w:ind w:firstLine="283"/>
      </w:pPr>
      <w:r>
        <w:t>Für meine Kollegin ging der Umzug gut aus. Sie hatte Zeit, sie hatte ein Team, das sie mitgenommen hat, und sie hatte eine Aufgabe, die auf sie gewartet hat. Das war Glück und Organisation, nicht Naturgesetz. Wäre der Bot in einem Betrieb aufgetaucht, in dem niemand über das Danach nachgedacht hätte, hätte derselbe technische Vorgang ein anderes Ergebnis gehabt — und ich weiß das nicht aus einer Studie, sondern weil ich in beiden Sorten Betrieb gearbeitet habe. Die Technik entscheidet nicht, wie die Geschichte ausgeht. Sie entscheidet nur, dass es eine Geschichte gibt.</w:t>
      </w:r>
    </w:p>
    <w:p>
      <w:pPr>
        <w:pStyle w:val="Fliesstext"/>
        <w:ind w:firstLine="283"/>
      </w:pPr>
      <w:r>
        <w:t>Bleibt eine Voraussetzung, über die dieses Kapitel stillschweigend hinweggegangen ist. Alles, was ich dir hier gezeigt habe — Umschulung, Tätigkeitsverschiebung, mit der Bewegung mitgehen, die Lohnprämie für neue Fähigkeiten — setzt eine Sache voraus, die niemand prüft: dass wir überhaupt noch lernfähig sind, während wir uns von Maschinen helfen lassen.</w:t>
      </w:r>
    </w:p>
    <w:p>
      <w:pPr>
        <w:pStyle w:val="Fliesstext"/>
        <w:ind w:firstLine="283"/>
      </w:pPr>
      <w:r>
        <w:t>Der Kollege aus dem ersten Kapitel hat genau danach gefragt. Ob er das Denken verlernt, wenn er das Ding jeden Tag benutzt. Wenn die Arbeit bleibt, sich aber verschiebt, hängt alles an dieser Frage. Es gibt Daten dazu. Sie sind nicht so beruhigend, wie ich es gern hätte.</w:t>
      </w:r>
    </w:p>
    <w:p>
      <w:r>
        <w:br w:type="page"/>
      </w:r>
    </w:p>
    <w:p>
      <w:pPr>
        <w:pStyle w:val="KapitelNummer"/>
      </w:pPr>
      <w:r>
        <w:rPr>
          <w:i/>
        </w:rPr>
        <w:t>Kapitel 7</w:t>
      </w:r>
    </w:p>
    <w:p>
      <w:pPr>
        <w:pStyle w:val="KapitelTitel"/>
      </w:pPr>
      <w:r>
        <w:t>Werden wir dümmer?</w:t>
      </w:r>
    </w:p>
    <w:p>
      <w:pPr>
        <w:pStyle w:val="Fliesstext"/>
      </w:pPr>
      <w:r>
        <w:t>Ich schulde dir eine Antwort.</w:t>
      </w:r>
    </w:p>
    <w:p>
      <w:pPr>
        <w:pStyle w:val="Fliesstext"/>
        <w:ind w:firstLine="283"/>
      </w:pPr>
      <w:r>
        <w:t>Im ersten Kapitel habe ich dir von einem Workshop erzählt. Freitagvormittag, elf Leute in einem Besprechungsraum, Flipchart, der übliche Ablauf: erst zeige ich, was die Werkzeuge können, dann kommen die Fragen. Die Fragen sind fast immer dieselben. Datenschutz, Kosten, „Und wenn das Ding Unsinn erzählt?". Die Frage, die hängen bleibt, kam an dem Tag ganz zum Schluss, als die Ersten schon ihre Laptops zuklappten. Ein Kollege, zwanzig Jahre im Haus, sehr gut in dem, was er tut, meldete sich noch einmal und fragte: „Wenn ich das Ding jeden Tag benutze — verlerne ich dann nicht, selbst zu denken?"</w:t>
      </w:r>
    </w:p>
    <w:p>
      <w:pPr>
        <w:pStyle w:val="Fliesstext"/>
        <w:ind w:firstLine="283"/>
      </w:pPr>
      <w:r>
        <w:t>Ich habe damals etwas geantwortet, das stimmte und nichts half, nämlich „kommt drauf an, wie man es einsetzt". Er hat genickt. So, wie man nickt, wenn man merkt, dass der andere die Frage nicht ernst genommen hat. Ich habe dir versprochen, hier mit Daten zurückzukommen.</w:t>
      </w:r>
    </w:p>
    <w:p>
      <w:pPr>
        <w:pStyle w:val="Fliesstext"/>
        <w:ind w:firstLine="283"/>
      </w:pPr>
      <w:r>
        <w:t>Hier sind sie. Ich warne dich vor: Das ist das Kapitel, in dem ich gegen meine eigene Begeisterung anschreiben muss. Ich verdiene mein Geld mit Automatisierung, ich baue mir abends kleine Werkzeuge mit KI, ich halte diese Technik für eine der nützlichsten Sachen, die mir beruflich untergekommen sind. Genau deshalb muss ich bei den folgenden Befunden besonders sauber arbeiten. Wer eine Sache mag, liest Studien darüber gern schief. Man übersieht die Stichprobengröße bei dem Ergebnis, das einem passt, und findet sie sofort bei dem, das einen stört. Ich versuche, das hier in beide Richtungen gleich streng zu machen, und du darfst mich beim Wort nehmen.</w:t>
      </w:r>
    </w:p>
    <w:p>
      <w:pPr>
        <w:pStyle w:val="Fliesstext"/>
        <w:ind w:firstLine="283"/>
      </w:pPr>
      <w:r>
        <w:t>Noch etwas vorweg, damit die Erwartung stimmt. Die Forschung zu dieser Frage ist jung. Die wichtigsten Arbeiten sind zwei, drei Jahre alt, manche nicht einmal begutachtet, und über generative KI im Alltag von Millionen Menschen gibt es schlicht noch keine Langzeitdaten. Wer dir hier Gewissheit verkauft, in welche Richtung auch immer, verkauft dir etwas, das es nicht gibt. Was es gibt, sind ein paar sehr gute erste Befunde. Die reichen für ein Urteil, aber nur für ein vorläufiges.</w:t>
      </w:r>
    </w:p>
    <w:p>
      <w:pPr>
        <w:pStyle w:val="Fliesstext"/>
        <w:ind w:firstLine="283"/>
      </w:pPr>
      <w:r>
        <w:t>Und eine Vorfrage müssen wir loswerden, sonst reden wir die nächsten Seiten aneinander vorbei. „Dümmer" ist kein messbarer Zustand. Kein Forschungsteam der Welt kann dir sagen, ob die Menschheit klüger oder dümmer wird, weil niemand ein Maß dafür hat, das über Jahrzehnte und Kulturen hinweg dasselbe bedeutet. Was man messen kann, sind einzelne Fähigkeiten unter bestimmten Bedingungen: Wie viel behält jemand von einem Text, den er nicht selbst geschrieben hat. Wie gründlich prüft jemand ein Ergebnis, das er nicht selbst erarbeitet hat. Wie verschieden fallen die Lösungen aus, wenn zehn Leute dieselbe Aufgabe mit derselben Hilfe bearbeiten. Die Frage in der Kapitelüberschrift ist deshalb eine Schlagzeile. Die Antworten in diesem Kapitel sind kleinteiliger, und das ist kein Mangel, sondern der Unterschied zwischen einer Debatte und einem Befund.</w:t>
      </w:r>
    </w:p>
    <w:p>
      <w:pPr>
        <w:pStyle w:val="Fliesstext"/>
        <w:ind w:firstLine="283"/>
      </w:pPr>
      <w:r>
        <w:t>Deswegen mache ich es in diesem Kapitel anders als sonst. Ich erzähle dir nicht nur, was herauskam, sondern wie gemessen wurde. Das ist unbequemer zu lesen, aber es ist die einzige Möglichkeit, dich in die Lage zu versetzen, die nächste Schlagzeile selbst einzuordnen — und Schlagzeilen zu diesem Thema wird es reichlich geben.</w:t>
      </w:r>
    </w:p>
    <w:p>
      <w:pPr>
        <w:pStyle w:val="Fliesstext"/>
        <w:ind w:firstLine="283"/>
      </w:pPr>
      <w:r>
        <w:t>Fangen wir mit der Seite an, die mir leichter fällt.</w:t>
      </w:r>
    </w:p>
    <w:p>
      <w:pPr>
        <w:pStyle w:val="Zwischen"/>
      </w:pPr>
      <w:r>
        <w:t>Der beste Nachhilfelehrer, den Edo State je hatte</w:t>
      </w:r>
    </w:p>
    <w:p>
      <w:pPr>
        <w:pStyle w:val="Fliesstext"/>
      </w:pPr>
      <w:r>
        <w:t>2024 lief in Benin City im nigerianischen Bundesstaat Edo ein Versuch, der in der Bildungsforschung ziemlich eingeschlagen hat. Neun öffentliche Schulen, rund 800 Schülerinnen und Schüler, sechs Wochen Nachmittagsunterricht in Englisch. Die eine Gruppe bekam das übliche Programm. Die andere arbeitete mit GPT-4, eingebunden über Microsoft Copilot, als Tutor — begleitet von einer Lehrkraft, nicht allein gelassen mit dem Chatfenster. Die Weltbank hat den Versuch als randomisierte Studie ausgewertet und die Lernzuwächse mit rund zwei Jahren regulärer Schulbildung verglichen. Kosten: etwa 48 US-Dollar pro Kind.[1]</w:t>
      </w:r>
    </w:p>
    <w:p>
      <w:pPr>
        <w:pStyle w:val="Fliesstext"/>
        <w:ind w:firstLine="283"/>
      </w:pPr>
      <w:r>
        <w:t>Bleib kurz bei dem Wort „randomisiert", denn daran hängt alles. Es bedeutet, dass der Zufall entschieden hat, wer in welche Gruppe kommt, nicht die Motivation der Kinder, nicht der Ehrgeiz einer Schulleitung, nicht das Budget der Eltern. Genau das ist der Grund, warum diese Bauart in der Bildungsforschung als Goldstandard gilt. Vergleicht man Schulen, die ein neues Programm eingeführt haben, mit Schulen, die es nicht getan haben, misst man am Ende vor allem den Unterschied zwischen Schulen, die so etwas einführen, und solchen, die es lassen. Der Zufall räumt diesen Unterschied weg. Alles, was danach zwischen den Gruppen übrig bleibt, kann man dem Programm zurechnen.</w:t>
      </w:r>
    </w:p>
    <w:p>
      <w:pPr>
        <w:pStyle w:val="Fliesstext"/>
        <w:ind w:firstLine="283"/>
      </w:pPr>
      <w:r>
        <w:t>Diese Zahl macht seit Monaten die Runde, und du solltest sie mit ein paar Einschränkungen im Kopf lesen, die die Weltbank selbst mitliefert.</w:t>
      </w:r>
    </w:p>
    <w:p>
      <w:pPr>
        <w:pStyle w:val="Fliesstext"/>
        <w:ind w:firstLine="283"/>
      </w:pPr>
      <w:r>
        <w:t>Erstens ist das ein kleiner Pilot. 800 Kinder an neun Schulen sind eine ordentliche Studie, aber keine Bildungsreform. Es ist eine Stadt, ein Fach, ein Halbjahr, ein Anbieter. Und, das ist jetzt meine Ergänzung und nicht die der Weltbank: Englisch ist die Sprache, in der diese Modelle am stärksten sind. Wie derselbe Aufbau in Mathematik oder in einer Sprache mit wenig Trainingsmaterial ausgeht, weiß niemand, weil es niemand so gemessen hat.</w:t>
      </w:r>
    </w:p>
    <w:p>
      <w:pPr>
        <w:pStyle w:val="Fliesstext"/>
        <w:ind w:firstLine="283"/>
      </w:pPr>
      <w:r>
        <w:t>Zweitens sind sechs Wochen kurz. Was nach zwei Jahren übrig ist, weiß niemand, denn so lange lief nichts.</w:t>
      </w:r>
    </w:p>
    <w:p>
      <w:pPr>
        <w:pStyle w:val="Fliesstext"/>
        <w:ind w:firstLine="283"/>
      </w:pPr>
      <w:r>
        <w:t xml:space="preserve">Drittens ist der oft zitierte Wert von etwa 2,2 Standardabweichungen eine </w:t>
      </w:r>
      <w:r>
        <w:rPr>
          <w:b/>
        </w:rPr>
        <w:t>Hochrechnung</w:t>
      </w:r>
      <w:r>
        <w:t xml:space="preserve"> auf ein volles Schuljahr, keine gemessene Größe. Sechs Wochen wurden gedanklich gestreckt. Warum das riskant ist, kannst du dir an einer Sache klarmachen, die du kennst: Wer sechs Wochen lang ins Fitnessstudio geht, macht in dieser Zeit die größten Fortschritte seines Lebens. Rechnet man diese sechs Wochen auf ein Jahr hoch, kommt ein Mensch heraus, den es nicht gibt. Lernkurven sind am Anfang steil und werden flacher, Neuheit wirkt für sich genommen, und nach oben ist irgendwann der Test zu Ende, nicht das Können. Solche Hochrechnungen gehen in der Bildungsforschung notorisch nach oben schief. Der gemessene Befund bleibt trotzdem stark — nur ist der gemessene Befund „sechs Wochen" und nicht „ein Schuljahr".</w:t>
      </w:r>
    </w:p>
    <w:p>
      <w:pPr>
        <w:pStyle w:val="Fliesstext"/>
        <w:ind w:firstLine="283"/>
      </w:pPr>
      <w:r>
        <w:t>Viertens, und das finde ich das Interessanteste: Die frühen Sitzungen brachten wenig. Die Wirkung kam erst, als Kinder und Lehrkräfte gelernt hatten, mit dem Ding umzugehen.[1] Dreh das einmal um, dann steht da etwas Bemerkenswertes. Der Effekt war keine Eigenschaft der Software. Er war eine Fähigkeit der Beteiligten, und sie mussten sie erst erwerben. Wer eine Klasse mit Zugängen ausstattet und nach zwei Wochen die Ergebnisse anschaut, misst nichts.</w:t>
      </w:r>
    </w:p>
    <w:p>
      <w:pPr>
        <w:pStyle w:val="Fliesstext"/>
        <w:ind w:firstLine="283"/>
      </w:pPr>
      <w:r>
        <w:t>Und fünftens die 48 Dollar. Das ist der Betrag, der für diesen Versuch anfiel. Was eine dauerhafte Einführung im ganzen Bundesstaat kosten würde — Geräte, Anbindung, Strom, Lehrkräftefortbildung, Wartung, Lizenzen —, steht auf einem anderen Blatt, und die Weltbank markiert die Skalierbarkeit ausdrücklich als offene Frage.[1] Pilotpreise sind selten Endpreise. Das weiß jeder, der schon einmal eine Software eingeführt hat, die im Testbetrieb umsonst war.</w:t>
      </w:r>
    </w:p>
    <w:p>
      <w:pPr>
        <w:pStyle w:val="Fliesstext"/>
        <w:ind w:firstLine="283"/>
      </w:pPr>
      <w:r>
        <w:t>Trotzdem bleibt es ein starker Befund, und er zielt auf ein altes Problem. Der Bildungsforscher Benjamin Bloom beschrieb 1984 das sogenannte Zwei-Sigma-Problem: Einzelunterricht mit einem guten Tutor hebt Lernergebnisse dramatisch, um etwa zwei Standardabweichungen gegenüber normalem Klassenunterricht.[12] Diese Einheit sagt dir vermutlich wenig, deshalb rechne ich sie um. Zwei Standardabweichungen bedeuten bei einer normalen Verteilung, dass ein durchschnittliches Kind aus der Tutoring-Gruppe rechnerisch über rund 98 Prozent der Vergleichsgruppe liegt. Aus einem Mittelfeldschüler wird einer der Besten der Klasse. Nicht, weil er sich verändert hat, sondern weil ihm jemand zuhört und im richtigen Moment nachfragt.</w:t>
      </w:r>
    </w:p>
    <w:p>
      <w:pPr>
        <w:pStyle w:val="Fliesstext"/>
        <w:ind w:firstLine="283"/>
      </w:pPr>
      <w:r>
        <w:t>Das Problem war nie, dass wir das nicht wussten. Das Problem war, dass niemand jedem Kind einen eigenen Tutor bezahlen kann. Genau an dieser Stelle wird die 48-Dollar-Zahl interessant, und zwar unabhängig davon, ob sie am Ende 48 oder 200 lautet: Zum ersten Mal steht eine Größenordnung im Raum, in der das Zwei-Sigma-Problem überhaupt lösbar aussieht.</w:t>
      </w:r>
    </w:p>
    <w:p>
      <w:pPr>
        <w:pStyle w:val="Fliesstext"/>
        <w:ind w:firstLine="283"/>
      </w:pPr>
      <w:r>
        <w:t>Weitere randomisierte Studien, unter anderem aus Ghana und aus britischen Klassenzimmern, berichten inzwischen ebenfalls messbare Zuwächse durch KI-Tutoren, wobei die Effektgrößen zwischen den Studien deutlich schwanken.[1] Diese Schwankung ist kein Makel, sondern eine Information. Sie sagt dir, dass der Effekt nicht am Modell hängt, sondern am Drumherum: an der Aufgabenstellung, an der Lehrkraft, am Fach, an der Länge, am Test, mit dem gemessen wurde. Wenn dieselbe Technik einmal viel und einmal wenig bringt, ist die Technik nicht die entscheidende Variable.</w:t>
      </w:r>
    </w:p>
    <w:p>
      <w:pPr>
        <w:pStyle w:val="Fliesstext"/>
        <w:ind w:firstLine="283"/>
      </w:pPr>
      <w:r>
        <w:t>Wenn du in Deutschland auf ein Gymnasium gehst und die Eltern Nachhilfe bezahlen können, ist das für dich ein netter Zusatz. Wenn du in Edo State zur Schule gehst, ist es womöglich der Unterschied zwischen Anschluss und Abhängen. Ich halte das für den ehrlichsten Grund, bei diesem Thema nicht nur auf die Risiken zu starren.</w:t>
      </w:r>
    </w:p>
    <w:p>
      <w:pPr>
        <w:pStyle w:val="Fliesstext"/>
        <w:ind w:firstLine="283"/>
      </w:pPr>
      <w:r>
        <w:t xml:space="preserve">Was der Versuch allerdings </w:t>
      </w:r>
      <w:r>
        <w:rPr>
          <w:b/>
        </w:rPr>
        <w:t>nicht</w:t>
      </w:r>
      <w:r>
        <w:t xml:space="preserve"> zeigt, sollte man genauso deutlich sagen. Er zeigt nicht, dass ein Jugendlicher, der abends allein mit einem Chatbot seine Hausaufgaben macht, denselben Effekt bekommt.</w:t>
      </w:r>
    </w:p>
    <w:p>
      <w:pPr>
        <w:pStyle w:val="Fliesstext"/>
        <w:ind w:firstLine="283"/>
      </w:pPr>
      <w:r>
        <w:t>Ich habe beide Varianten gesehen. Meine Frau und ich sind ehrenamtlich in der Jugendarbeit, und irgendwann sitzt man zwangsläufig neben einem Vierzehnjährigen mit einem Laptop und einer Deutschaufgabe. Die erste Variante dauerte vierzig Sekunden. Er tippte die Aufgabenstellung ab, kopierte die Antwort, fertig. Ich habe ihn danach gefragt, was in seinem Text steht. Er wusste es nicht. Nicht ungefähr nicht — gar nicht. Er hatte ihn nie gelesen, er hatte ihn transportiert.</w:t>
      </w:r>
    </w:p>
    <w:p>
      <w:pPr>
        <w:pStyle w:val="Fliesstext"/>
        <w:ind w:firstLine="283"/>
      </w:pPr>
      <w:r>
        <w:t>Beim zweiten Mal haben wir eine Regel vereinbart: Das Modell darf nur Fragen stellen, nicht antworten. Er hat es in den Anweisungen so festgelegt und ist dann fünfzig Minuten lang gelöchert worden. Was meinst du damit. Woran machst du das fest. Wo steht das im Text. Er war anschließend genervt und hatte einen Aufsatz, den er verteidigen konnte. Dieselbe Software, dieselbe Aufgabe, dasselbe Kind, zwei völlig verschiedene Nachmittage.</w:t>
      </w:r>
    </w:p>
    <w:p>
      <w:pPr>
        <w:pStyle w:val="Fliesstext"/>
        <w:ind w:firstLine="283"/>
      </w:pPr>
      <w:r>
        <w:t>Der Aufbau in Benin City war die zweite Variante, nicht die erste: zusätzlicher Unterricht, strukturierte Aufgaben, eine Lehrkraft im Raum, ein Kind, das antworten musste. Das Modell war dort nicht die Abkürzung um die Arbeit herum. Es war das Gegenüber, das die Arbeit erzwang, und zwar für jedes Kind einzeln statt für dreißig gleichzeitig. Merk dir diesen Unterschied. Er trägt den Rest des Kapitels.</w:t>
      </w:r>
    </w:p>
    <w:p>
      <w:pPr>
        <w:pStyle w:val="Fliesstext"/>
        <w:ind w:firstLine="283"/>
      </w:pPr>
      <w:r>
        <w:t>Eine Einschränkung meiner eigenen Regel gehört dazu, sonst wird sie zu bequem. Meine Mutter kam mit siebzehn nach Deutschland und tut sich mit der Sprache nach fünfunddreißig Jahren immer noch schwer. Sie lässt sich Briefe vom Handy übersetzen. Nach der Logik dieses Kapitels müsste ich sagen: Werkzeug vor Fähigkeit, schlecht. Das wäre Unsinn. Bei ihr ersetzt das Werkzeug keine Fähigkeit, die noch kommen soll, sondern eine, die nicht mehr kommt. Die Regel gilt für Menschen im Lernen. Für alle anderen ist sie eine Zumutung.</w:t>
      </w:r>
    </w:p>
    <w:p>
      <w:pPr>
        <w:pStyle w:val="Fliesstext"/>
        <w:ind w:firstLine="283"/>
      </w:pPr>
      <w:r>
        <w:t>So. Und jetzt kommt die Rechnung.</w:t>
      </w:r>
    </w:p>
    <w:p>
      <w:pPr>
        <w:pStyle w:val="Zwischen"/>
      </w:pPr>
      <w:r>
        <w:t>Thamus, jetzt mit EEG</w:t>
      </w:r>
    </w:p>
    <w:p>
      <w:pPr>
        <w:pStyle w:val="Fliesstext"/>
      </w:pPr>
      <w:r>
        <w:t xml:space="preserve">Im Sommer 2025 veröffentlichte eine Gruppe um Nataliya Kosmyna vom MIT Media Lab einen Preprint mit einem Titel, der für Wissenschaft ungewöhnlich griffig ist: </w:t>
      </w:r>
      <w:r>
        <w:rPr>
          <w:i/>
        </w:rPr>
        <w:t>Your Brain on ChatGPT</w:t>
      </w:r>
      <w:r>
        <w:t xml:space="preserve">.[2] Der Untertitel enthält den Begriff, der seither durch jede Feuilleton-Debatte geistert: </w:t>
      </w:r>
      <w:r>
        <w:rPr>
          <w:b/>
        </w:rPr>
        <w:t>cognitive debt</w:t>
      </w:r>
      <w:r>
        <w:t>, kognitive Schuld.</w:t>
      </w:r>
    </w:p>
    <w:p>
      <w:pPr>
        <w:pStyle w:val="Fliesstext"/>
        <w:ind w:firstLine="283"/>
      </w:pPr>
      <w:r>
        <w:t>Der Aufbau: Versuchspersonen schrieben Aufsätze, während ihre Gehirnaktivität per EEG aufgezeichnet wurde. Drei Gruppen. Die eine schrieb nur mit dem eigenen Kopf. Die zweite durfte eine Suchmaschine benutzen. Die dritte arbeitete mit einem Sprachmodell. Das Ergebnis in einem Satz: Die neuronale Konnektivität war in der Nur-Kopf-Gruppe am höchsten, in der Suchmaschinen-Gruppe mittel und in der KI-Gruppe am schwächsten.[2]</w:t>
      </w:r>
    </w:p>
    <w:p>
      <w:pPr>
        <w:pStyle w:val="Fliesstext"/>
        <w:ind w:firstLine="283"/>
      </w:pPr>
      <w:r>
        <w:t>Damit du weißt, worüber wir reden: Ein EEG misst Spannungsschwankungen an der Kopfhaut, die von der gemeinsamen Aktivität sehr vieler Nervenzellen erzeugt werden. Es ist ausgezeichnet darin, den Zeitverlauf abzubilden — Millisekunden —, und ziemlich grob darin, zu sagen, wo genau im Gehirn etwas passiert. „Konnektivität" heißt in diesem Zusammenhang, wie stark die Signale verschiedener Ableitstellen miteinander im Gleichtakt laufen, also grob, wie sehr Hirnregionen beim Arbeiten zusammenspielen. Was ein EEG nicht misst: Intelligenz, Wissen, Verständnis, Lernerfolg. Es misst elektrische Aktivität, sonst nichts. Alles, was darüber hinausgeht, ist Interpretation.</w:t>
      </w:r>
    </w:p>
    <w:p>
      <w:pPr>
        <w:pStyle w:val="Fliesstext"/>
        <w:ind w:firstLine="283"/>
      </w:pPr>
      <w:r>
        <w:t>Bevor du das als Beweis nimmst, hier die Einschränkungen, und sie sind erheblich.</w:t>
      </w:r>
    </w:p>
    <w:p>
      <w:pPr>
        <w:pStyle w:val="Fliesstext"/>
        <w:ind w:firstLine="283"/>
      </w:pPr>
      <w:r>
        <w:t>Die Stichprobe ist klein: 54 Personen insgesamt, und an der vierten Sitzung, aus der die meisten der zugespitzten Schlagzeilen stammen, nahmen nur noch 18 teil. Achtzehn. Das ist eine Schulklasse, keine Bevölkerung. Der Schwund ist dabei nicht nur eine Frage der Zahl, sondern der Auswahl: Wer zu einem vierten Labortermin erscheint, ist nicht irgendwer. Vielleicht die Gewissenhaften, vielleicht die, denen die Sache Spaß machte, vielleicht die mit dem flexibelsten Stundenplan. Aus 54 werden nicht einfach 18 kleinere 54, sondern 18 andere.</w:t>
      </w:r>
    </w:p>
    <w:p>
      <w:pPr>
        <w:pStyle w:val="Fliesstext"/>
        <w:ind w:firstLine="283"/>
      </w:pPr>
      <w:r>
        <w:t>Die Arbeit ist außerdem ein Preprint, also nicht durch ein Begutachtungsverfahren gelaufen. Ein Folge-Kommentar von Stanković und Kollegen aus dem Jahr 2026 kritisiert die Methodik.[2] Man sollte weder das eine noch das andere überhöhen. Begutachtung ist kein Wahrheitssiegel; es gehen genug fehlerhafte Arbeiten durch und genug gute daran vorbei. Sie ist eine Grobfilterung durch zwei, drei Fachleute, die sich die Sache in ihrer Freizeit ansehen. Aber sie ist der Punkt, an dem jemand mit Sachkenntnis widersprechen darf, bevor die Öffentlichkeit mitliest. Bei diesem Preprint war die Reihenfolge umgekehrt: erst die Schlagzeilen, dann die Fachkritik.</w:t>
      </w:r>
    </w:p>
    <w:p>
      <w:pPr>
        <w:pStyle w:val="Fliesstext"/>
        <w:ind w:firstLine="283"/>
      </w:pPr>
      <w:r>
        <w:t xml:space="preserve">Und ein grundsätzliches Problem kommt hinzu, das gar nicht die Schuld der Autorinnen ist: Geringere Hirnaktivität ist nicht automatisch etwas Schlechtes. Ein Mensch, der eine Fähigkeit beherrscht, zeigt beim Ausüben oft </w:t>
      </w:r>
      <w:r>
        <w:rPr>
          <w:i/>
        </w:rPr>
        <w:t>weniger</w:t>
      </w:r>
      <w:r>
        <w:t xml:space="preserve"> messbare Aktivität als ein Anfänger, nicht mehr. Weniger Anstrengung kann Routine bedeuten und nicht Verfall. Um aus einer Konnektivitätszahl „schlechter" zu machen, brauchst du etwas, woran du sie festmachst — eine Leistung, ein Ergebnis, irgendetwas außerhalb des Kopfes. Ohne diesen Anker ist eine niedrigere Zahl einfach eine niedrigere Zahl.</w:t>
      </w:r>
    </w:p>
    <w:p>
      <w:pPr>
        <w:pStyle w:val="Fliesstext"/>
        <w:ind w:firstLine="283"/>
      </w:pPr>
      <w:r>
        <w:t>Ein Wort noch zum Begriff selbst, denn er arbeitet härter als die Daten. „Kognitive Schuld" ist eine Metapher, und Metaphern schmuggeln Behauptungen ein. Eine Schuld muss zurückgezahlt werden, sie wächst mit Zinsen, und wer sie nicht bedient, geht irgendwann unter. Genau das gibt die Messung nicht her. Gemessen wurden Unterschiede in der Hirnaktivität während einer Aufgabe, nicht ein Konto, das sich füllt. Der Begriff stammt aus der Softwareentwicklung, wo „technische Schuld" beschreibt, dass schnelle Abkürzungen später teuer werden — das ist ein treffendes Bild für Programmcode, weil man die Rechnung dort tatsächlich bezahlt, in Arbeitsstunden. Ob es für Gehirne trägt, ist offen. Er ist eine Hypothese im Kostüm eines Befunds.</w:t>
      </w:r>
    </w:p>
    <w:p>
      <w:pPr>
        <w:pStyle w:val="Fliesstext"/>
        <w:ind w:firstLine="283"/>
      </w:pPr>
      <w:r>
        <w:t>Die Studie taugt also nicht als Beweis. Sie taugt als etwas anderes, und das ist mir wichtiger.</w:t>
      </w:r>
    </w:p>
    <w:p>
      <w:pPr>
        <w:pStyle w:val="Fliesstext"/>
        <w:ind w:firstLine="283"/>
      </w:pPr>
      <w:r>
        <w:t xml:space="preserve">Erinnerst du dich an Thamus aus dem ersten Kapitel? Den ägyptischen König bei Platon, der die Schrift ablehnt, weil sie das Gedächtnis nicht mehr üben lasse und die Menschen </w:t>
      </w:r>
      <w:r>
        <w:rPr>
          <w:b/>
        </w:rPr>
        <w:t>scheinbar</w:t>
      </w:r>
      <w:r>
        <w:t xml:space="preserve"> weise mache statt weise?[10] Zweitausendvierhundert Jahre lang war das eine Behauptung, über die man philosophieren konnte. Die MIT-Gruppe hat als Erste versucht, sie an Elektroden zu hängen. Das ist Thamus mit EEG. Der Befund ist wacklig, die Frage ist es nicht.</w:t>
      </w:r>
    </w:p>
    <w:p>
      <w:pPr>
        <w:pStyle w:val="Fliesstext"/>
        <w:ind w:firstLine="283"/>
      </w:pPr>
      <w:r>
        <w:t>Was mit dieser Arbeit anschließend passiert ist, gehört übrigens zur Geschichte dazu. Aus „schwächere Konnektivität bei achtzehn Menschen in einer vierten Sitzung eines nicht begutachteten Vorabdrucks" wurde in wenigen Wochen „Studie beweist: ChatGPT macht dumm". Wie eine Zahl auf diesem Weg ihre Bedingungen verliert, sehen wir uns im nächsten Kapitel an einem besonders schönen Beispiel an. Hier reicht die Beobachtung, dass ein griffiger Titel in dieser Debatte gefährlicher ist als ein schwaches Ergebnis.</w:t>
      </w:r>
    </w:p>
    <w:p>
      <w:pPr>
        <w:pStyle w:val="Fliesstext"/>
        <w:ind w:firstLine="283"/>
      </w:pPr>
      <w:r>
        <w:t>Und das eigentliche Argument gegen die Sorglosigkeit liefert ohnehin eine ganz andere Studie, eine ohne Elektroden, dafür mit einem viel präziseren Mechanismus.</w:t>
      </w:r>
    </w:p>
    <w:p>
      <w:pPr>
        <w:pStyle w:val="Zwischen"/>
      </w:pPr>
      <w:r>
        <w:t>Der eigentliche Befund: Wer vertraut, prüft weniger</w:t>
      </w:r>
    </w:p>
    <w:p>
      <w:pPr>
        <w:pStyle w:val="Fliesstext"/>
      </w:pPr>
      <w:r>
        <w:t>Forschende von Microsoft Research und der Carnegie Mellon University befragten 319 Berufstätige, die generative KI im Arbeitsalltag benutzen, zu insgesamt 936 konkreten Anwendungsfällen. Die Studie wurde 2025 auf der CHI vorgestellt, der wichtigsten Konferenz für Mensch-Computer-Interaktion, und ist damit begutachtet.[3]</w:t>
      </w:r>
    </w:p>
    <w:p>
      <w:pPr>
        <w:pStyle w:val="Fliesstext"/>
        <w:ind w:firstLine="283"/>
      </w:pPr>
      <w:r>
        <w:t>Der Aufbau verdient einen Moment Aufmerksamkeit, weil er cleverer ist, als „Umfrage" klingt. Die Leute wurden nicht gefragt, ob sie durch KI insgesamt weniger nachdenken — auf so eine Frage antwortet man mit einer Selbsteinschätzung, einem Vorurteil oder dem, was gut klingt. Sie wurden gebeten, konkrete Fälle zu schildern: diese Aufgabe, dieses Werkzeug, dieses Ergebnis, und was hast du dabei getan. Rund drei Fälle pro Person. Damit ist die Untersuchungseinheit nicht der Mensch, sondern die Aufgabe. Das erlaubt den Vergleich innerhalb ein und derselben Person: derselbe Mitarbeiter, einmal bei einer Sache, der er zutraut, dass die Maschine sie kann, und einmal bei einer, bei der er es besser weiß. Persönlichkeitsunterschiede fallen dabei weitgehend raus. Für eine Befragung ist das ein sauberer Zuschnitt.</w:t>
      </w:r>
    </w:p>
    <w:p>
      <w:pPr>
        <w:pStyle w:val="Fliesstext"/>
        <w:ind w:firstLine="283"/>
      </w:pPr>
      <w:r>
        <w:t xml:space="preserve">Der zentrale Zusammenhang: Je höher das </w:t>
      </w:r>
      <w:r>
        <w:rPr>
          <w:b/>
        </w:rPr>
        <w:t>Vertrauen in die KI</w:t>
      </w:r>
      <w:r>
        <w:t xml:space="preserve">, desto weniger kritisches Denken meldeten die Befragten für die jeweilige Aufgabe. Je höher das </w:t>
      </w:r>
      <w:r>
        <w:rPr>
          <w:b/>
        </w:rPr>
        <w:t>Vertrauen in die eigene Kompetenz</w:t>
      </w:r>
      <w:r>
        <w:t>, desto mehr. Die Nutzung verschiebt die geistige Arbeit außerdem der Art nach: weg vom Sammeln von Informationen und vom Lösen von Problemen, hin zum Prüfen von Ergebnissen und zum Verwalten von Aufgaben.[3]</w:t>
      </w:r>
    </w:p>
    <w:p>
      <w:pPr>
        <w:pStyle w:val="Fliesstext"/>
        <w:ind w:firstLine="283"/>
      </w:pPr>
      <w:r>
        <w:t>Lies den ersten Satz noch einmal, denn er ist die genaueste Antwort, die ich meinem Kollegen aus dem Workshop geben kann.</w:t>
      </w:r>
    </w:p>
    <w:p>
      <w:pPr>
        <w:pStyle w:val="Fliesstext"/>
        <w:ind w:firstLine="283"/>
      </w:pPr>
      <w:r>
        <w:t xml:space="preserve">Der Mechanismus ist nicht „KI macht dumm". Das wäre bequem, weil es die Verantwortung an die Technik abgibt. Der Mechanismus ist: </w:t>
      </w:r>
      <w:r>
        <w:rPr>
          <w:b/>
        </w:rPr>
        <w:t>Wer der Maschine vertraut, kontrolliert sie weniger.</w:t>
      </w:r>
      <w:r>
        <w:t xml:space="preserve"> Das ist kein Defekt des Gehirns, das ist vernünftiges Verhalten. Du prüfst ja auch nicht jede Rechnung deines Steuerberaters nach, sonst bräuchtest du keinen. Kognitives Auslagern ist eine der ältesten und erfolgreichsten Strategien unserer Art — Schrift, Notizzettel, Kalender, Kollegen, Google. Es geht schief, wenn das Vertrauen nicht zur tatsächlichen Zuverlässigkeit passt.</w:t>
      </w:r>
    </w:p>
    <w:p>
      <w:pPr>
        <w:pStyle w:val="Fliesstext"/>
        <w:ind w:firstLine="283"/>
      </w:pPr>
      <w:r>
        <w:t>Die zweite Hälfte des Befunds wird seltener zitiert und ist die unangenehmere. Wenn sich die Arbeit vom Herstellen zum Prüfen verschiebt, wird Prüfen zur Hauptbeschäftigung. Nur ist Prüfen eine andere Tätigkeit als Herstellen, sie fühlt sich schwächer an, sie wird schlechter anerkannt, und vor allem: Sie setzt genau das Wissen voraus, das man beim Herstellen erwerben würde. Wer nie einen Text selbst gebaut hat, weiß nicht, an welcher Stelle Texte üblicherweise brechen.</w:t>
      </w:r>
    </w:p>
    <w:p>
      <w:pPr>
        <w:pStyle w:val="Fliesstext"/>
        <w:ind w:firstLine="283"/>
      </w:pPr>
      <w:r>
        <w:t>Ein paar Einschränkungen auch hier, damit ich nicht selbst tue, was ich anderen vorwerfe. Es ist eine Befragung, keine Messung. Die Leute berichten über sich selbst, und Menschen sind schlechte Beobachter ihrer eigenen Denkvorgänge. Es zeigt eine Korrelation, keine bewiesene Ursache: Möglicherweise vertrauen Leute der KI besonders dort, wo die Aufgabe ohnehin unwichtig ist und kritisches Denken sich nicht lohnt. Das wäre dann kein Verfall, sondern Prioritätensetzung. Und befragt wurden Menschen, die diese Werkzeuge bereits im Beruf einsetzen und bereit waren, an so einer Studie teilzunehmen. Über alle anderen sagt sie nichts.</w:t>
      </w:r>
    </w:p>
    <w:p>
      <w:pPr>
        <w:pStyle w:val="Fliesstext"/>
        <w:ind w:firstLine="283"/>
      </w:pPr>
      <w:r>
        <w:t xml:space="preserve">Aus meiner Praxis kann ich beides bestätigen, und deswegen bin ich bei dieser Studie überzeugter als bei der MIT-Arbeit. Wenn ein Delivery-Team mit einem KI-Assistenten Code oder Prozessdokumentation erzeugt, sehe ich zuverlässig zwei Muster. Die Erfahrenen lesen den Output wie ein Review: Sie wissen, wo dieses Werkzeug typischerweise Unsinn baut, und schauen genau dorthin. Sie springen zuerst an die Stelle, an der Sonderfälle behandelt werden, weil dort erfahrungsgemäß nichts steht. Die Unerfahrenen lesen von oben nach unten und nehmen den Output, weil er gut aussieht. Und Sprachmodelle produzieren </w:t>
      </w:r>
      <w:r>
        <w:rPr>
          <w:i/>
        </w:rPr>
        <w:t>immer</w:t>
      </w:r>
      <w:r>
        <w:t xml:space="preserve"> etwas, das gut aussieht — das ist im Grunde ihre Kernkompetenz. Der Unterschied zwischen den beiden Gruppen ist nicht Intelligenz. Es ist das Vorwissen, das nötig ist, um Misstrauen an der richtigen Stelle aufzubringen.</w:t>
      </w:r>
    </w:p>
    <w:p>
      <w:pPr>
        <w:pStyle w:val="Fliesstext"/>
        <w:ind w:firstLine="283"/>
      </w:pPr>
      <w:r>
        <w:t>Wer nichts vom Fach versteht, kann der KI nur ganz oder gar nicht glauben. Beides ist schlecht.</w:t>
      </w:r>
    </w:p>
    <w:p>
      <w:pPr>
        <w:pStyle w:val="Fliesstext"/>
        <w:ind w:firstLine="283"/>
      </w:pPr>
      <w:r>
        <w:t>Ein konkreter Fall aus dem letzten Jahr, ohne Namen und ohne Firma. Ein Automatisierungsablauf, generiert in einem Bruchteil der üblichen Zeit, sauber strukturiert, ordentlich kommentiert, lief in der Testumgebung durch. Er behandelte einen Sonderfall falsch, der in den Testdaten nicht vorkam. Kein dramatischer Schaden, aber Nacharbeit. Das Bemerkenswerte war nicht der Fehler — den hätte ein Mensch auch gebaut. Das Bemerkenswerte war, wie lange niemand hinsah, und der Grund dafür war die Oberfläche. Handgeschriebener Code eines Berufsanfängers sieht aus wie handgeschriebener Code eines Berufsanfängers, und man liest ihn entsprechend. Generierter Code sieht aus, als hätte ihn ein Senior geschrieben. Die Qualitätssignale, an denen wir jahrzehntelang gelernt haben, Vertrauen zu dosieren — Struktur, Rechtschreibung, Kommentare, Tonfall —, funktionieren bei dieser Technik nicht mehr. Sie sind billig geworden, und billige Signale sind wertlose Signale. Das ist, glaube ich, der praktische Kern des Microsoft-Befunds: Nicht wir sind fauler geworden. Unsere Warnlampen sind blind geworden.</w:t>
      </w:r>
    </w:p>
    <w:p>
      <w:pPr>
        <w:pStyle w:val="Zwischen"/>
      </w:pPr>
      <w:r>
        <w:t>Kreativität: die Studie, die in beide Richtungen fällt</w:t>
      </w:r>
    </w:p>
    <w:p>
      <w:pPr>
        <w:pStyle w:val="Fliesstext"/>
      </w:pPr>
      <w:r>
        <w:t xml:space="preserve">Der schönste Befund dieses Kapitels stammt von Anil Doshi und Oliver Hauser und erschien im Juli 2024 in </w:t>
      </w:r>
      <w:r>
        <w:rPr>
          <w:i/>
        </w:rPr>
        <w:t>Science Advances</w:t>
      </w:r>
      <w:r>
        <w:t xml:space="preserve">. Er ist deshalb so schön, weil er sich weigert, Partei zu ergreifen. Der Titel sagt schon alles: </w:t>
      </w:r>
      <w:r>
        <w:rPr>
          <w:i/>
        </w:rPr>
        <w:t>Generative AI enhances individual creativity but reduces the collective diversity of novel content</w:t>
      </w:r>
      <w:r>
        <w:t>.[4]</w:t>
      </w:r>
    </w:p>
    <w:p>
      <w:pPr>
        <w:pStyle w:val="Fliesstext"/>
        <w:ind w:firstLine="283"/>
      </w:pPr>
      <w:r>
        <w:t>Im Versuch sollten Menschen Kurzgeschichten schreiben. Ein Teil bekam dabei Zugang zu Ideen, die eine KI vorgeschlagen hatte, ein Teil nicht. Anschließend bewerteten Leserinnen und Leser die Geschichten, ohne zu wissen, wie sie entstanden waren. Ausgewertet wurde beides: wie gut die einzelnen Texte ankamen und wie ähnlich die Texte einander waren. Die genaue Teilnehmerzahl nenne ich dir hier nicht, weil ich sie nicht am Volltext geprüft habe; für das Argument braucht es sie nicht.</w:t>
      </w:r>
    </w:p>
    <w:p>
      <w:pPr>
        <w:pStyle w:val="Fliesstext"/>
        <w:ind w:firstLine="283"/>
      </w:pPr>
      <w:r>
        <w:t xml:space="preserve">Erste Hälfte des Ergebnisses: Die Geschichten mit KI-Unterstützung wurden als kreativer, besser geschrieben und unterhaltsamer bewertet. Und — jetzt kommt der Teil, der zu einem Muster passt, das dir aus dem sechsten Kapitel bekannt vorkommen dürfte — der Zugewinn war bei den </w:t>
      </w:r>
      <w:r>
        <w:rPr>
          <w:b/>
        </w:rPr>
        <w:t>weniger kreativen</w:t>
      </w:r>
      <w:r>
        <w:t xml:space="preserve"> Autorinnen und Autoren am größten. Die ohnehin Starken profitierten kaum.[4]</w:t>
      </w:r>
    </w:p>
    <w:p>
      <w:pPr>
        <w:pStyle w:val="Fliesstext"/>
        <w:ind w:firstLine="283"/>
      </w:pPr>
      <w:r>
        <w:t>Dasselbe Bild wie im Kundenservice, dasselbe Bild in der Softwareentwicklung: Das Werkzeug hebt die Unteren an, nicht die Spitze. Der Stanford AI Index beschreibt genau diese Tendenz, dass KI Qualifikationslücken eher verengt als verbreitert.[11] Drei völlig verschiedene Literaturen — Arbeitsökonomie, Bildungsforschung, Kreativitätsforschung — kommen unabhängig voneinander zum selben Verteilungsmuster. Wenn ein Befund dreimal aus verschiedenen Richtungen auftaucht, glaube ich ihm mehr als einer einzelnen sauberen Studie.</w:t>
      </w:r>
    </w:p>
    <w:p>
      <w:pPr>
        <w:pStyle w:val="Fliesstext"/>
        <w:ind w:firstLine="283"/>
      </w:pPr>
      <w:r>
        <w:t>Das ist, ehrlich gesagt, eine gute Nachricht. Zumindest wenn man einzelne Menschen betrachtet.</w:t>
      </w:r>
    </w:p>
    <w:p>
      <w:pPr>
        <w:pStyle w:val="Fliesstext"/>
        <w:ind w:firstLine="283"/>
      </w:pPr>
      <w:r>
        <w:t xml:space="preserve">Zweite Hälfte: Die KI-gestützten Geschichten ähnelten </w:t>
      </w:r>
      <w:r>
        <w:rPr>
          <w:b/>
        </w:rPr>
        <w:t>einander</w:t>
      </w:r>
      <w:r>
        <w:t xml:space="preserve"> stärker als die rein menschlichen. Jeder einzelne Text war besser. Der Raum aller Texte war enger.[4]</w:t>
      </w:r>
    </w:p>
    <w:p>
      <w:pPr>
        <w:pStyle w:val="Fliesstext"/>
        <w:ind w:firstLine="283"/>
      </w:pPr>
      <w:r>
        <w:t>Doshi und Hauser nennen das ein soziales Dilemma, und der Begriff sitzt. Für dich als einzelne Autorin ist es rational, das Werkzeug zu benutzen: Deine Geschichte wird besser bewertet. Für uns alle zusammen entsteht dabei ein Verlust, den keiner von uns beabsichtigt hat und den auch niemand allein verhindern kann. Es ist die Struktur eines überfischten Meeres, übertragen auf Ideen.</w:t>
      </w:r>
    </w:p>
    <w:p>
      <w:pPr>
        <w:pStyle w:val="Fliesstext"/>
        <w:ind w:firstLine="283"/>
      </w:pPr>
      <w:r>
        <w:t>Ein Unterschied zum Meer macht die Sache allerdings schlimmer, und der ist mir erst beim dritten Lesen aufgefallen. Beim Überfischen merkst du, dass etwas fehlt. Die Netze kommen leerer hoch, die Fische werden kleiner, es gibt Statistiken. Beim Ideenraum merkst du gar nichts. Was fehlt, sind die Geschichten, die niemand geschrieben hat, weil ein Vorschlag im richtigen Moment plausibler klang. Ein Verlust, der aus lauter guten Einzelergebnissen besteht und keine Beschwerdestelle hat.</w:t>
      </w:r>
    </w:p>
    <w:p>
      <w:pPr>
        <w:pStyle w:val="Fliesstext"/>
        <w:ind w:firstLine="283"/>
      </w:pPr>
      <w:r>
        <w:t>Warum das passiert, ist kein Rätsel. Ein Sprachmodell ist eine Maschine für den wahrscheinlichsten nächsten Zug. Es ist auf allem trainiert, was schon geschrieben wurde, und es antwortet mit dem, was in diesem Material naheliegt. Es zieht dich zur Mitte. Für jemanden, der unterhalb dieser Mitte startet, ist das ein Aufstieg. Für die Vielfalt insgesamt ist es eine Zentripetalkraft. Und weil dieselbe Mitte allen gleichzeitig angeboten wird, laufen die Vorschläge nicht irgendwohin auseinander, sondern auf denselben Punkt zu.</w:t>
      </w:r>
    </w:p>
    <w:p>
      <w:pPr>
        <w:pStyle w:val="Fliesstext"/>
        <w:ind w:firstLine="283"/>
      </w:pPr>
      <w:r>
        <w:t>Genau das kannst du in jedem Großraumbüro beobachten, ohne eine einzige Kurzgeschichte zu lesen. Ich habe im letzten Jahr einen Workshop gemacht, in dem vier Kleingruppen unabhängig voneinander Ideen für die Automatisierung desselben Prozesses erarbeiten sollten, mit KI-Unterstützung, jede Gruppe in einem eigenen Raum. Nach neunzig Minuten kamen vier Ergebnisse zurück, die sich in der Reihenfolge der Punkte unterschieden und sonst kaum. Vier gute Ergebnisse, wohlgemerkt. Besser strukturiert als das, was solche Runden sonst produzieren. Aber der Sinn von vier Gruppen ist, dass vier verschiedene Dinge herauskommen, und dieser Sinn war weg. Das ist eine Beobachtung, keine Messung, und ich habe keinen Kontrollversuch gemacht. Sie hat mich trotzdem beschäftigt, weil ich seither in jeder Runde einen Vorschlag höre, der mir irgendwie bekannt vorkommt, und ich nicht mehr sagen kann, woher.</w:t>
      </w:r>
    </w:p>
    <w:p>
      <w:pPr>
        <w:pStyle w:val="Fliesstext"/>
        <w:ind w:firstLine="283"/>
      </w:pPr>
      <w:r>
        <w:t>Auch bei mir selbst. Ich schreibe gelegentlich auf LinkedIn über neue Werkzeuge. Wenn ich einen Entwurf durch ein Modell laufen lasse, kommt er besser zurück, das ist keine Frage. Er kommt aber auch glatter zurück. Die schiefe Formulierung, die eigentlich der Grund war, warum ich den Text schreiben wollte, ist dann meistens die, die wegrationalisiert wurde. Sie war ja auch objektiv die schwächste Stelle.</w:t>
      </w:r>
    </w:p>
    <w:p>
      <w:pPr>
        <w:pStyle w:val="Fliesstext"/>
        <w:ind w:firstLine="283"/>
      </w:pPr>
      <w:r>
        <w:t>Ob sich das über Modellgenerationen aufschaukelt, wenn Modelle zunehmend auf Text trainieren, der selbst aus Modellen stammt, ist eine naheliegende Frage. Ich habe dafür in meiner Recherche keinen belastbaren Befund gefunden, deshalb lasse ich sie als Frage stehen und behaupte nichts.</w:t>
      </w:r>
    </w:p>
    <w:p>
      <w:pPr>
        <w:pStyle w:val="Fliesstext"/>
        <w:ind w:firstLine="283"/>
      </w:pPr>
      <w:r>
        <w:t>Die Grenzen dieses Experiments sind ebenfalls zu nennen. Es ging um Kurzgeschichten in einem Versuchsaufbau, nicht um eine Kultur. Bewertet wurde von Leserinnen und Lesern, und deren Urteil „kreativ" belohnt möglicherweise vor allem Flüssigkeit — ein glatter Text liest sich leichter und wird deshalb besser bewertet, ohne origineller zu sein. Die gemessene Homogenität bezieht sich außerdem auf die Texte innerhalb dieses Versuchs, nicht auf die Weltliteratur. Und es ist eine Studie.</w:t>
      </w:r>
    </w:p>
    <w:p>
      <w:pPr>
        <w:pStyle w:val="Fliesstext"/>
        <w:ind w:firstLine="283"/>
      </w:pPr>
      <w:r>
        <w:t xml:space="preserve">Meine Meinung dazu, klar als solche gekennzeichnet: Ich halte diesen Befund für unbequemer als die ganze EEG-Debatte. Denn gegen kognitive Bequemlichkeit kann ich als Einzelner etwas tun, ich kann mich zwingen, den ersten Entwurf selbst zu schreiben. Gegen die Homogenisierung des kollektiven Ideenraums kann ich als Einzelner </w:t>
      </w:r>
      <w:r>
        <w:rPr>
          <w:b/>
        </w:rPr>
        <w:t>nichts</w:t>
      </w:r>
      <w:r>
        <w:t xml:space="preserve"> tun. Wenn ich verzichte, verzichte nur ich, und mein Verzicht ändert am Gesamtbild exakt nichts, während er mich selbst schlechter dastehen lässt. Das ist kein Problem der Selbstdisziplin, sondern eines der Struktur, und Strukturprobleme löst man nicht mit guten Vorsätzen. Man löst sie, wenn überhaupt, dort, wo die Struktur gemacht wird: in der Bauart der Werkzeuge, in Ausschreibungen, in Redaktionen, in Lehrplänen. Ein Modell, das auf Nachfrage fünf absichtlich unterschiedliche Ansätze liefert statt eines besten, ist technisch keine Kunst. Es verkauft sich nur schlechter, weil der beste Vorschlag der ist, der beim Ausprobieren überzeugt. Ob Vielfalt am Ende tatsächlich verloren geht oder ob sich Menschen gerade deshalb wieder ins Abseitige verlieben, weiß ich nicht. Aber die Richtung, in die es zeigt, würde ich nicht wegdiskutieren.</w:t>
      </w:r>
    </w:p>
    <w:p>
      <w:pPr>
        <w:pStyle w:val="Zwischen"/>
      </w:pPr>
      <w:r>
        <w:t>Wer bezahlt eigentlich die Vorlagen?</w:t>
      </w:r>
    </w:p>
    <w:p>
      <w:pPr>
        <w:pStyle w:val="Fliesstext"/>
      </w:pPr>
      <w:r>
        <w:t>Es gibt einen Teil der Kreativitätsdebatte, der nichts mit Hirnaktivität zu tun hat und trotzdem hierher gehört, weil er die Stimmung erklärt. Diese Modelle sind auf Werken trainiert, die Menschen geschrieben, gemalt und komponiert haben. Die Frage, ob und wie diese Menschen dafür bezahlt werden, ist offen.</w:t>
      </w:r>
    </w:p>
    <w:p>
      <w:pPr>
        <w:pStyle w:val="Fliesstext"/>
        <w:ind w:firstLine="283"/>
      </w:pPr>
      <w:r>
        <w:t>In Großbritannien lief zwischen dem 17. Dezember 2024 und dem 25. Februar 2025 eine Regierungskonsultation dazu. Vorgeschlagen war eine Ausnahme im Urheberrecht für Text- und Data-Mining, bei der Rechteinhaber aktiv widersprechen müssten, wenn ihre Werke nicht fürs Training verwendet werden sollen — ein Opt-out also. Mehr als 11.500 Antworten gingen ein. Die Kreativwirtschaft lief Sturm, unter dem Namen „Make It Fair". Am Ende rückte die Regierung von ihrer bevorzugten Option ab; es gibt inzwischen keine bevorzugte Option mehr.[5]</w:t>
      </w:r>
    </w:p>
    <w:p>
      <w:pPr>
        <w:pStyle w:val="Fliesstext"/>
        <w:ind w:firstLine="283"/>
      </w:pPr>
      <w:r>
        <w:t>An dem Wort „Opt-out" hängt mehr, als man beim Lesen denkt, deshalb übersetze ich es. Opt-out heißt: Erlaubt ist es, es sei denn, du widersprichst. Für einen Verlag mit Rechtsabteilung ist das lästig. Für eine Illustratorin, deren Arbeiten auf zwei Plattformen, in vier Portfolios, in fremden Blogbeiträgen und in einem Dutzend geklauter Kopien liegen, ist es praktisch nicht durchführbar. Sie müsste jedem einzelnen Ort hinterherlaufen, um überall dasselbe Nein zu hinterlegen. Ein Recht, dessen Ausübung mehr Arbeit macht als die Arbeit selbst, ist keins. Das ist die Ausgangslage — nicht die Frage, ob KI-Training grundsätzlich erlaubt sein soll, sondern die Frage, wer die Bringschuld trägt.</w:t>
      </w:r>
    </w:p>
    <w:p>
      <w:pPr>
        <w:pStyle w:val="Fliesstext"/>
        <w:ind w:firstLine="283"/>
      </w:pPr>
      <w:r>
        <w:t>In den USA hat die Authors Guild ihre Mitglieder gefragt. 90 Prozent finden, Autorinnen und Autoren sollten vergütet werden, wenn ihre Bücher zum Training verwendet werden; 65 Prozent würden ein kollektives Lizenzmodell unterstützen.[6] Man kann das als Interessenvertretung abtun, natürlich sagt eine Autorenvereinigung so etwas. Interessanter finde ich, dass die Mehrheit nicht „verbieten" sagt, sondern „bezahlen und ordnen". Kollektive Lizenzierung heißt: Nicht jeder verhandelt einzeln mit jedem, sondern eine Stelle zieht Geld ein und schüttet es nach einem Schlüssel aus. In Deutschland ist das kein exotischer Gedanke, wir haben mit Verwertungsgesellschaften wie der VG Wort und der GEMA seit Jahrzehnten Institutionen dieser Bauart.[13] Ob so etwas für Trainingsdaten funktioniert, ist eine offene Frage — der Schlüssel wäre schwer zu bestimmen, und ein Sprachmodell zitiert keine Einzelwerke, aus denen man abrechnen könnte. Aber es ist ein konstruktiver Vorschlag und kein Aufstand gegen Maschinen.</w:t>
      </w:r>
    </w:p>
    <w:p>
      <w:pPr>
        <w:pStyle w:val="Fliesstext"/>
        <w:ind w:firstLine="283"/>
      </w:pPr>
      <w:r>
        <w:t>Der Kontext, in dem diese Zahlen entstehen, ist der eigentliche Punkt. Nach derselben Quelle lag das mittlere Einkommen hauptberuflicher Autorinnen und Autoren aus Büchern bei rund 10.000 US-Dollar im Jahr, rund 20.000 aus allen schreibbezogenen Tätigkeiten — etwa 42 Prozent weniger als 2009.[6] Median heißt: die Hälfte verdient weniger. Nicht der Durchschnitt, den ein paar Bestsellerautoren nach oben ziehen, sondern die Mitte des Feldes.</w:t>
      </w:r>
    </w:p>
    <w:p>
      <w:pPr>
        <w:pStyle w:val="Fliesstext"/>
        <w:ind w:firstLine="283"/>
      </w:pPr>
      <w:r>
        <w:t>Diese Erosion begann lange vor ChatGPT. Wer die Wut der Kreativen für Hysterie hält, übersieht, dass hier eine Berufsgruppe getroffen wird, deren Boden schon vorher weggebrochen war. Das ist keine Aussage über die Rechtslage. Die ist in mehreren Ländern gerade vor Gericht, ich bin kein Jurist, und ich nenne dir hier bewusst keine Entscheidung, die den Streit klärt, weil ich keine kenne, die ihn klärt. Es ist eine Aussage darüber, warum die Debatte so hitzig ist.</w:t>
      </w:r>
    </w:p>
    <w:p>
      <w:pPr>
        <w:pStyle w:val="Fliesstext"/>
        <w:ind w:firstLine="283"/>
      </w:pPr>
      <w:r>
        <w:t>Und es gibt eine Verbindung zum vorigen Abschnitt, die mir wichtig ist und die ich als meine These kennzeichne. Die Homogenisierung und die Vergütungsfrage sind dasselbe Problem von zwei Seiten. Ein Modell zieht zur Mitte dessen, was Menschen geschrieben haben. Es lebt also davon, dass Menschen weiter schreiben, und zwar auch das Abseitige, das sich schlecht verkauft. Wenn das Schreiben als Beruf weiter erodiert, verarmt nicht nur eine Branche, sondern auch das Material, aus dem diese Systeme ihre Mitte bilden. Wer die Vergütungsfrage für ein Anliegen einer kleinen, lauten Gruppe hält, denkt zu kurz.</w:t>
      </w:r>
    </w:p>
    <w:p>
      <w:pPr>
        <w:pStyle w:val="Zwischen"/>
      </w:pPr>
      <w:r>
        <w:t>Der Taschenrechner hatte diese Antwort schon</w:t>
      </w:r>
    </w:p>
    <w:p>
      <w:pPr>
        <w:pStyle w:val="Fliesstext"/>
      </w:pPr>
      <w:r>
        <w:t>Jetzt lege ich die Befunde nebeneinander und drehe sie einmal um, und dafür müssen wir zurück ins fünfte Kapitel.</w:t>
      </w:r>
    </w:p>
    <w:p>
      <w:pPr>
        <w:pStyle w:val="Fliesstext"/>
        <w:ind w:firstLine="283"/>
      </w:pPr>
      <w:r>
        <w:t>Der Taschenrechner sollte in den 1970ern das Kopfrechnen töten. Die maßgebliche Auswertung dazu, eine Meta-Analyse von Hembree und Dessart aus dem Jahr 1986, fand das Gegenteil: Auf fast allen Klassenstufen verbesserte der ergänzende Rechnereinsatz sogar die Fertigkeiten mit Papier und Bleistift, dazu die Einstellung zum Fach.[7] Eine Meta-Analyse ist keine weitere Studie, sondern eine Rechnung über Studien: Hembree und Dessart haben 79 Einzeluntersuchungen zusammengeführt und deren Ergebnisse auf ein gemeinsames Maß gebracht. Das ist deshalb so viel wert, weil einzelne Studien in beide Richtungen ausschlagen und man sich aus einer großen Literatur immer die passende heraussuchen kann. Wer 79 zusammenrechnet, kann das nicht mehr. Spätere Auswertungen bestätigen das Bild eines neutralen bis positiven Effekts, sofern das Gerät ergänzend eingesetzt wird und nicht ersetzend.[8]</w:t>
      </w:r>
    </w:p>
    <w:p>
      <w:pPr>
        <w:pStyle w:val="Fliesstext"/>
        <w:ind w:firstLine="283"/>
      </w:pPr>
      <w:r>
        <w:t xml:space="preserve">Mit einer Ausnahme. In der </w:t>
      </w:r>
      <w:r>
        <w:rPr>
          <w:b/>
        </w:rPr>
        <w:t>vierten Klasse</w:t>
      </w:r>
      <w:r>
        <w:t xml:space="preserve"> behinderte anhaltender Rechnereinsatz beim durchschnittlichen Schüler die Entwicklung der Grundfertigkeiten.[7]</w:t>
      </w:r>
    </w:p>
    <w:p>
      <w:pPr>
        <w:pStyle w:val="Fliesstext"/>
        <w:ind w:firstLine="283"/>
      </w:pPr>
      <w:r>
        <w:t>Da ist sie, die Struktur, die sich hier wiederholt. Nicht das Werkzeug entschied, sondern der Zeitpunkt. Wer das Einmaleins schon kann, dem nimmt der Rechner Fleißarbeit ab. Wer es gerade lernen soll, dem nimmt er das Lernen ab. Dieselbe Maschine, dieselbe Rechenoperation, entgegengesetzte Wirkung — abhängig davon, an welcher Stelle im Lernprozess sie auftaucht.</w:t>
      </w:r>
    </w:p>
    <w:p>
      <w:pPr>
        <w:pStyle w:val="Fliesstext"/>
        <w:ind w:firstLine="283"/>
      </w:pPr>
      <w:r>
        <w:t xml:space="preserve">Und jetzt sieh dir noch einmal an, was in diesem Kapitel steht. In Nigeria wirkte die KI stark, als </w:t>
      </w:r>
      <w:r>
        <w:rPr>
          <w:b/>
        </w:rPr>
        <w:t>begleitetes Tutoring mit Lehrkraft</w:t>
      </w:r>
      <w:r>
        <w:t>, als Übung mit einem Gegenüber, nicht als Abkürzung. In der MIT-Studie ging es um das Auslagern der Aufgabe selbst: Aufsatz schreiben lassen statt Aufsatz schreiben. In der Microsoft-Studie hing alles daran, ob jemand genug wusste, um dem Ergebnis begründet zu misstrauen. Bei Doshi und Hauser gewannen die, die noch Luft nach oben hatten.</w:t>
      </w:r>
    </w:p>
    <w:p>
      <w:pPr>
        <w:pStyle w:val="Fliesstext"/>
        <w:ind w:firstLine="283"/>
      </w:pPr>
      <w:r>
        <w:t xml:space="preserve">Drei Studien, ein Muster, und es ist dasselbe wie 1986: Kommt das Werkzeug </w:t>
      </w:r>
      <w:r>
        <w:rPr>
          <w:b/>
        </w:rPr>
        <w:t>vor</w:t>
      </w:r>
      <w:r>
        <w:t xml:space="preserve"> der Fähigkeit, ersetzt es sie. Kommt es </w:t>
      </w:r>
      <w:r>
        <w:rPr>
          <w:b/>
        </w:rPr>
        <w:t>nach</w:t>
      </w:r>
      <w:r>
        <w:t xml:space="preserve"> der Fähigkeit, verstärkt es sie.</w:t>
      </w:r>
    </w:p>
    <w:p>
      <w:pPr>
        <w:pStyle w:val="Fliesstext"/>
        <w:ind w:firstLine="283"/>
      </w:pPr>
      <w:r>
        <w:t>Deshalb ist es kein Zufall, dass die UNESCO in ihren Leitlinien von 2023 ein Mindestalter von 13 Jahren für die eigenständige Nutzung generativer KI empfiehlt — die europäische Datenschutz-Grundverordnung setzt die Schwelle im Kontext ihrer Einwilligungsregeln übrigens bei 16.[9] „Eigenständig" ist dabei das entscheidende Wort. Es geht nicht um ein Verbot in der Schule, sondern um das Kind allein mit dem Chatfenster. Man kann über die konkrete Zahl streiten. Über das Prinzip weniger.</w:t>
      </w:r>
    </w:p>
    <w:p>
      <w:pPr>
        <w:pStyle w:val="Fliesstext"/>
        <w:ind w:firstLine="283"/>
      </w:pPr>
      <w:r>
        <w:t>Ein Einwand gegen meine eigene Analogie, bevor du ihn selbst formulierst, denn sie hat eine Grenze und ich möchte sie nicht überstrapazieren. Ein Taschenrechner gibt bei derselben Eingabe immer dasselbe Ergebnis, und dieses Ergebnis ist richtig. Wer es prüfen will, überschlägt im Kopf und weiß in fünf Sekunden Bescheid. Ein Sprachmodell gibt bei derselben Eingabe verschiedene Ergebnisse, es hat kein Konzept von richtig, und das Prüfen ist manchmal aufwendiger als das Selbermachen. Der Rechner nimmt dir eine Rechenoperation ab, das Modell nimmt dir eine Beurteilung ab. Das ist ein grundsätzlicher Unterschied, und er spricht dafür, dass die Sache diesmal schwieriger wird, nicht leichter. Die Zeitpunkt-Regel bleibt trotzdem stehen. Sie sagt ja nichts über die Größe der Wirkung, nur über ihre Richtung.</w:t>
      </w:r>
    </w:p>
    <w:p>
      <w:pPr>
        <w:pStyle w:val="Zwischen"/>
      </w:pPr>
      <w:r>
        <w:t>Was ich selbst mache</w:t>
      </w:r>
    </w:p>
    <w:p>
      <w:pPr>
        <w:pStyle w:val="Fliesstext"/>
      </w:pPr>
      <w:r>
        <w:t>Weil ich es unfair fände, dir Studien vorzulegen und mich selbst herauszuhalten: Ich bin von diesem Risiko nicht ausgenommen, und ich merke es.</w:t>
      </w:r>
    </w:p>
    <w:p>
      <w:pPr>
        <w:pStyle w:val="Fliesstext"/>
        <w:ind w:firstLine="283"/>
      </w:pPr>
      <w:r>
        <w:t>Drei Dinge tue ich inzwischen. Den ersten Entwurf schreibe ich selbst, egal ob Konzept, Angebotstext oder Vortrag. Nicht aus Prinzipienreiterei, sondern weil ich gemerkt habe, dass ich in dem Moment, in dem ein fertiger Vorschlag auf dem Bildschirm steht, aufhöre, nach einem eigenen zu suchen. Ein guter Vorschlag ist ein Anker, und Anker halten dich auch dann, wenn du woanders hinwolltest. Danach darf das Modell alles auseinandernehmen; da ist es unschlagbar.</w:t>
      </w:r>
    </w:p>
    <w:p>
      <w:pPr>
        <w:pStyle w:val="Fliesstext"/>
        <w:ind w:firstLine="283"/>
      </w:pPr>
      <w:r>
        <w:t>Zweitens lasse ich mir Widerspruch geben, bevor ich Zustimmung bekomme. Wenn ich eine Lösung habe, frage ich nicht „ist das gut", sondern lasse mir die drei stärksten Argumente dagegen aufschreiben. Sprachmodelle sind von Haus aus freundlich, und freundliche Berater sind gefährlich.</w:t>
      </w:r>
    </w:p>
    <w:p>
      <w:pPr>
        <w:pStyle w:val="Fliesstext"/>
        <w:ind w:firstLine="283"/>
      </w:pPr>
      <w:r>
        <w:t>Und drittens, das ist das Unangenehmste: Ich baue regelmäßig etwas ohne das Werkzeug. Ein kleines Skript, eine Auswertung, irgendwas, das ich auch hätte generieren lassen können. Es dauert länger, es ärgert mich, und es ist der einzige Weg, auf dem ich merke, ob ich eine Sache noch selbst kann oder nur noch beurteilen kann, ob sie plausibel aussieht. Der Unterschied zwischen diesen beiden Zuständen ist von innen nicht spürbar. Man merkt ihn erst, wenn man es versucht.</w:t>
      </w:r>
    </w:p>
    <w:p>
      <w:pPr>
        <w:pStyle w:val="Fliesstext"/>
        <w:ind w:firstLine="283"/>
      </w:pPr>
      <w:r>
        <w:t>Das ist kein Programm, das ist eine Handvoll Gewohnheiten aus dem Betrieb. Das Programm kommt in Kapitel 11.</w:t>
      </w:r>
    </w:p>
    <w:p>
      <w:pPr>
        <w:pStyle w:val="Zwischen"/>
      </w:pPr>
      <w:r>
        <w:t>Also — werden wir dümmer?</w:t>
      </w:r>
    </w:p>
    <w:p>
      <w:pPr>
        <w:pStyle w:val="Fliesstext"/>
      </w:pPr>
      <w:r>
        <w:t>Meine Antwort, und ich markiere sie ausdrücklich als meine Meinung, weil die Datenlage sie nicht erzwingt:</w:t>
      </w:r>
    </w:p>
    <w:p>
      <w:pPr>
        <w:pStyle w:val="Fliesstext"/>
        <w:ind w:firstLine="283"/>
      </w:pPr>
      <w:r>
        <w:t>Die Gefahr ist real. Sie ist nur schlecht beschrieben, wenn man sie „KI macht dumm" nennt. Kein Befund in diesem Kapitel zeigt, dass die Technik Intelligenz zerstört. Was sie zeigt, ist etwas Unangenehmeres, weil es auf uns zurückfällt: Sie zeigt, dass wir bei ausreichendem Vertrauen aufhören zu prüfen, dass wir Anstrengung meiden, wenn eine Abkürzung danebenliegt, und dass wir dabei zur Mitte gezogen werden. Das ist keine Eigenschaft der Maschine. Das ist eine Eigenschaft von uns, die die Maschine sehr effizient bedient.</w:t>
      </w:r>
    </w:p>
    <w:p>
      <w:pPr>
        <w:pStyle w:val="Fliesstext"/>
        <w:ind w:firstLine="283"/>
      </w:pPr>
      <w:r>
        <w:t>Und damit ist es eine Frage der Nutzungsweise und des Zeitpunkts, nicht der Technik. Genau wie beim Rechner in der vierten Klasse. Genau wie bei Thamus, der nicht falsch lag mit dem Gedächtnisverlust, nur falsch mit der Bilanz.</w:t>
      </w:r>
    </w:p>
    <w:p>
      <w:pPr>
        <w:pStyle w:val="Fliesstext"/>
        <w:ind w:firstLine="283"/>
      </w:pPr>
      <w:r>
        <w:t>Den Kollegen aus dem Workshop habe ich Monate später wiedergetroffen, in der Kaffeeküche, ohne Flipchart. Er benutzt das Ding inzwischen täglich. Was sich geändert hat, ist nicht die Menge, sondern der Umgangston: Er widerspricht ihm. Er lässt sich Vorschläge geben und erklärt dann, warum sie in seinem Fachgebiet nicht funktionieren, und stellt fest, dass er dabei präziser wird, als er es in Besprechungen je war. Das ist kein Beweis für irgendetwas, es ist ein Mensch. Aber es ist die praktische Übersetzung des Microsoft-Befunds, und er hat sie ohne Studie hinbekommen.</w:t>
      </w:r>
    </w:p>
    <w:p>
      <w:pPr>
        <w:pStyle w:val="Fliesstext"/>
        <w:ind w:firstLine="283"/>
      </w:pPr>
      <w:r>
        <w:t>Was ich ihm damals hätte antworten sollen, ist deshalb kürzer als dieses Kapitel: Nein, du verlernst das Denken nicht dadurch, dass du das Ding täglich benutzt. Du verlernst es dadurch, dass du aufhörst, seine Antworten zu prüfen — und die Wahrscheinlichkeit dafür steigt genau in dem Maß, in dem es zuverlässig wirkt. Deine Skepsis ist kein Übergangszustand, den du irgendwann ablegen darfst. Sie ist der Teil der Arbeit, der bei dir bleibt.</w:t>
      </w:r>
    </w:p>
    <w:p>
      <w:pPr>
        <w:pStyle w:val="Fliesstext"/>
        <w:ind w:firstLine="283"/>
      </w:pPr>
      <w:r>
        <w:t>Wie man das praktisch macht — wann man das Modell weglässt, wie man Aufgaben so schneidet, dass die eigene Fähigkeit nicht verkümmert, was man Kindern beibringt und ab wann —, kommt in Kapitel 11. Dort wird es konkret, mit Dingen, die ich selbst mache und von denen manche funktionieren.</w:t>
      </w:r>
    </w:p>
    <w:p>
      <w:pPr>
        <w:pStyle w:val="Fliesstext"/>
        <w:ind w:firstLine="283"/>
      </w:pPr>
      <w:r>
        <w:t>Vorher aber müssen wir das Klassenzimmer und den eigenen Schädel verlassen. Denn die Risiken, über die wir bis hierhin gesprochen haben, betreffen dich als Nutzer: Du kannst dich anders verhalten und die Sache sieht besser aus. Die nächsten betreffen dich als jemanden, über den eine Maschine entscheidet, ohne dass du sie benutzt oder auch nur davon weißt. Ein Algorithmus, der einer Richterin einen Rückfallwert vorschlägt. Eine Gesichtserkennung, die bei manchen Gesichtern schlechter funktioniert als bei anderen. Ein Video von dir, das du nie aufgenommen hast. Da hilft keine Selbstdisziplin.</w:t>
      </w:r>
    </w:p>
    <w:p>
      <w:r>
        <w:br w:type="page"/>
      </w:r>
    </w:p>
    <w:p>
      <w:pPr>
        <w:pStyle w:val="KapitelNummer"/>
      </w:pPr>
      <w:r>
        <w:rPr>
          <w:i/>
        </w:rPr>
        <w:t>Kapitel 8</w:t>
      </w:r>
    </w:p>
    <w:p>
      <w:pPr>
        <w:pStyle w:val="KapitelTitel"/>
      </w:pPr>
      <w:r>
        <w:t>Die echten Risiken</w:t>
      </w:r>
    </w:p>
    <w:p>
      <w:pPr>
        <w:pStyle w:val="Fliesstext"/>
      </w:pPr>
      <w:r>
        <w:t>Wenn du bis hierher gelesen hast, könntest du auf die Idee kommen, ich hielte die Sorgen um KI im Wesentlichen für Wiederholungen alter Fehlalarme. Das wäre ein Missverständnis, und dieses Kapitel räumt es aus.</w:t>
      </w:r>
    </w:p>
    <w:p>
      <w:pPr>
        <w:pStyle w:val="Fliesstext"/>
        <w:ind w:firstLine="283"/>
      </w:pPr>
      <w:r>
        <w:t xml:space="preserve">Ich habe dir im ersten Kapitel einen Satz mitgegeben, den ich für den wichtigsten dieses Buches halte. Er stammt aus der Bilanz des Buchdrucks, aus der Erkenntnis, dass die Presse Bibeln und Folteranleitungen mit derselben Effizienz vervielfältigte: </w:t>
      </w:r>
      <w:r>
        <w:rPr>
          <w:b/>
        </w:rPr>
        <w:t>Nicht verbieten, nicht schönreden, sondern einhegen.</w:t>
      </w:r>
      <w:r>
        <w:t xml:space="preserve"> Einhegen setzt voraus, dass man weiß, was genau man einhegt. Nicht „die KI". Nicht „die Algorithmen". Sondern ein bestimmter Schaden, der bei einem bestimmten Einsatz entsteht, bei bestimmten Leuten landet und mit bestimmten Mitteln begrenzt werden kann.</w:t>
      </w:r>
    </w:p>
    <w:p>
      <w:pPr>
        <w:pStyle w:val="Fliesstext"/>
        <w:ind w:firstLine="283"/>
      </w:pPr>
      <w:r>
        <w:t>Also nehmen wir die vier großen Risikofelder einzeln auseinander. Und wir legen an jedes den Taschenrechner-Test aus dem fünften Kapitel an, in der Kurzfassung, die für Risiken am meisten hergibt. Gibt es einen Mechanismus, oder ist der Schaden nur ausgemalt? Betrifft es alle oder eine bestimmte Gruppe — und trifft es sie jetzt schon oder erst in einem Szenario? Wer profitiert davon, dass ich diese Zahl glaube, und hat sie überhaupt jemand nachgerechnet? Und schließlich die Frage, die schon bei Trithemius stand: Was gewinnen wir dafür, und wie steht die Bilanz?</w:t>
      </w:r>
    </w:p>
    <w:p>
      <w:pPr>
        <w:pStyle w:val="Fliesstext"/>
        <w:ind w:firstLine="283"/>
      </w:pPr>
      <w:r>
        <w:t>Ich warne dich vor: Bei zwei dieser Risiken wird die Prüfung die Aufregung deutlich dämpfen. Bei zwei anderen wird sie sie verschärfen.</w:t>
      </w:r>
    </w:p>
    <w:p>
      <w:pPr>
        <w:pStyle w:val="Zwischen"/>
      </w:pPr>
      <w:r>
        <w:t>Fairness ist keine Rechenaufgabe</w:t>
      </w:r>
    </w:p>
    <w:p>
      <w:pPr>
        <w:pStyle w:val="Fliesstext"/>
      </w:pPr>
      <w:r>
        <w:t>Fangen wir mit dem Feld an, in dem der Schaden am besten dokumentiert und die Debatte am schlechtesten geführt ist.</w:t>
      </w:r>
    </w:p>
    <w:p>
      <w:pPr>
        <w:pStyle w:val="Fliesstext"/>
        <w:ind w:firstLine="283"/>
      </w:pPr>
      <w:r>
        <w:t xml:space="preserve">2016 veröffentlichte ProPublica eine Untersuchung mit dem Titel </w:t>
      </w:r>
      <w:r>
        <w:rPr>
          <w:i/>
        </w:rPr>
        <w:t>Machine Bias</w:t>
      </w:r>
      <w:r>
        <w:t>. ProPublica ist ein gemeinnütziges Recherchebüro in New York, spezialisiert auf die Sorte Arbeit, für die in normalen Redaktionen kein Etat mehr da ist: monatelang Datensätze zusammentragen und dann ausrechnen, was drinsteckt. Ein Team um Julia Angwin hatte sich COMPAS vorgenommen, ein kommerzielles Prognosewerkzeug der Firma Northpointe, das amerikanischen Gerichten einen Rückfall-Risikowert für Angeklagte liefert; solche Werte fließen in Entscheidungen über Kaution, Bewährung, manchmal über das Strafmaß ein.</w:t>
      </w:r>
    </w:p>
    <w:p>
      <w:pPr>
        <w:pStyle w:val="Fliesstext"/>
        <w:ind w:firstLine="283"/>
      </w:pPr>
      <w:r>
        <w:t xml:space="preserve">Die Methode war so schlicht, dass man sich fragt, warum sie vorher niemand angewandt hat. Sie besorgten sich die Risikowerte, die COMPAS Angeklagten in Broward County in Florida zugewiesen hatte, und sahen nach, was aus diesen Menschen tatsächlich geworden war. Vorhersage gegen Wirklichkeit, Fall für Fall. Der Kernbefund: Unter den Menschen, die tatsächlich nicht wieder straffällig wurden, waren </w:t>
      </w:r>
      <w:r>
        <w:rPr>
          <w:b/>
        </w:rPr>
        <w:t>45 Prozent der schwarzen</w:t>
      </w:r>
      <w:r>
        <w:t xml:space="preserve"> Angeklagten vorher als hochriskant eingestuft worden, aber nur </w:t>
      </w:r>
      <w:r>
        <w:rPr>
          <w:b/>
        </w:rPr>
        <w:t>24 Prozent der weißen</w:t>
      </w:r>
      <w:r>
        <w:t>.[1] Doppelt so hohe Fehlerquote zu Lasten derer, die ohnehin die schlechteren Karten haben.</w:t>
      </w:r>
    </w:p>
    <w:p>
      <w:pPr>
        <w:pStyle w:val="Fliesstext"/>
        <w:ind w:firstLine="283"/>
      </w:pPr>
      <w:r>
        <w:t>Das ist ein harter Befund, und er hat die Debatte über algorithmische Diskriminierung weltweit angeschoben. Aber die Geschichte hört hier nicht auf, und was danach kam, ist der intellektuell interessanteste Punkt dieses Kapitels.</w:t>
      </w:r>
    </w:p>
    <w:p>
      <w:pPr>
        <w:pStyle w:val="Fliesstext"/>
        <w:ind w:firstLine="283"/>
      </w:pPr>
      <w:r>
        <w:t xml:space="preserve">Northpointe wehrte sich, und zwar nicht mit dem üblichen Kommunikationsgeräusch. Das Argument der Firma war nicht „stimmt nicht", sondern zweiteilig, und beide Teile muss man ernst nehmen. Erstens: Unser Werkzeug ist </w:t>
      </w:r>
      <w:r>
        <w:rPr>
          <w:i/>
        </w:rPr>
        <w:t>kalibriert</w:t>
      </w:r>
      <w:r>
        <w:t>. Wenn es einer Gruppe von Menschen den Risikowert 7 zuweist, werden von diesen Menschen tatsächlich ungefähr so viele rückfällig, wie der Wert vorhersagt, unabhängig von der Hautfarbe. Ein 7er ist ein 7er. Zweitens: Die von ProPublica gefundene Lücke bei den Fehlalarmen sei kein Zeichen eines eingebauten Vorurteils, sondern eine rechnerische Folge davon, dass die tatsächlichen Rückfallquoten in den verglichenen Gruppen unterschiedlich hoch sind.[2]</w:t>
      </w:r>
    </w:p>
    <w:p>
      <w:pPr>
        <w:pStyle w:val="Fliesstext"/>
        <w:ind w:firstLine="283"/>
      </w:pPr>
      <w:r>
        <w:t>Die Kalibrierung ist eine völlig legitime Fairness-Definition, und für den Richter, der vor einem einzelnen Menschen sitzt, sogar die naheliegende: Ich will, dass die Zahl bedeutet, was sie behauptet. Die Fehlerratenbalance, auf die ProPublica geschaut hat, ist ebenfalls eine völlig legitime Fairness-Definition, und für den Angeklagten, der zu Unrecht als Risiko markiert wird, die einzig relevante: Ich will nicht öfter fälschlich verdächtigt werden als jemand anderes.</w:t>
      </w:r>
    </w:p>
    <w:p>
      <w:pPr>
        <w:pStyle w:val="Fliesstext"/>
        <w:ind w:firstLine="283"/>
      </w:pPr>
      <w:r>
        <w:t xml:space="preserve">Jetzt wird es unangenehm. Zwei Arbeiten aus den Jahren 2016 und 2017 — Alexandra Chouldechova auf der einen Seite, Jon Kleinberg, Sendhil Mullainathan und Manish Raghavan auf der anderen — haben gezeigt, dass beide Seiten recht haben können und trotzdem keine Einigung möglich ist. Sie bewiesen mathematisch, was heute meist </w:t>
      </w:r>
      <w:r>
        <w:rPr>
          <w:b/>
        </w:rPr>
        <w:t>Unmöglichkeitstheorem</w:t>
      </w:r>
      <w:r>
        <w:t xml:space="preserve"> heißt: Wenn die tatsächlichen Basisraten zwischen zwei Gruppen unterschiedlich sind, lassen sich Kalibrierung und Fehlerratenbalance nicht gleichzeitig erfüllen. Nicht mit besseren Daten, nicht mit mehr Rechenleistung, nicht mit einem klügeren Team. Außer im trivialen Fall eines perfekten Prognosewerkzeugs schließt die eine Fairness-Definition die andere aus.[3]</w:t>
      </w:r>
    </w:p>
    <w:p>
      <w:pPr>
        <w:pStyle w:val="Zwischen"/>
      </w:pPr>
      <w:r>
        <w:t>Zweitausend Menschen, ein Formular, kein Ausweg</w:t>
      </w:r>
    </w:p>
    <w:p>
      <w:pPr>
        <w:pStyle w:val="Fliesstext"/>
      </w:pPr>
      <w:r>
        <w:t>Dieser Satz ist leicht auszusprechen und schwer zu glauben. Also rechnen wir ihn einmal durch.</w:t>
      </w:r>
    </w:p>
    <w:p>
      <w:pPr>
        <w:pStyle w:val="Fliesstext"/>
        <w:ind w:firstLine="283"/>
      </w:pPr>
      <w:r>
        <w:t>Die folgenden Zahlen sind erfunden. Ich habe sie so gewählt, dass sie glatt aufgehen; es sind keine COMPAS-Daten und keine Daten von sonst irgendwem.[4] Was sie zeigen, ist trotzdem genau der Mechanismus, den Chouldechova und Kleinberg bewiesen haben, und du kannst jeden Schritt mit einem Blatt Papier nachprüfen. Ich empfehle dir das ausdrücklich. Wer diese Rechnung einmal selbst gemacht hat, geht anders in die nächste Diskussion über faire Algorithmen.</w:t>
      </w:r>
    </w:p>
    <w:p>
      <w:pPr>
        <w:pStyle w:val="Fliesstext"/>
        <w:ind w:firstLine="283"/>
      </w:pPr>
      <w:r>
        <w:t>Stell dir zwei Gruppen vor, jede tausend Menschen groß, Gruppe A und Gruppe B. In Gruppe A werden dreihundert Menschen rückfällig, in Gruppe B sechshundert. Die Basisrate ist also unterschiedlich, dreißig gegen sechzig Prozent. Woher dieser Unterschied kommt, lassen wir für einen Moment offen. Wir kommen darauf zurück, und es ist der wichtigste Vorbehalt der ganzen Rechnung.</w:t>
      </w:r>
    </w:p>
    <w:p>
      <w:pPr>
        <w:pStyle w:val="Fliesstext"/>
        <w:ind w:firstLine="283"/>
      </w:pPr>
      <w:r>
        <w:t>Nun bauen wir ein Prognosewerkzeug, das sauber kalibriert ist. Kalibriert heißt hier: Wenn es jemanden als hochriskant einstuft, bedeutet das in beiden Gruppen dasselbe. Sagen wir, in beiden Gruppen werden fünfundsiebzig Prozent der als hochriskant Eingestuften tatsächlich rückfällig.</w:t>
      </w:r>
    </w:p>
    <w:p>
      <w:pPr>
        <w:pStyle w:val="Fliesstext"/>
        <w:ind w:firstLine="283"/>
      </w:pPr>
      <w:r>
        <w:t>In Gruppe A markiert das Werkzeug 280 Menschen als hochriskant. 210 von ihnen werden rückfällig, 70 nicht. 210 von 280 sind genau die geforderten 75 Prozent. In Gruppe B markiert es 640 Menschen als hochriskant. 480 von ihnen werden rückfällig, 160 nicht. 480 von 640 sind wieder exakt 75 Prozent. Die Kalibrierung sitzt, in beiden Gruppen, auf den Punkt. Kein Entwickler hat Hautfarbe, Geschlecht oder Postleitzahl ins Modell geschrieben.</w:t>
      </w:r>
    </w:p>
    <w:p>
      <w:pPr>
        <w:pStyle w:val="Fliesstext"/>
        <w:ind w:firstLine="283"/>
      </w:pPr>
      <w:r>
        <w:t>Und jetzt sieh dir an, was mit den Unschuldigen passiert.</w:t>
      </w:r>
    </w:p>
    <w:p>
      <w:pPr>
        <w:pStyle w:val="Fliesstext"/>
        <w:ind w:firstLine="283"/>
      </w:pPr>
      <w:r>
        <w:t>In Gruppe A gibt es siebenhundert Menschen, die nicht rückfällig werden. 70 von ihnen hat das Werkzeug fälschlich als hochriskant markiert. Das sind zehn Prozent. In Gruppe B gibt es nur vierhundert Menschen, die nicht rückfällig werden, weil dort ja mehr Menschen tatsächlich rückfällig werden. 160 von diesen vierhundert wurden fälschlich markiert. Das sind vierzig Prozent.</w:t>
      </w:r>
    </w:p>
    <w:p>
      <w:pPr>
        <w:pStyle w:val="Fliesstext"/>
        <w:ind w:firstLine="283"/>
      </w:pPr>
      <w:r>
        <w:t>Zehn gegen vierzig. Viermal so viele Fehlalarme in Gruppe B, bei perfekt identischer Kalibrierung. Das ist die ProPublica-Lücke, und sie entsteht hier aus dem Nichts, allein daraus, dass die kleinere Menge unschuldiger Menschen in Gruppe B dieselbe Sorte Fehler schultern muss.</w:t>
      </w:r>
    </w:p>
    <w:p>
      <w:pPr>
        <w:pStyle w:val="Fliesstext"/>
        <w:ind w:firstLine="283"/>
      </w:pPr>
      <w:r>
        <w:t>Die Sache hat eine Rückseite, die selten miterzählt wird. Die Fehler in der anderen Richtung verteilen sich genau umgekehrt. In Gruppe A werden 90 der 300 tatsächlich Rückfälligen als harmlos durchgewinkt, das sind dreißig Prozent. In Gruppe B sind es 120 von 600, also zwanzig. Die Gruppe mit den vielen Fehlalarmen bekommt die wenigen übersehenen Fälle. Wenn dir jemand erzählt, ein Algorithmus benachteilige eine Gruppe schlicht durchgehend, dann hat er in aller Regel nur eine der beiden Fehlerarten angesehen.</w:t>
      </w:r>
    </w:p>
    <w:p>
      <w:pPr>
        <w:pStyle w:val="Fliesstext"/>
        <w:ind w:firstLine="283"/>
      </w:pPr>
      <w:r>
        <w:t>Versuchen wir jetzt, das zu reparieren. Wir wollen, dass die Fehlalarmquote in beiden Gruppen gleich ist, zehn Prozent, wie in Gruppe A. Dafür müssen wir die Schwelle für Gruppe B anheben, dort also weniger Menschen als hochriskant einstufen. Sagen wir, es sind nun 400 statt 640. Davon werden 360 rückfällig, 40 nicht. Vierzig von vierhundert Unschuldigen sind genau die zehn Prozent, die wir haben wollten. Ziel erreicht.</w:t>
      </w:r>
    </w:p>
    <w:p>
      <w:pPr>
        <w:pStyle w:val="Fliesstext"/>
        <w:ind w:firstLine="283"/>
      </w:pPr>
      <w:r>
        <w:t>Der Preis steht in derselben Rechnung. Von den 400 als hochriskant Eingestuften in Gruppe B werden jetzt 360 rückfällig, also neunzig Prozent. In Gruppe A sind es weiterhin fünfundsiebzig. Dasselbe Wort auf demselben Formular bedeutet für den einen Menschen eine Rückfallwahrscheinlichkeit von drei Vierteln und für den anderen von neun Zehnteln. Die Richterin, die beide Akten auf dem Tisch hat, kann sich auf die Einstufung nicht mehr verlassen, weil sie nicht mehr dasselbe misst. Und die Quote der übersehenen Fälle ist in Gruppe B von zwanzig auf vierzig Prozent gesprungen, liegt jetzt also über der von Gruppe A. Wir haben eine Ungleichheit ausgeglichen und dabei zwei neue aufgerissen.</w:t>
      </w:r>
    </w:p>
    <w:p>
      <w:pPr>
        <w:pStyle w:val="Fliesstext"/>
        <w:ind w:firstLine="283"/>
      </w:pPr>
      <w:r>
        <w:t>So kann man das beliebig weiterschieben. Was man nicht kann, ist alles gleichzeitig glattziehen. Das ist keine Frage des Aufwands. Es ist Arithmetik, und Arithmetik verhandelt nicht.</w:t>
      </w:r>
    </w:p>
    <w:p>
      <w:pPr>
        <w:pStyle w:val="Fliesstext"/>
        <w:ind w:firstLine="283"/>
      </w:pPr>
      <w:r>
        <w:t>Jetzt zu dem Vorbehalt, den ich vorhin aufgeschoben habe, und ich markiere ihn als meine eigene Überlegung, nicht als Befund der zitierten Arbeiten. Die ganze Rechnung hängt an den Basisraten, und Basisraten sind kein Naturgesetz. Sie sind ein Messwert, und jeder Messwert hat eine Messvorschrift. Was in solchen Datensätzen als „Rückfall" auftaucht, ist immer das, was aktenkundig geworden ist. Wo mehr kontrolliert wird, wird mehr aktenkundig. Das Unmöglichkeitstheorem sagt dir, dass du bei gegebenen Basisraten zwischen zwei Übeln wählen musst. Es sagt dir nicht, dass die Basisraten selbst über jeden Zweifel erhaben sind. Wer das Theorem zitiert, um die Frage nach der Datenherkunft abzuräumen, benutzt einen Beweis als Türsteher.</w:t>
      </w:r>
    </w:p>
    <w:p>
      <w:pPr>
        <w:pStyle w:val="Fliesstext"/>
        <w:ind w:firstLine="283"/>
      </w:pPr>
      <w:r>
        <w:t>Lass den Rest kurz wirken. Die Frage „Ist dieser Algorithmus fair?" ist nicht beantwortbar, solange niemand gesagt hat, welche Fairness gemeint ist. Und die Wahl zwischen den Definitionen ist keine technische Entscheidung. Sie ist eine politische: Man muss sich entscheiden, welchen Fehler man lieber macht, mehr Unschuldige in Haft zu behalten oder mehr Rückfälle zu riskieren — und in welcher Gruppe.</w:t>
      </w:r>
    </w:p>
    <w:p>
      <w:pPr>
        <w:pStyle w:val="Fliesstext"/>
        <w:ind w:firstLine="283"/>
      </w:pPr>
      <w:r>
        <w:t>Das ist der Punkt, an dem ich beruflich am häufigsten mit Missverständnissen zu tun habe. Wenn in einem Projekt jemand sagt „das Modell soll halt fair sein", klingt das nach einer Anforderung, die man an die Entwickler weiterreichen kann, so wie „die Antwortzeit soll unter zwei Sekunden liegen". Es ist aber keine. Es ist eine Frage, die der Auftraggeber beantworten muss, schriftlich, mit Begründung. Und wenn er sie nicht beantwortet, beantwortet sie am Ende ein Entwickler durch die Wahl einer Verlustfunktion. Dann hat jemand eine gesellschaftliche Grundsatzentscheidung getroffen, dessen Aufgabenbeschreibung das gar nicht hergibt. Das ist die eigentliche Gefahr: nicht der böse Algorithmus, sondern die stillschweigend delegierte Wertentscheidung.</w:t>
      </w:r>
    </w:p>
    <w:p>
      <w:pPr>
        <w:pStyle w:val="Fliesstext"/>
        <w:ind w:firstLine="283"/>
      </w:pPr>
      <w:r>
        <w:t>Kleingeredet ist der Befund damit nicht, und ich sage das ausdrücklich, weil das Unmöglichkeitstheorem sich hervorragend als Ausrede eignet. „Geht mathematisch nicht anders" ist keine Antwort an einen Menschen, der wegen einer Zahl länger in Untersuchungshaft sitzt. Der Zielkonflikt ist unvermeidbar. Die Entscheidung darüber ist es nicht.</w:t>
      </w:r>
    </w:p>
    <w:p>
      <w:pPr>
        <w:pStyle w:val="Zwischen"/>
      </w:pPr>
      <w:r>
        <w:t>Und daneben steht der schlichte Murks</w:t>
      </w:r>
    </w:p>
    <w:p>
      <w:pPr>
        <w:pStyle w:val="Fliesstext"/>
      </w:pPr>
      <w:r>
        <w:t>Es gibt reichlich Verzerrung, die nichts mit unvermeidbaren Zielkonflikten zu tun hat, sondern handwerkliches Versagen ist.</w:t>
      </w:r>
    </w:p>
    <w:p>
      <w:pPr>
        <w:pStyle w:val="Fliesstext"/>
        <w:ind w:firstLine="283"/>
      </w:pPr>
      <w:r>
        <w:t xml:space="preserve">2018 veröffentlichten Joy Buolamwini und Timnit Gebru ihre Studie </w:t>
      </w:r>
      <w:r>
        <w:rPr>
          <w:i/>
        </w:rPr>
        <w:t>Gender Shades</w:t>
      </w:r>
      <w:r>
        <w:t>. Sie nahmen sich drei kommerzielle Systeme vor, die aus einem Gesichtsbild das Geschlecht bestimmen sollen, und taten etwas, das vor ihnen kaum jemand systematisch getan hatte: Sie werteten die Fehler nicht insgesamt aus, sondern getrennt nach Gruppen, und zwar entlang zweier Merkmale gleichzeitig, Geschlecht und Hautton. Vier Felder statt einer Gesamtnote.</w:t>
      </w:r>
    </w:p>
    <w:p>
      <w:pPr>
        <w:pStyle w:val="Fliesstext"/>
        <w:ind w:firstLine="283"/>
      </w:pPr>
      <w:r>
        <w:t xml:space="preserve">Das Ergebnis an den beiden Rändern: Bei hellhäutigen Männern lag die Fehlerrate bei </w:t>
      </w:r>
      <w:r>
        <w:rPr>
          <w:b/>
        </w:rPr>
        <w:t>0,8 Prozent</w:t>
      </w:r>
      <w:r>
        <w:t xml:space="preserve">. Bei dunkelhäutigen Frauen bei </w:t>
      </w:r>
      <w:r>
        <w:rPr>
          <w:b/>
        </w:rPr>
        <w:t>bis zu 34,7 Prozent</w:t>
      </w:r>
      <w:r>
        <w:t>.[5] Rechne das Verhältnis einmal aus. Es ist mehr als das Vierzigfache.</w:t>
      </w:r>
    </w:p>
    <w:p>
      <w:pPr>
        <w:pStyle w:val="Fliesstext"/>
        <w:ind w:firstLine="283"/>
      </w:pPr>
      <w:r>
        <w:t>Der methodische Kniff ist hier fast wichtiger als die Zahl. Ein System, das bei 0,8 und bei 34,7 Prozent liegt, kann in einem Datenblatt hervorragend aussehen, solange man nur die durchschnittliche Trefferquote über alle Testbilder ausweist und der Testsatz überwiegend aus hellhäutigen Gesichtern besteht. Genau diese Schieflage der gängigen Datensätze hat die Studie mitbelegt.[5] Die Verzerrung war also nicht versteckt, sie war nur nie getrennt ausgezählt worden. Wer keine Untergruppen misst, findet auch keine Ungleichheit, und ein Testverfahren, das nichts findet, wird selten in Frage gestellt.</w:t>
      </w:r>
    </w:p>
    <w:p>
      <w:pPr>
        <w:pStyle w:val="Fliesstext"/>
        <w:ind w:firstLine="283"/>
      </w:pPr>
      <w:r>
        <w:t>Das ist kein philosophisches Dilemma. Das ist ein Produkt mit unausgewogenen Trainingsdaten, das niemand ordentlich geprüft hat. Und genau deshalb hat die Studie gewirkt: messbar, reproduzierbar, reparabel. Sie hat die Diskussion über repräsentative Trainingsdaten überhaupt erst in Gang gebracht, und sie hat nebenbei eine Prüfmethode geliefert, die auf jedes klassifizierende System passt. Frag nie nach der Gesamtgenauigkeit. Frag nach der Genauigkeit in der Gruppe, in der sie am schlechtesten ist.</w:t>
      </w:r>
    </w:p>
    <w:p>
      <w:pPr>
        <w:pStyle w:val="Fliesstext"/>
        <w:ind w:firstLine="283"/>
      </w:pPr>
      <w:r>
        <w:t>Im selben Jahr berichtete Jeffrey Dastin bei Reuters, dass Amazon ein experimentelles KI-Werkzeug zur Bewerbervorauswahl eingestellt hatte, weil es Frauen benachteiligte. Trainiert worden war es auf zehn Jahren überwiegend männlicher Lebensläufe; es wertete Bewerbungen ab, in denen das Wort „women's" vorkam oder ein reines Frauen-College genannt war.[6] Auch hier: kein Rätsel. Ein Modell lernt, wen man bisher eingestellt hat, und niemand hat ihm gesagt, dass die Vergangenheit kein Vorbild ist. Bemerkenswert ist die Konsequenz. Amazon hat das Werkzeug nicht nachgebessert, sondern eingestellt, weil das Vertrauen fehlte, es überhaupt neutral bekommen zu können.[6] Eine Firma mit praktisch unbegrenzten Mitteln hat an dieser Aufgabe aufgegeben. Das sollte jeden nachdenklich machen, der ein Auswahlmodell für ein Wochenendprojekt hält.</w:t>
      </w:r>
    </w:p>
    <w:p>
      <w:pPr>
        <w:pStyle w:val="Fliesstext"/>
        <w:ind w:firstLine="283"/>
      </w:pPr>
      <w:r>
        <w:t>Bei den großen Sprachmodellen ist der Befund jünger, aber vorhanden. Studien aus 2024 und 2025 dokumentieren reproduzierbare Verzerrungen: Bevorzugung weißer und männlicher Namen in simulierten Auswahlentscheidungen, geschlechterstereotype Sprache in generierten Empfehlungsschreiben — Frauen eher gemeinschaftsbezogen beschrieben, Männer eher durchsetzungsstark —, stereotype Zuschreibung von Emotionen. Es gibt inzwischen strukturierte Benchmarks, um so etwas messbar zu machen, und eine Reihe dokumentierter Gegenmittel: ausgewogenere Trainingsdaten, gezieltes Nachtrainieren, Anweisungen im Prompt, standardisierte Bias-Audits vor dem Produktivgang.[7] Nichts davon ist geschenkt, aber auch nichts, wofür man auf Grundlagenforschung warten müsste.</w:t>
      </w:r>
    </w:p>
    <w:p>
      <w:pPr>
        <w:pStyle w:val="Fliesstext"/>
        <w:ind w:firstLine="283"/>
      </w:pPr>
      <w:r>
        <w:t>Und jetzt der Fall, der in die andere Richtung geht.</w:t>
      </w:r>
    </w:p>
    <w:p>
      <w:pPr>
        <w:pStyle w:val="Fliesstext"/>
        <w:ind w:firstLine="283"/>
      </w:pPr>
      <w:r>
        <w:t xml:space="preserve">2019 ging eine Empörungswelle durch die sozialen Netzwerke, ausgelöst vom Softwareentwickler David Heinemeier Hansson und verstärkt von Steve Wozniak: Die neue Apple Card gebe Männern deutlich höhere Kreditrahmen als ihren Ehefrauen, bei gleichem Einkommen und gemeinsamer Steuererklärung. Der Algorithmus sei sexistisch. Die Geschichte war perfekt — großer Name, klares Opfer, unsichtbare Maschine. Das New York State Department of Financial Services prüfte daraufhin rund </w:t>
      </w:r>
      <w:r>
        <w:rPr>
          <w:b/>
        </w:rPr>
        <w:t>400.000</w:t>
      </w:r>
      <w:r>
        <w:t xml:space="preserve"> Kreditanträge aus dem Bundesstaat. Das Ergebnis lag im März 2021 vor: </w:t>
      </w:r>
      <w:r>
        <w:rPr>
          <w:b/>
        </w:rPr>
        <w:t>kein Nachweis unrechtmäßiger Diskriminierung</w:t>
      </w:r>
      <w:r>
        <w:t xml:space="preserve"> nach dem Fair-Lending-Recht, keine Ungleichbehandlung bei vergleichbaren Kreditmerkmalen, das Geschlecht überhaupt kein Faktor im Modell.[8]</w:t>
      </w:r>
    </w:p>
    <w:p>
      <w:pPr>
        <w:pStyle w:val="Fliesstext"/>
        <w:ind w:firstLine="283"/>
      </w:pPr>
      <w:r>
        <w:t>Ich erzähle das nicht, um Häme über die Empörten auszuschütten. Dieselbe Behörde mahnte in demselben Bericht an, Kredit-Scoring und Antidiskriminierungsrecht zu modernisieren — die Sorge war also nicht albern, nur die Anklage im konkreten Fall haltlos. Ein Vorwurf, der viral geht, und ein Vorwurf, der einer Aktenprüfung standhält, sind zwei verschiedene Dinge, und die Aufmerksamkeit gehört fast immer dem ersten. Die Gegenmaßnahme war hier übrigens die Prüfung selbst: Nicht ein besserer Algorithmus hat die Frage geklärt, sondern eine Aufsichtsbehörde mit Aktenzugriff. Merke dir das für den Abschnitt über den AI Act.</w:t>
      </w:r>
    </w:p>
    <w:p>
      <w:pPr>
        <w:pStyle w:val="Zwischen"/>
      </w:pPr>
      <w:r>
        <w:t>Deepfakes: die teure Fälschung ist selten das Problem</w:t>
      </w:r>
    </w:p>
    <w:p>
      <w:pPr>
        <w:pStyle w:val="Fliesstext"/>
      </w:pPr>
      <w:r>
        <w:t xml:space="preserve">Beim zweiten Feld gibt es eine seriöse Gesamtschau, die man kennen sollte, bevor man mitredet. Im Januar 2025, vor dem AI Action Summit in Paris, erschien der erste </w:t>
      </w:r>
      <w:r>
        <w:rPr>
          <w:i/>
        </w:rPr>
        <w:t>International AI Safety Report</w:t>
      </w:r>
      <w:r>
        <w:t xml:space="preserve"> — erstellt von 96 Fachleuten unter dem Vorsitz von Yoshua Bengio, getragen von dreißig Ländern sowie EU, OECD und UN. Bemerkenswert ist, was er </w:t>
      </w:r>
      <w:r>
        <w:rPr>
          <w:i/>
        </w:rPr>
        <w:t>nicht</w:t>
      </w:r>
      <w:r>
        <w:t xml:space="preserve"> tut: Er gibt keine politischen Empfehlungen. Er bündelt den Evidenzstand und markiert, wo keiner ist.[9]</w:t>
      </w:r>
    </w:p>
    <w:p>
      <w:pPr>
        <w:pStyle w:val="Fliesstext"/>
        <w:ind w:firstLine="283"/>
      </w:pPr>
      <w:r>
        <w:t xml:space="preserve">Was er als belegt ausweist, ist ernst genug. Universelle KI kann Angreifern unterschiedlichen Könnens Cyberangriffe erleichtern und beschleunigen; demonstriert sind Fähigkeiten bei Aufgaben </w:t>
      </w:r>
      <w:r>
        <w:rPr>
          <w:b/>
        </w:rPr>
        <w:t>geringer und mittlerer</w:t>
      </w:r>
      <w:r>
        <w:t xml:space="preserve"> Komplexität. In Bio und Chemie zeigten neuere Systeme „einige Fähigkeit", Anleitungen und Fehlerbehebung zur Reproduktion bekannter Waffen zu liefern. 2025 veröffentlichten mehrere KI-Firmen Modelle bewusst mit zusätzlichen Sicherheitsvorkehrungen, weil ihre eigenen Tests vor der Freigabe nicht ausschließen konnten, dass die Modelle Laien dabei nennenswert helfen.[9][10]</w:t>
      </w:r>
    </w:p>
    <w:p>
      <w:pPr>
        <w:pStyle w:val="Fliesstext"/>
        <w:ind w:firstLine="283"/>
      </w:pPr>
      <w:r>
        <w:t xml:space="preserve">Was er zum großen Schreckensszenario sagt, ist genauso wichtig. Zum Kontrollverlust hält der Bericht fest: breiter Konsens, dass heutige universelle KI die Fähigkeiten dafür </w:t>
      </w:r>
      <w:r>
        <w:rPr>
          <w:b/>
        </w:rPr>
        <w:t>nicht</w:t>
      </w:r>
      <w:r>
        <w:t xml:space="preserve"> hat. Über die Wahrscheinlichkeit in den kommenden Jahren gehen die Einschätzungen dann weit auseinander, von „implausibel" bis „wahrscheinlich", und der Bericht sagt ausdrücklich, dass er wegen fehlenden Konsenses bewusst keine feste Meinung vorlegt.[10] Wenn dir jemand mit großer Sicherheit sagt, wie das ausgeht, weißt du jetzt, dass die größte Expertenrunde der Welt sich diese Sicherheit nicht zutraut.</w:t>
      </w:r>
    </w:p>
    <w:p>
      <w:pPr>
        <w:pStyle w:val="Fliesstext"/>
        <w:ind w:firstLine="283"/>
      </w:pPr>
      <w:r>
        <w:t xml:space="preserve">Jetzt zur Entzauberung, und sie ist eine gründliche. Vor dem großen Wahljahr 2024 war weithin die Erwartung ausgesprochen worden, es werde das Jahr der KI-Wahlmanipulation. In dieser Schärfe hat sich das nicht bestätigt. Auswertende Recherchen zeigen: </w:t>
      </w:r>
      <w:r>
        <w:rPr>
          <w:b/>
        </w:rPr>
        <w:t>„Cheap fakes" wurden etwa siebenmal häufiger eingesetzt als KI-Generate.</w:t>
      </w:r>
      <w:r>
        <w:t>[11] Cheap fake heißt: ein echtes Video, verlangsamt abgespielt, bis der Politiker betrunken wirkt. Ein Foto aus einem anderen Jahr mit neuer Bildunterschrift. Ein Zitat, dem man den halben Satz abgeschnitten hat. Kein Modell, kein Rechenzentrum, keine Fachkenntnis. Ein Handy und fünf Minuten.</w:t>
      </w:r>
    </w:p>
    <w:p>
      <w:pPr>
        <w:pStyle w:val="Fliesstext"/>
        <w:ind w:firstLine="283"/>
      </w:pPr>
      <w:r>
        <w:t>Warum funktioniert das Billige besser? Weil die teure Fälschung ein Problem löst, das kaum jemand hat. Desinformation muss nicht überzeugen, sie muss bestätigen. Wer glauben will, dass der Gegenkandidat lallt, braucht kein fotorealistisches Deepfake; ein wackliges, schlecht geschnittenes Video wirkt sogar authentischer. Die Schwachstelle sitzt nicht in der Bildqualität, sondern zwischen den Ohren des Publikums. Das sortiert die Gegenmaßnahmen: Ein Erkennungswerkzeug für KI-Bilder hilft gegen ein Siebtel des Problems.</w:t>
      </w:r>
    </w:p>
    <w:p>
      <w:pPr>
        <w:pStyle w:val="Fliesstext"/>
        <w:ind w:firstLine="283"/>
      </w:pPr>
      <w:r>
        <w:t xml:space="preserve">Dokumentierte KI-Fälle gibt es trotzdem. Vor der Vorwahl in New Hampshire erreichten KI-generierte Robocalls mit der Stimme Joe Bidens bis zu rund 25.000 Wähler; in der Slowakei kursierte zwei Tage vor der Wahl gefälschtes Audio eines Kandidaten; Rumänien annullierte 2024 eine Präsidentschaftswahl nach Hinweisen auf ausländische Einflussnahme, an der auch KI beteiligt war. Was in fast allen Fällen fehlt, ist die </w:t>
      </w:r>
      <w:r>
        <w:rPr>
          <w:i/>
        </w:rPr>
        <w:t>kausale</w:t>
      </w:r>
      <w:r>
        <w:t xml:space="preserve"> Wirkung auf das Ergebnis; sie ist nicht quantifiziert und methodisch schwer zu messen.[11]</w:t>
      </w:r>
    </w:p>
    <w:p>
      <w:pPr>
        <w:pStyle w:val="Fliesstext"/>
        <w:ind w:firstLine="283"/>
      </w:pPr>
      <w:r>
        <w:t xml:space="preserve">Hier muss ich eine Grenze ziehen, und ich markiere sie als meine eigene Überlegung, nicht als Befund des Berichts. Die Entwarnung gilt für die Wahlbeeinflussung, weil dort Reichweite nötig ist, und genau da schlägt das billige Material das teure. Sie gilt </w:t>
      </w:r>
      <w:r>
        <w:rPr>
          <w:b/>
        </w:rPr>
        <w:t>nicht</w:t>
      </w:r>
      <w:r>
        <w:t xml:space="preserve"> für nicht-einvernehmliche intime Bilder und nicht für Betrug. Dort braucht es keine Massenwirkung. Ein einziges gefälschtes Bild einer einzigen Person, an die richtigen dreißig Leute geschickt, richtet einen vollständigen Schaden an; ein einziger geklonter Stimmanruf bei einem Buchhalter, der eine Überweisung freigibt, ebenfalls. Für diese Fälle ist die Verfügbarkeit guter Fälschungswerkzeuge eine echte Verschlechterung gegenüber 2020, und wer den Wahl-Befund benutzt, um auch das kleinzureden, argumentiert unsauber.</w:t>
      </w:r>
    </w:p>
    <w:p>
      <w:pPr>
        <w:pStyle w:val="Fliesstext"/>
        <w:ind w:firstLine="283"/>
      </w:pPr>
      <w:r>
        <w:t xml:space="preserve">Die Zwischenbilanz bei den Gegenmaßnahmen ist gemischt. Herkunftsnachweise und Wasserzeichen werden entwickelt, es gibt dafür mit C2PA einen Industriestandard, und der EU AI Act bringt Kennzeichnungspflichten. Großbritannien und die USA gründeten 2023/24 Institute für Modellprüfungen, die 2025 beide umbenannt wurden und dabei den Akzent von „Safety" zu „Security" verschoben: aus dem britischen wurde im Februar 2025 das </w:t>
      </w:r>
      <w:r>
        <w:rPr>
          <w:b/>
        </w:rPr>
        <w:t>AI Security Institute</w:t>
      </w:r>
      <w:r>
        <w:t xml:space="preserve">, aus dem amerikanischen im Juni 2025 das </w:t>
      </w:r>
      <w:r>
        <w:rPr>
          <w:b/>
        </w:rPr>
        <w:t>Center for AI Standards and Innovation</w:t>
      </w:r>
      <w:r>
        <w:t>, mit Fokus auf demonstrierbare Risiken wie Cyber-, Bio- und Chemiesicherheit.[12] Die Zahl der Unternehmen mit veröffentlichten Sicherheits-Rahmenwerken für Spitzenmodelle hat sich seit Anfang 2025 mehr als verdoppelt — und im selben Atemzug steht dort „significant gaps remain", versierte Angreifer umgehen die aktuellen Schutzmaßnahmen oft.[10] Das ist der Stand. Nicht hoffnungslos, nicht gelöst.</w:t>
      </w:r>
    </w:p>
    <w:p>
      <w:pPr>
        <w:pStyle w:val="Zwischen"/>
      </w:pPr>
      <w:r>
        <w:t>Datenschutz, und was Kodak mit Brüssel zu tun hat</w:t>
      </w:r>
    </w:p>
    <w:p>
      <w:pPr>
        <w:pStyle w:val="Fliesstext"/>
      </w:pPr>
      <w:r>
        <w:t>Erinnerst du dich an die Kodak-Panik aus Kapitel 5? Als die Handkamera Ende des 19. Jahrhunderts jeden zum Schnappschussfotografen machte, brach eine Sorge aus, die man damals für hysterisch hielt und die 1890 zu einem Aufsatz von Samuel Warren und Louis Brandeis führte, aus dem das moderne Recht auf Privatsphäre erwuchs.[13] Eine Technik machte etwas möglich, wofür es noch keine Regel gab, also erfand man die Regel. Nicht Verbot der Kamera, nicht Beschwichtigung. Einhegung. Der gleiche Vorgang läuft gerade wieder, nur schneller und mit mehr Aktenordnern.</w:t>
      </w:r>
    </w:p>
    <w:p>
      <w:pPr>
        <w:pStyle w:val="Fliesstext"/>
        <w:ind w:firstLine="283"/>
      </w:pPr>
      <w:r>
        <w:t xml:space="preserve">Der bekannteste Einzelfall: Am 20. Dezember 2024 verhängte die italienische Datenschutzbehörde Garante ein Bußgeld von </w:t>
      </w:r>
      <w:r>
        <w:rPr>
          <w:b/>
        </w:rPr>
        <w:t>15 Millionen Euro</w:t>
      </w:r>
      <w:r>
        <w:t xml:space="preserve"> gegen OpenAI — wegen Verarbeitung personenbezogener Daten zu Trainingszwecken ohne ausreichende Rechtsgrundlage, Verstößen gegen Transparenz- und Informationspflichten, fehlender Altersverifikation und der Nichtmeldung einer Datenpanne aus dem März 2023. Und jetzt die Pointe, die dazugehört: OpenAI legte Berufung ein, und ein italienisches Gericht hob die Buße 2026 auf — </w:t>
      </w:r>
      <w:r>
        <w:rPr>
          <w:b/>
        </w:rPr>
        <w:t>aus Zuständigkeitsgründen, nicht weil die inhaltlichen Vorwürfe entkräftet worden wären.</w:t>
      </w:r>
      <w:r>
        <w:t>[14] Wer den Fall als Beweis zitiert, dass KI-Firmen das Recht brechen, überdehnt ihn. Wer ihn als „war alles nichts" abtut, ebenfalls.</w:t>
      </w:r>
    </w:p>
    <w:p>
      <w:pPr>
        <w:pStyle w:val="Fliesstext"/>
        <w:ind w:firstLine="283"/>
      </w:pPr>
      <w:r>
        <w:t>Die inhaltliche Linie der europäischen Datenschützer steht seit dem 17. Dezember 2024 in der Stellungnahme 28/2024 des Europäischen Datenschutzausschusses. Drei Punkte lohnen sich zu merken. Ob ein KI-Modell als anonym gilt, ist im Einzelfall zu prüfen; es muss „sehr unwahrscheinlich" sein, dass sich Personen daraus identifizieren oder personenbezogene Daten per Anfrage aus dem Modell herausholen lassen. Das berechtigte Interesse kann eine tragfähige Rechtsgrundlage sein, aber nur nach bestandenem Drei-Stufen-Test: Das Interesse muss legitim sein, die Verarbeitung dafür notwendig, und die Abwägung gegen die Rechte der Betroffenen muss standhalten. Und der scharfe Zahn: Wurden die Daten ursprünglich unrechtmäßig verarbeitet, kann das die weitere Nutzung des daraus entstandenen Modells beeinträchtigen. Der Tenor ist trotzdem nicht ablehnend — „GDPR principles support responsible AI".[15]</w:t>
      </w:r>
    </w:p>
    <w:p>
      <w:pPr>
        <w:pStyle w:val="Fliesstext"/>
        <w:ind w:firstLine="283"/>
      </w:pPr>
      <w:r>
        <w:t>Der letzte Punkt ist der, den ich in Projekten am ernstesten nehme, und er hat nichts mit Weltanschauung zu tun. Ein Modell, dessen Trainingsgrundlage angreifbar ist, ist ein Vermögenswert mit einem Riss. Man sieht ihn jahrelang nicht, und dann sitzt man in einer Prüfung.</w:t>
      </w:r>
    </w:p>
    <w:p>
      <w:pPr>
        <w:pStyle w:val="Zwischen"/>
      </w:pPr>
      <w:r>
        <w:t>Der AI Act, oder: reguliert wird der Zweck</w:t>
      </w:r>
    </w:p>
    <w:p>
      <w:pPr>
        <w:pStyle w:val="Fliesstext"/>
      </w:pPr>
      <w:r>
        <w:t>Der große Rahmen ist der EU AI Act, die erste umfassende horizontale KI-Regulierung der Welt. Am 12. Juli 2024 im Amtsblatt veröffentlicht, seit dem 1. August 2024 in Kraft, und dann gestuft anwendbar, was in der Praxis wichtiger ist als das Inkrafttreten, weil erst mit der Anwendbarkeit die Pflichten greifen. Die Verbote gelten seit dem 2. Februar 2025. Die Pflichten für Universalmodelle, im Jargon GPAI, und die Governance-Regeln samt Benennung der zuständigen nationalen Behörden seit dem 2. August 2025. Der Großteil der Regeln einschließlich der Hochrisiko-Systeme nach Anhang III und der Transparenzpflichten nach Artikel 50 seit dem 2. August 2026. Der Rest, insbesondere KI als Sicherheitskomponente in Produkten, die ohnehin schon eigenen Regeln unterliegen, ab dem 2. August 2027.[16]</w:t>
      </w:r>
    </w:p>
    <w:p>
      <w:pPr>
        <w:pStyle w:val="Fliesstext"/>
        <w:ind w:firstLine="283"/>
      </w:pPr>
      <w:r>
        <w:t>Die Bauart ist risikobasiert, und das ist der klügste Gedanke daran. Es wird nicht „KI" reguliert, sondern der Einsatz nach Schadenspotenzial, in vier Stufen.</w:t>
      </w:r>
    </w:p>
    <w:p>
      <w:pPr>
        <w:pStyle w:val="Fliesstext"/>
        <w:ind w:firstLine="283"/>
      </w:pPr>
      <w:r>
        <w:t>Ganz oben das unannehmbare Risiko, also das Verbot. Dazu gehören unter anderem behördliches Social Scoring, das ungezielte Abgreifen von Gesichtsbildern zum Aufbau von Datenbanken, Emotionserkennung am Arbeitsplatz und in Bildungseinrichtungen sowie bestimmte Formen biometrischer Echtzeit-Fernidentifizierung.[16] Diese Liste lohnt zweimal gelesen zu werden, denn sie ist kürzer und konkreter, als die öffentliche Debatte sie meist darstellt. Verboten ist nicht Gesichtserkennung. Verboten ist, ohne Anlass Gesichter einzusammeln und daraus eine Datenbank zu bauen. Verboten ist nicht Sprachanalyse. Verboten ist, mit ihr am Arbeitsplatz Gefühlszustände zu erheben.</w:t>
      </w:r>
    </w:p>
    <w:p>
      <w:pPr>
        <w:pStyle w:val="Fliesstext"/>
        <w:ind w:firstLine="283"/>
      </w:pPr>
      <w:r>
        <w:t>Darunter die Hochrisiko-Stufe mit strengen Anforderungen an Datenqualität, Dokumentation, menschliche Aufsicht und Nachvollziehbarkeit. Darunter die Transparenzstufe, bei der es im Kern darum geht, dass Menschen wissen, wenn sie es mit einer Maschine oder mit maschinell erzeugtem Material zu tun haben. Und ganz unten das minimale Risiko, das weitgehend frei bleibt. Das ist zugleich der allergrößte Teil dessen, was in Unternehmen tatsächlich läuft, was in der Aufregung um dieses Gesetz gern untergeht.</w:t>
      </w:r>
    </w:p>
    <w:p>
      <w:pPr>
        <w:pStyle w:val="Fliesstext"/>
        <w:ind w:firstLine="283"/>
      </w:pPr>
      <w:r>
        <w:t xml:space="preserve">Die Bußgelder sind gestaffelt und folgen derselben Logik. Bei verbotenen Praktiken bis </w:t>
      </w:r>
      <w:r>
        <w:rPr>
          <w:b/>
        </w:rPr>
        <w:t>35 Millionen Euro oder 7 Prozent</w:t>
      </w:r>
      <w:r>
        <w:t xml:space="preserve"> des weltweiten Jahresumsatzes, bei Verstößen gegen die Hochrisiko-Pflichten bis 15 Millionen Euro oder 3 Prozent, bei Informationsverstößen bis 7,5 Millionen Euro oder 1 Prozent. Es gilt jeweils der höhere Betrag, was für große Konzerne bedeutet: Die Prozentzahl ist die Zahl, die zählt.[16]</w:t>
      </w:r>
    </w:p>
    <w:p>
      <w:pPr>
        <w:pStyle w:val="Fliesstext"/>
        <w:ind w:firstLine="283"/>
      </w:pPr>
      <w:r>
        <w:t>Übersetzt in meinen Arbeitsalltag: Ein Chatbot, der beim Ausfüllen einer Reisekostenabrechnung hilft, ist minimales Risiko und interessiert den Gesetzgeber praktisch nicht. Dasselbe Sprachmodell zur Vorsortierung von Bewerbungen ist Hochrisiko und zieht einen Rattenschwanz an Pflichten nach sich. Dasselbe Modell zur Stimmungsanalyse von Mitarbeitern im Callcenter ist schlicht verboten. Ein Modell, drei Einstufungen. Das ist die zentrale Denkfigur, und sie ist richtig: Reguliert wird der Zweck, nicht die Technik.</w:t>
      </w:r>
    </w:p>
    <w:p>
      <w:pPr>
        <w:pStyle w:val="Fliesstext"/>
        <w:ind w:firstLine="283"/>
      </w:pPr>
      <w:r>
        <w:t>Zur Kritik. Ich wiederhole hier keine Talkshow-Punkte, für die ich keine belastbaren Quellen habe, aber drei Einwände ergeben sich direkt aus den Fakten oben, und die nenne ich als meine Einschätzung.</w:t>
      </w:r>
    </w:p>
    <w:p>
      <w:pPr>
        <w:pStyle w:val="Fliesstext"/>
        <w:ind w:firstLine="283"/>
      </w:pPr>
      <w:r>
        <w:t>Der erste ist das Tempo. Zwischen Inkrafttreten und voller Anwendbarkeit liegen drei Jahre, und in der KI-Entwicklung sind drei Jahre eine geologische Epoche. Das ist das Collingridge-Dilemma aus dem vierten Kapitel in Reinform: Reguliert man früh, weiß man zu wenig; wartet man, bis man genug weiß, ist die Technik verbaut. Der AI Act hat sich für früh entschieden und zahlt mit Unschärfe.</w:t>
      </w:r>
    </w:p>
    <w:p>
      <w:pPr>
        <w:pStyle w:val="Fliesstext"/>
        <w:ind w:firstLine="283"/>
      </w:pPr>
      <w:r>
        <w:t>Der zweite steckt im Fall Garante. Eine Regel ist nur so gut wie die Behörde, die sie durchsetzt, und wenn ein Millionenbußgeld an einer Zuständigkeitsfrage scheitert, ist das ein Vollzugsproblem, kein Textproblem. Das Gesetz kann von den Mitgliedstaaten verlangen, Behörden zu benennen; es kann ihnen kein Personal beschaffen. Vollzug ist unspektakulär und entscheidet trotzdem alles. Frag jeden, der schon mal versucht hat, in einem Konzern eine Richtlinie durchzusetzen, für die niemand zuständig ist.</w:t>
      </w:r>
    </w:p>
    <w:p>
      <w:pPr>
        <w:pStyle w:val="Fliesstext"/>
        <w:ind w:firstLine="283"/>
      </w:pPr>
      <w:r>
        <w:t>Der dritte fällt mir in Projekten am unangenehmsten auf. Die Einstufung hängt am Zweck, aber den Zweck erklärt in erster Instanz derjenige, der das System einsetzt. Bei einem Universalmodell ist der Zweck kein Merkmal des Produkts, sondern eine Erzählung über seine Verwendung, und diese Erzählung kann sich in einem Sprint ändern, ohne dass jemand einen Antrag stellt. Ein Assistent für Textbausteine, den irgendwann jemand auf Bewerbungsunterlagen loslässt, hat die Stufe gewechselt, ohne dass eine einzige Codezeile angefasst wurde. Wer solche Systeme betreibt, braucht deshalb keine einmalige Einstufung, sondern eine, die man nachhält. Das klingt langweilig und ist trotzdem der Unterschied zwischen Regelbefolgung und Regelbehauptung.</w:t>
      </w:r>
    </w:p>
    <w:p>
      <w:pPr>
        <w:pStyle w:val="Zwischen"/>
      </w:pPr>
      <w:r>
        <w:t>Strom, Wasser und eine Zahl, die es nicht gibt</w:t>
      </w:r>
    </w:p>
    <w:p>
      <w:pPr>
        <w:pStyle w:val="Fliesstext"/>
      </w:pPr>
      <w:r>
        <w:t>Beim vierten Feld können wir die dritte Prüffrage vorführen wie an einem Lehrmodell: Woher stammt die Zahl, und hat sie jemand nachgerechnet?</w:t>
      </w:r>
    </w:p>
    <w:p>
      <w:pPr>
        <w:pStyle w:val="Fliesstext"/>
        <w:ind w:firstLine="283"/>
      </w:pPr>
      <w:r>
        <w:t xml:space="preserve">Erst der belastbare Teil. Die Internationale Energieagentur legte im April 2025 mit </w:t>
      </w:r>
      <w:r>
        <w:rPr>
          <w:i/>
        </w:rPr>
        <w:t>Energy and AI</w:t>
      </w:r>
      <w:r>
        <w:t xml:space="preserve"> die erste umfassende globale Analyse dazu vor. Danach verbrauchten Rechenzentren weltweit 2024 rund </w:t>
      </w:r>
      <w:r>
        <w:rPr>
          <w:b/>
        </w:rPr>
        <w:t>415 Terawattstunden</w:t>
      </w:r>
      <w:r>
        <w:t xml:space="preserve"> Strom, etwa </w:t>
      </w:r>
      <w:r>
        <w:rPr>
          <w:b/>
        </w:rPr>
        <w:t>1,5 Prozent</w:t>
      </w:r>
      <w:r>
        <w:t xml:space="preserve"> des globalen Stromverbrauchs. Das Wachstum liegt seit 2017 bei rund 12 Prozent pro Jahr, mehr als viermal so schnell wie der Gesamtstromverbrauch. Im Basisszenario verdoppelt sich das bis 2030 auf rund </w:t>
      </w:r>
      <w:r>
        <w:rPr>
          <w:b/>
        </w:rPr>
        <w:t>945 Terawattstunden</w:t>
      </w:r>
      <w:r>
        <w:t xml:space="preserve"> — knapp 3 Prozent des Weltstromverbrauchs, etwas mehr, als Japan heute insgesamt verbraucht — und steigt bis 2035 auf rund 1.200. Der Strombedarf KI-optimierter Rechenzentren soll sich bis 2030 mehr als vervierfachen; allein 2025 stieg er um rund </w:t>
      </w:r>
      <w:r>
        <w:rPr>
          <w:b/>
        </w:rPr>
        <w:t>50 Prozent</w:t>
      </w:r>
      <w:r>
        <w:t>. Gedeckt wird die Zusatznachfrage in den nächsten fünf Jahren knapp zur Hälfte aus Erneuerbaren, dahinter Erdgas und Kohle, gegen Ende des Jahrzehnts zunehmend Kernkraft.[17]</w:t>
      </w:r>
    </w:p>
    <w:p>
      <w:pPr>
        <w:pStyle w:val="Fliesstext"/>
        <w:ind w:firstLine="283"/>
      </w:pPr>
      <w:r>
        <w:t>Das ist ein reales Problem, und ich will es nicht wegmoderieren. Aber der ehrliche Umgang mit diesen Zahlen verlangt zwei Präzisierungen. Knapp 3 Prozent des Weltstroms sind relevant und schnell wachsend, aber kein dominanter Anteil; wer den Eindruck erweckt, KI fresse den Planeten leer, argumentiert gegen die Zahlen. Und der Ärger entsteht ohnehin nicht global, sondern lokal. Wenn sich in einem Landkreis drei große Rechenzentren ansiedeln, trifft das dort das Netz, den Strompreis und in trockenen Regionen die Wasserversorgung. Die Weltstatistik tröstet die Leute vor Ort nicht.[17]</w:t>
      </w:r>
    </w:p>
    <w:p>
      <w:pPr>
        <w:pStyle w:val="Fliesstext"/>
        <w:ind w:firstLine="283"/>
      </w:pPr>
      <w:r>
        <w:t xml:space="preserve">Auf der Modellseite: Das Training von GPT-3 verbrauchte nach der Analyse von David Patterson und Kollegen rund </w:t>
      </w:r>
      <w:r>
        <w:rPr>
          <w:b/>
        </w:rPr>
        <w:t>1.287 Megawattstunden</w:t>
      </w:r>
      <w:r>
        <w:t xml:space="preserve"> und verursachte etwa </w:t>
      </w:r>
      <w:r>
        <w:rPr>
          <w:b/>
        </w:rPr>
        <w:t>552 Tonnen CO₂</w:t>
      </w:r>
      <w:r>
        <w:t>, von den Autoren eingeordnet als vergleichbar mit einigen Hin- und Rückflügen eines Verkehrsflugzeugs zwischen San Francisco und New York.[18] Eine ernst zu nehmende Menge, aber keine, bei der man das Licht ausmachen muss.</w:t>
      </w:r>
    </w:p>
    <w:p>
      <w:pPr>
        <w:pStyle w:val="Zwischen"/>
      </w:pPr>
      <w:r>
        <w:t>Die Lebensgeschichte eines halben Liters</w:t>
      </w:r>
    </w:p>
    <w:p>
      <w:pPr>
        <w:pStyle w:val="Fliesstext"/>
      </w:pPr>
      <w:r>
        <w:t>Und jetzt zu der Zahl, die du garantiert schon gehört hast.</w:t>
      </w:r>
    </w:p>
    <w:p>
      <w:pPr>
        <w:pStyle w:val="Fliesstext"/>
        <w:ind w:firstLine="283"/>
      </w:pPr>
      <w:r>
        <w:t>„Eine ChatGPT-Antwort verbraucht einen halben Liter Wasser." Sie steht in Zeitungsartikeln, in Präsentationen, auf Plakaten. Ich habe sie in Meetings gehört, aus dem Mund von Leuten, die sonst sehr genau sind. Also habe ich nachgeschaut, woher sie kommt, und der Weg dorthin lehrt mehr über Quellenkritik als jedes Kapitel, das ich darüber schreiben könnte.</w:t>
      </w:r>
    </w:p>
    <w:p>
      <w:pPr>
        <w:pStyle w:val="Fliesstext"/>
        <w:ind w:firstLine="283"/>
      </w:pPr>
      <w:r>
        <w:t>Sie stammt aus einer Arbeit von Pengfei Li und Kollegen an der University of California, Riverside, aus dem Jahr 2023, einem Preprint, der mehrfach überarbeitet wurde.[19] Preprint heißt: veröffentlicht, bevor Fachkollegen es begutachtet haben. Das ist in der Informatik üblich und kein Makel. Es bedeutet nur, dass die Qualitätsprüfung noch aussteht und dass verschiedene Fassungen desselben Textes gleichzeitig im Umlauf sind.</w:t>
      </w:r>
    </w:p>
    <w:p>
      <w:pPr>
        <w:pStyle w:val="Fliesstext"/>
        <w:ind w:firstLine="283"/>
      </w:pPr>
      <w:r>
        <w:t xml:space="preserve">Jetzt lies die Zahl bitte im Original mit, und achte auf jedes Wort. Es geht um rund 500 Milliliter pro </w:t>
      </w:r>
      <w:r>
        <w:rPr>
          <w:b/>
        </w:rPr>
        <w:t>Antwort von etwa 100 Wörtern</w:t>
      </w:r>
      <w:r>
        <w:t xml:space="preserve">. Nicht pro Frage. Nicht pro Sitzung. Pro einer bestimmten Menge erzeugten Textes. Und der Wert schließt den </w:t>
      </w:r>
      <w:r>
        <w:rPr>
          <w:b/>
        </w:rPr>
        <w:t>indirekten</w:t>
      </w:r>
      <w:r>
        <w:t xml:space="preserve"> Wasserverbrauch mit ein, also nicht nur das Wasser, das im Rechenzentrum durch die Kühlung geht, sondern auch das Kühlwasser des Kraftwerks, das den Strom dafür erzeugt.[19] Das ist keine Spitzfindigkeit, sondern der eigentliche Hebel der Rechnung, und er hängt vollständig daran, wo das Rechenzentrum steht, wie das Klima dort ist und woraus der Strommix besteht. Ein Rechenzentrum in einem kühlen Land mit viel Wasserkraft und eines in einer heißen Region mit Kohlestrom kommen bei identischer Rechenarbeit zu völlig verschiedenen Werten. Die Methodik ist fachlich umstritten, und als gesicherter Standardwert taugt die Zahl nicht.[19]</w:t>
      </w:r>
    </w:p>
    <w:p>
      <w:pPr>
        <w:pStyle w:val="Fliesstext"/>
        <w:ind w:firstLine="283"/>
      </w:pPr>
      <w:r>
        <w:t>Dann ist da noch ein Detail, das ich für das verräterischste halte. In der Debatte kursiert die Angabe nicht nur als „rund 500 Milliliter", sondern auch in der Form 519 Milliliter. Drei Stellen. Eine Schätzung, die auf Annahmen über Standort, Klima, Strommix und Modellgröße beruht, wird mit einer Genauigkeit von einem Milliliter weitergereicht. Wenn dir eine Zahl in solcher Auflösung begegnet, obwohl ihre Eingangsgrößen um ein Vielfaches schwanken, ist die Präzision keine Information. Sie ist Dekoration, und sie soll verhindern, dass du nach der Herkunft fragst.</w:t>
      </w:r>
    </w:p>
    <w:p>
      <w:pPr>
        <w:pStyle w:val="Fliesstext"/>
        <w:ind w:firstLine="283"/>
      </w:pPr>
      <w:r>
        <w:t>Was hier passiert ist, ist ein Musterbeispiel dafür, wie eine Zahl durch Weitererzählen zur Tatsache wird, und man kann die Stufen einzeln benennen.</w:t>
      </w:r>
    </w:p>
    <w:p>
      <w:pPr>
        <w:pStyle w:val="Fliesstext"/>
        <w:ind w:firstLine="283"/>
      </w:pPr>
      <w:r>
        <w:t>Stufe eins: Die Bezugsgröße fällt weg. Aus „pro 100-Wort-Antwort" wird „pro Antwort". Wer drei Wörter zurückbekommt, verbraucht in dieser Version so viel wie jemand, der sich einen Aufsatz schreiben lässt.</w:t>
      </w:r>
    </w:p>
    <w:p>
      <w:pPr>
        <w:pStyle w:val="Fliesstext"/>
        <w:ind w:firstLine="283"/>
      </w:pPr>
      <w:r>
        <w:t>Stufe zwei: Die Systemgrenze fällt weg. Aus „inklusive des indirekten Verbrauchs der Stromerzeugung" wird schlicht „verbraucht". Der Leser stellt sich Wasser vor, das durch ein Rechenzentrum läuft, nicht durch ein Kraftwerk in einem anderen Bundesstaat.</w:t>
      </w:r>
    </w:p>
    <w:p>
      <w:pPr>
        <w:pStyle w:val="Fliesstext"/>
        <w:ind w:firstLine="283"/>
      </w:pPr>
      <w:r>
        <w:t>Stufe drei: Die Annahmen fallen weg. Aus einem Wert unter bestimmten Standort- und Klimabedingungen wird eine Konstante, die angeblich immer gilt.</w:t>
      </w:r>
    </w:p>
    <w:p>
      <w:pPr>
        <w:pStyle w:val="Fliesstext"/>
        <w:ind w:firstLine="283"/>
      </w:pPr>
      <w:r>
        <w:t>Stufe vier: Die Unsicherheit fällt weg. Aus „Schätzung aus einem nicht begutachteten Preprint, dessen Methodik bestritten wird" wird „Studien zeigen".</w:t>
      </w:r>
    </w:p>
    <w:p>
      <w:pPr>
        <w:pStyle w:val="Fliesstext"/>
        <w:ind w:firstLine="283"/>
      </w:pPr>
      <w:r>
        <w:t>Stufe fünf: Die Zahl wird zum Bild. „Ein halber Liter pro Frage" wird zu „ChatGPT säuft", und ab hier reist sie ganz ohne Zahlenwert weiter.</w:t>
      </w:r>
    </w:p>
    <w:p>
      <w:pPr>
        <w:pStyle w:val="Fliesstext"/>
        <w:ind w:firstLine="283"/>
      </w:pPr>
      <w:r>
        <w:t>Jeder einzelne Schritt ist nur eine kleine Ungenauigkeit, jeder für sich verzeihlich, jeder in gutem Glauben gemacht. Am Ende steht eine Behauptung, die mit der Quelle nichts mehr zu tun hat, und niemand ist schuld, weil jeder nur zitiert hat. So entstehen die meisten Zahlen, die du für Allgemeinwissen hältst.</w:t>
      </w:r>
    </w:p>
    <w:p>
      <w:pPr>
        <w:pStyle w:val="Fliesstext"/>
        <w:ind w:firstLine="283"/>
      </w:pPr>
      <w:r>
        <w:t xml:space="preserve">Die Gegenzahlen sind ernüchternd. Sam Altman nannte im Juni 2025 rund </w:t>
      </w:r>
      <w:r>
        <w:rPr>
          <w:b/>
        </w:rPr>
        <w:t>0,34 Wattstunden</w:t>
      </w:r>
      <w:r>
        <w:t xml:space="preserve"> Strom und rund </w:t>
      </w:r>
      <w:r>
        <w:rPr>
          <w:b/>
        </w:rPr>
        <w:t>0,3 Milliliter</w:t>
      </w:r>
      <w:r>
        <w:t xml:space="preserve"> Wasser pro Anfrage. Der Mann ist Partei, das muss man dazusagen, und ich würde ihm bei einer Zahl über sein eigenes Produkt nicht ungeprüft folgen. Aber eine unabhängige Schätzung von Epoch AI für eine typische GPT-4o-Anfrage kommt auf etwa </w:t>
      </w:r>
      <w:r>
        <w:rPr>
          <w:b/>
        </w:rPr>
        <w:t>0,3 Wattstunden</w:t>
      </w:r>
      <w:r>
        <w:t xml:space="preserve">, rund </w:t>
      </w:r>
      <w:r>
        <w:rPr>
          <w:b/>
        </w:rPr>
        <w:t>zehnmal niedriger</w:t>
      </w:r>
      <w:r>
        <w:t xml:space="preserve"> als ältere, häufig zitierte Werte.[20] 0,34 Wattstunden sind, wenn du es dir vorstellbar machen willst, ungefähr das, was eine Zehn-Watt-LED in zwei Minuten zieht.</w:t>
      </w:r>
    </w:p>
    <w:p>
      <w:pPr>
        <w:pStyle w:val="Fliesstext"/>
        <w:ind w:firstLine="283"/>
      </w:pPr>
      <w:r>
        <w:t>Zwischen 0,3 Millilitern und 500 Millilitern liegt mehr als der Faktor tausend. Das widerlegt die Riverside-Rechnung nicht formal, denn die Systemgrenzen sind andere: direkt gegen indirekt, andere Standorte, andere Modelle, andere Bezugsgröße. Genau das ist der Punkt. Zahlen, deren Systemgrenzen man nicht kennt, kann man nicht vergleichen, und beim Weitererzählen fällt die Systemgrenze immer als Erstes weg. Wenn zwei ernst gemeinte Werte für dieselbe Sache um den Faktor tausend auseinanderliegen, streiten die Beteiligten nicht über Wasser. Sie streiten darüber, wo der Zaun um das System verläuft.</w:t>
      </w:r>
    </w:p>
    <w:p>
      <w:pPr>
        <w:pStyle w:val="Fliesstext"/>
        <w:ind w:firstLine="283"/>
      </w:pPr>
      <w:r>
        <w:t>Die IEA selbst schätzt den Wasserverbrauch von Rechenzentren 2023 auf rund 560 Milliarden Liter mit möglichem Anstieg auf rund 1.200 Milliarden Liter bis 2030, ohne saubere Aufschlüsselung des KI-Anteils. Schätzungen zum reinen KI-Wasserfußabdruck schwanken zwischen 312,5 und 764,6 Milliarden Litern für 2025.[21] Eine Spannbreite von mehr als Faktor zwei ist ein ehrliches Eingeständnis, dass es niemand genau weiß. Mir ist so eine Spannbreite deutlich lieber als ein einzelner runder Wert, den alle abschreiben.</w:t>
      </w:r>
    </w:p>
    <w:p>
      <w:pPr>
        <w:pStyle w:val="Fliesstext"/>
        <w:ind w:firstLine="283"/>
      </w:pPr>
      <w:r>
        <w:t xml:space="preserve">Bei den Gegenmaßnahmen gibt es eine gute Nachricht, die selten erzählt wird: Laut IEA verbessert sich die Energieeffizienz </w:t>
      </w:r>
      <w:r>
        <w:rPr>
          <w:b/>
        </w:rPr>
        <w:t>pro KI-Aufgabe</w:t>
      </w:r>
      <w:r>
        <w:t xml:space="preserve"> in einem in der Energiegeschichte beispiellosen Tempo, zuletzt jährlich um mindestens eine Größenordnung, Hardware und Software zusammengenommen. Der Gesamtverbrauch steigt trotzdem, weil die Nachfrage schneller wächst als die Effizienz; das ist der alte Rebound-Effekt, kein Argument gegen Effizienz. Dazu kommen bessere Kühlverfahren, Standortwahl nach Netz- und Wasserlage, Transparenzpflichten — und der Umstand, dass dieselbe IEA erhebliches Potenzial sieht, mit KI den Energiesektor selbst effizienter zu machen, etwa in der Netzsteuerung.[17]</w:t>
      </w:r>
    </w:p>
    <w:p>
      <w:pPr>
        <w:pStyle w:val="Zwischen"/>
      </w:pPr>
      <w:r>
        <w:t>Was noch bleibt</w:t>
      </w:r>
    </w:p>
    <w:p>
      <w:pPr>
        <w:pStyle w:val="Fliesstext"/>
      </w:pPr>
      <w:r>
        <w:t>Drei Dinge gehören hierher, die kein eigenes Kapitel bekommen.</w:t>
      </w:r>
    </w:p>
    <w:p>
      <w:pPr>
        <w:pStyle w:val="Fliesstext"/>
        <w:ind w:firstLine="283"/>
      </w:pPr>
      <w:r>
        <w:rPr>
          <w:b/>
        </w:rPr>
        <w:t>Halluzinationen.</w:t>
      </w:r>
      <w:r>
        <w:t xml:space="preserve"> Große Sprachmodelle erfinden Fakten, Zitate und Quellen im Ton vollkommener Sicherheit. Das ist kein Bug, den jemand zu beheben vergessen hat, sondern eine Eigenschaft von Systemen, die Wahrscheinlichkeiten für den nächsten Textbaustein berechnen und keinen Begriff von Wahrheit haben. Ob sich das durch bloßes Vergrößern der Modelle auswächst, ist umstritten; Gary Marcus vertritt seit Jahren die These, dass Skalierung allein das Problem nicht löst — eine Position, keine gesicherte Erkenntnis, und wir sehen sie uns im nächsten Kapitel genauer an.[22] Die Gegenmaßnahme ist unspektakulär und wirksam: KI für Aufgaben einsetzen, bei denen das Prüfen billiger ist als das Erstellen. Ein Entwurf, den ich in zwei Minuten überfliege, ist ein Gewinn. Eine Rechtsauskunft, die ich nicht überprüfen kann, ist eine Zeitbombe.</w:t>
      </w:r>
    </w:p>
    <w:p>
      <w:pPr>
        <w:pStyle w:val="Fliesstext"/>
        <w:ind w:firstLine="283"/>
      </w:pPr>
      <w:r>
        <w:rPr>
          <w:b/>
        </w:rPr>
        <w:t>Modellsicherheit.</w:t>
      </w:r>
      <w:r>
        <w:t xml:space="preserve"> Die Schutzmechanismen in den Modellen sind vorhanden und lassen sich von versierten Angreifern oft umgehen; so steht es im Safety Report.[10] Wer ein System baut, das mit echten Daten arbeitet oder echte Aktionen auslöst, sollte die Sicherheitsschicht des Anbieters nicht für seine einzige Verteidigungslinie halten.</w:t>
      </w:r>
    </w:p>
    <w:p>
      <w:pPr>
        <w:pStyle w:val="Fliesstext"/>
        <w:ind w:firstLine="283"/>
      </w:pPr>
      <w:r>
        <w:rPr>
          <w:b/>
        </w:rPr>
        <w:t>Konzentration.</w:t>
      </w:r>
      <w:r>
        <w:t xml:space="preserve"> Die Zahl der Unternehmen, die Modelle an der Spitze trainieren können, ist klein, und der Kapitalbedarf sorgt dafür, dass sie klein bleibt. Belastbare Marktanteilszahlen habe ich für dieses Kapitel nicht, deshalb bleibt es bei einer Beobachtung aus dem Berufsalltag: Wir bauen Abhängigkeiten zu einer Handvoll Anbietern auf, die Preise, Nutzungsbedingungen und Modellversionen einseitig ändern können. Das ist kein KI-Problem, sondern ein altes Plattform-Problem, und die Gegenmaßnahme heißt Austauschbarkeit — Schnittstellen abstrahieren, offene Modelle als Rückfalloption ernst nehmen, keine Prozesse bauen, die genau ein Anbieter am Leben hält. Warum ich das für die eigentlich große Gefahr halte, steht im zwölften Kapitel.</w:t>
      </w:r>
    </w:p>
    <w:p>
      <w:pPr>
        <w:pStyle w:val="Zwischen"/>
      </w:pPr>
      <w:r>
        <w:t>Wer haftet, wer prüft, wer schaltet ab</w:t>
      </w:r>
    </w:p>
    <w:p>
      <w:pPr>
        <w:pStyle w:val="Fliesstext"/>
      </w:pPr>
      <w:r>
        <w:t>Ich habe in Projekten mehr Zeit mit diesen drei Fragen verbracht als mit irgendeiner Technologie, und ich will dir zum Schluss zeigen, wie das konkret aussieht.</w:t>
      </w:r>
    </w:p>
    <w:p>
      <w:pPr>
        <w:pStyle w:val="Fliesstext"/>
        <w:ind w:firstLine="283"/>
      </w:pPr>
      <w:r>
        <w:t>In einem echten Automatisierungsvorhaben, gleich ob mit Regeln oder mit KI, ist die kritische Frage fast nie „Kann die Technik das?". Die Technik kann meistens mehr, als der Prozess verträgt. Die kritischen Fragen sind drei andere, und ich stelle sie inzwischen in der ersten Sitzung, weil sie sonst in der letzten gestellt werden, wenn es teuer ist.</w:t>
      </w:r>
    </w:p>
    <w:p>
      <w:pPr>
        <w:pStyle w:val="Fliesstext"/>
        <w:ind w:firstLine="283"/>
      </w:pPr>
      <w:r>
        <w:t>Nimm ein Vorhaben, wie ich es in Varianten mehrfach begleitet habe. Ohne Firma, ohne Namen; die Konstruktion kennst du vermutlich aus deinem eigenen Haus. In einer Fachabteilung landen jeden Tag mehrere hundert Vorgänge, jeder mit einem Anhang und einem Freitextfeld, in dem Menschen unterschiedlich gut erklären, was sie wollen. Bisher sortiert das ein Team von Hand, schaut in zwei Systeme, hakt ab, leitet weiter. Der Plan: Ein Sprachmodell liest den Vorgang, ordnet ihn einer Kategorie zu, zieht die passenden Daten und schlägt eine Entscheidung vor. Unterhalb eines bestimmten Betrags soll die Entscheidung ohne menschliches Zutun durchlaufen.</w:t>
      </w:r>
    </w:p>
    <w:p>
      <w:pPr>
        <w:pStyle w:val="Fliesstext"/>
        <w:ind w:firstLine="283"/>
      </w:pPr>
      <w:r>
        <w:t>Die Technik dafür war an einem Nachmittag skizziert und in wenigen Wochen gebaut. Die drei Fragen haben Monate gekostet, und das war gut investiert.</w:t>
      </w:r>
    </w:p>
    <w:p>
      <w:pPr>
        <w:pStyle w:val="Fliesstext"/>
        <w:ind w:firstLine="283"/>
      </w:pPr>
      <w:r>
        <w:rPr>
          <w:b/>
        </w:rPr>
        <w:t>Wer haftet, wenn die Entscheidung falsch ist?</w:t>
      </w:r>
      <w:r>
        <w:t xml:space="preserve"> Nicht „wer war schuld", sondern: auf welchem Namensschild landet der Schaden. In diesem Vorhaben war die erste Antwort aller Beteiligten dieselbe, nämlich ein Blick zur IT. Die IT baut das Ding, also haftet die IT. Das ist bequem und falsch. Die IT verantwortet, dass das System tut, was spezifiziert wurde. Ob eine automatisch getroffene Entscheidung fachlich vertretbar ist, verantwortet die Abteilung, der der Prozess gehört, und zwar mit einem Namen, nicht mit einem Gremium. Diesen Namen auf ein Blatt Papier zu bekommen, hat länger gedauert als die Anbindung an das Zielsystem. Der Tag, an dem der erste größere Fehler auftritt, ist nämlich nicht der Tag, an dem man Zuständigkeiten klären möchte.</w:t>
      </w:r>
    </w:p>
    <w:p>
      <w:pPr>
        <w:pStyle w:val="Fliesstext"/>
        <w:ind w:firstLine="283"/>
      </w:pPr>
      <w:r>
        <w:rPr>
          <w:b/>
        </w:rPr>
        <w:t>Wer prüft, und woran?</w:t>
      </w:r>
      <w:r>
        <w:t xml:space="preserve"> Ein Mensch, der nur formal drüberschaut, weil das Formular ein Häkchen verlangt, ist keine Kontrolle, sondern eine Haftungsverschiebung nach unten. Der erste Entwurf sah genau das vor: Vier-Augen-Prinzip, ein Häkchen pro Vorgang, bei mehreren hundert Vorgängen am Tag. Das hätte nach zwei Wochen niemand mehr ernsthaft gemacht, und alle im Raum wussten es. Was am Ende dastand, war unspektakulärer und wirksamer. Erstens eine Stichprobe mit fester Quote, eingeplant in die Arbeitszeit, nicht nebenher. Zweitens wird diese Stichprobe nicht zufällig gezogen, sondern gezielt aus den Fällen, bei denen das Modell selbst unsicher war oder die knapp unter der Betragsgrenze lagen. Drittens eine Fehlerquote, ab der der Automatikbetrieb angehalten wird, vorher festgelegt, nicht im Nachhinein verhandelt. Und viertens, das Wichtigste: Wer prüfen soll, braucht Zeit, Fachwissen und einen Grund, ein Nein hinzuschreiben. Ein Prüfer, dessen Zielvereinbarung an der Durchlaufquote hängt, ist keiner.</w:t>
      </w:r>
    </w:p>
    <w:p>
      <w:pPr>
        <w:pStyle w:val="Fliesstext"/>
        <w:ind w:firstLine="283"/>
      </w:pPr>
      <w:r>
        <w:rPr>
          <w:b/>
        </w:rPr>
        <w:t>Wer kann es abschalten, wie schnell, und was passiert dann?</w:t>
      </w:r>
      <w:r>
        <w:t xml:space="preserve"> Ein System ohne Notaus ist kein System, sondern ein Versprechen. Der Schalter muss jemandem in der Fachabteilung gehören und ohne Änderungsantrag, ohne Ticket und ohne Rücksprache mit einem Dienstleister bedienbar sein. Das ist der leichte Teil. Der schwere Teil ist die zweite Hälfte der Frage: Was passiert danach? Der manuelle Prozess, den die Automatisierung ersetzt hat, verfällt. Nach einem halben Jahr sind die Kolleginnen und Kollegen, die ihn im Kopf hatten, in anderen Aufgaben, die Arbeitsanweisung ist veraltet, und die Zugriffsrechte auf das alte System sind stillschweigend abgeräumt worden. Wer dann den Notaus drückt, steht nicht vor dem alten Zustand, sondern vor gar keinem. Deshalb gehört zu jedem Notaus ein Rückfallverfahren, das man in Abständen tatsächlich übt. Einmal im Jahr eine Woche von Hand. Das kostet Geld, wird bei jeder Budgetrunde in Frage gestellt, und ich habe es noch nie bereut.</w:t>
      </w:r>
    </w:p>
    <w:p>
      <w:pPr>
        <w:pStyle w:val="Fliesstext"/>
        <w:ind w:firstLine="283"/>
      </w:pPr>
      <w:r>
        <w:t>Diese drei Fragen sind der Grund, warum ich beim Thema KI-Risiken einigermaßen ruhig bin, ohne entspannt zu sein. Sie sind alt. Wir stellen sie bei Maschinen, seit es Maschinen gibt, und haben dafür Berufsgenossenschaften, Prüfsiegel, Betriebsräte, Aufsichtsbehörden und Produkthaftung erfunden. Das Gerüst, das im ersten Kapitel nach Gutenberg über Jahrhunderte entstand, hat genau diese Bauform. Und wenn du dir die Hochrisiko-Anforderungen des AI Act ansiehst, Dokumentation, menschliche Aufsicht, Nachvollziehbarkeit, dann stehen dort in juristischer Sprache dieselben drei Fragen. Nichts davon ist eine Eigenschaft der Technik. Alles davon ist die Antwort der Gesellschaft auf sie, und die kommt nicht von allein, sondern weil Leute sie hinschreiben.</w:t>
      </w:r>
    </w:p>
    <w:p>
      <w:pPr>
        <w:pStyle w:val="Fliesstext"/>
        <w:ind w:firstLine="283"/>
      </w:pPr>
      <w:r>
        <w:t>Genau deshalb halte ich „Ist KI gefährlich?" für die unfruchtbarste Frage der ganzen Debatte. Sie hat zwei mögliche Antworten, und beide sind nutzlos. Die nützliche Frage lautet: welcher Einsatz, welcher Schaden, bei wem, und welche Einhegung. Bei Bias und beim Datenschutz hat diese Prüfung die Sorge geschärft. Bei Deepfakes und beim Wasserverbrauch hat sie die lauteste Version zerlegt und eine leisere, präzisere übrig gelassen.</w:t>
      </w:r>
    </w:p>
    <w:p>
      <w:pPr>
        <w:pStyle w:val="Fliesstext"/>
        <w:ind w:firstLine="283"/>
      </w:pPr>
      <w:r>
        <w:t>Damit ist die Gegenwart abgeräumt, so gut es der Stand der Belege hergibt. Wir wissen einigermaßen, was diese Systeme heute können, was sie kosten, wen sie benachteiligen und welche Regeln entstehen. Bleibt die Zukunft.</w:t>
      </w:r>
    </w:p>
    <w:p>
      <w:pPr>
        <w:pStyle w:val="Fliesstext"/>
        <w:ind w:firstLine="283"/>
      </w:pPr>
      <w:r>
        <w:t>Und dort, im dritten Teil dieses Buches, wird am meisten gelogen. Meistens nicht aus Bosheit, sondern weil Prognosen billig sind, weil Untergangsszenarien und Erlösungsversprechen dieselbe Aufmerksamkeitsökonomie bedienen und weil niemand für eine falsche Vorhersage haftet. Im nächsten Kapitel schauen wir uns die Propheten an — die Optimisten, die Warner, die Skeptiker — und ich zeige dir das Werkzeug, mit dem man ihre Sätze auseinandernimmt: sauber trennen, was belegt ist, was Prognose ist und was schlicht Meinung. Es ist dasselbe Werkzeug, mit dem wir gerade dem halben Liter Wasser den Boden ausgeschlagen haben. Es funktioniert auch gegen Weltuntergänge.</w:t>
      </w:r>
    </w:p>
    <w:p>
      <w:r>
        <w:br w:type="page"/>
      </w:r>
    </w:p>
    <w:p>
      <w:pPr>
        <w:pStyle w:val="Fliesstext"/>
      </w:pPr>
    </w:p>
    <w:p>
      <w:pPr>
        <w:pStyle w:val="Fliesstext"/>
      </w:pPr>
    </w:p>
    <w:p>
      <w:pPr>
        <w:pStyle w:val="Fliesstext"/>
      </w:pPr>
    </w:p>
    <w:p>
      <w:pPr>
        <w:pStyle w:val="Fliesstext"/>
      </w:pPr>
    </w:p>
    <w:p>
      <w:pPr>
        <w:pStyle w:val="Fliesstext"/>
      </w:pPr>
    </w:p>
    <w:p>
      <w:pPr>
        <w:pStyle w:val="Fliesstext"/>
      </w:pPr>
    </w:p>
    <w:p>
      <w:pPr>
        <w:pStyle w:val="TeilLabel"/>
      </w:pPr>
      <w:r>
        <w:t>TEIL III</w:t>
      </w:r>
    </w:p>
    <w:p>
      <w:pPr>
        <w:pStyle w:val="TeilTitel"/>
      </w:pPr>
      <w:r>
        <w:t>Vom Fürchten zum Vertrauen: Wie wir mit KI leben</w:t>
      </w:r>
    </w:p>
    <w:p>
      <w:r>
        <w:br w:type="page"/>
      </w:r>
    </w:p>
    <w:p>
      <w:pPr>
        <w:pStyle w:val="KapitelNummer"/>
      </w:pPr>
      <w:r>
        <w:rPr>
          <w:i/>
        </w:rPr>
        <w:t>Kapitel 9</w:t>
      </w:r>
    </w:p>
    <w:p>
      <w:pPr>
        <w:pStyle w:val="KapitelTitel"/>
      </w:pPr>
      <w:r>
        <w:t>Die Stimmen der Propheten</w:t>
      </w:r>
    </w:p>
    <w:p>
      <w:pPr>
        <w:pStyle w:val="Fliesstext"/>
      </w:pPr>
      <w:r>
        <w:t>Es gibt eine Sorte Woche, in der du morgens liest, dass die künstliche Intelligenz gerade dabei ist, die Medizin neu zu erfinden, und abends, dass dieselbe Technik mit einer zweistelligen Wahrscheinlichkeit die Menschheit auslöscht. Beide Texte sind ernst gemeint. Beide berufen sich auf Fachleute. Und in beiden steht der Name derselben Person, wenn du genau hinschaust.</w:t>
      </w:r>
    </w:p>
    <w:p>
      <w:pPr>
        <w:pStyle w:val="Fliesstext"/>
        <w:ind w:firstLine="283"/>
      </w:pPr>
      <w:r>
        <w:t>Das ist kein Betriebsunfall des Journalismus. Das ist der Zustand der Debatte.</w:t>
      </w:r>
    </w:p>
    <w:p>
      <w:pPr>
        <w:pStyle w:val="Fliesstext"/>
        <w:ind w:firstLine="283"/>
      </w:pPr>
      <w:r>
        <w:t>Ich habe in den vergangenen Jahren in ziemlich vielen Meetings gesessen, in denen jemand eine dieser Aussagen auf eine Folie geklebt hatte, um eine Entscheidung zu begründen. Mal war es die Prognose, die den Kauf einer Plattform rechtfertigen sollte. Mal war es die Warnung, die den Verzicht rechtfertigen sollte. In beiden Fällen wurde eine Zukunftsaussage behandelt wie ein Messwert. Und in beiden Fällen war sie keiner.</w:t>
      </w:r>
    </w:p>
    <w:p>
      <w:pPr>
        <w:pStyle w:val="Fliesstext"/>
        <w:ind w:firstLine="283"/>
      </w:pPr>
      <w:r>
        <w:t>Dieses Kapitel gibt dir kein Urteil darüber, wer recht behält. Ich weiß es nicht, und wer dir sagt, er wisse es, verkauft dir etwas. Es gibt dir etwas Besseres: eine Methode, mit der du eine Zukunftsaussage aufmachen und nachsehen kannst, was drinsteckt. Am Ende sollst du bei jeder Schlagzeile über die KI in dreißig Sekunden einordnen können, ob du gerade einen Befund liest, eine Rechnung oder eine Haltung.</w:t>
      </w:r>
    </w:p>
    <w:p>
      <w:pPr>
        <w:pStyle w:val="Fliesstext"/>
        <w:ind w:firstLine="283"/>
      </w:pPr>
      <w:r>
        <w:t>Fangen wir mit dem stärksten Fall an, den die Optimisten haben. Und der ist stärker, als du vielleicht denkst.</w:t>
      </w:r>
    </w:p>
    <w:p>
      <w:pPr>
        <w:pStyle w:val="Zwischen"/>
      </w:pPr>
      <w:r>
        <w:t>Der Fall, der kein Versprechen ist</w:t>
      </w:r>
    </w:p>
    <w:p>
      <w:pPr>
        <w:pStyle w:val="Fliesstext"/>
      </w:pPr>
      <w:r>
        <w:t>Im Oktober 2024 ging der Nobelpreis für Chemie zur Hälfte an Demis Hassabis und John Jumper von Google DeepMind, für AlphaFold. Die andere Hälfte ging an David Baker für die Entwicklung von Proteindesign.[1]</w:t>
      </w:r>
    </w:p>
    <w:p>
      <w:pPr>
        <w:pStyle w:val="Fliesstext"/>
        <w:ind w:firstLine="283"/>
      </w:pPr>
      <w:r>
        <w:t>Das ist keine Prognose. Das ist eine abgeschlossene Sache mit einer Urkunde.</w:t>
      </w:r>
    </w:p>
    <w:p>
      <w:pPr>
        <w:pStyle w:val="Fliesstext"/>
        <w:ind w:firstLine="283"/>
      </w:pPr>
      <w:r>
        <w:t>Weil es der einzige Fall in diesem Kapitel ist, der ohne Konjunktiv auskommt, nehme ich ihn ausführlich auseinander. Wer einmal einen echten Durchbruch von innen gesehen hat, hält nicht mehr jede Pressemitteilung für einen.</w:t>
      </w:r>
    </w:p>
    <w:p>
      <w:pPr>
        <w:pStyle w:val="Zwischen"/>
      </w:pPr>
      <w:r>
        <w:t>Warum die Faltung ein Problem war</w:t>
      </w:r>
    </w:p>
    <w:p>
      <w:pPr>
        <w:pStyle w:val="Fliesstext"/>
      </w:pPr>
      <w:r>
        <w:t>Proteine sind die Werkzeuge des Lebens: Enzyme, die Stoffe zerlegen, Antikörper, die Eindringlinge erkennen, Rezeptoren, an die Medikamente andocken. Gebaut sind sie alle nach demselben simplen Prinzip — eine Kette aus Aminosäuren, zwanzig verschiedene Sorten, aufgereiht wie Perlen an einer Schnur. Diese Kette bleibt keine Schnur. Sie faltet sich in Sekundenbruchteilen zu einem dreidimensionalen Knäuel mit Taschen und Furchen, und erst diese Form entscheidet, was das Protein kann. Falsche Form, keine Funktion. Manchmal falsche Form, Krankheit.</w:t>
      </w:r>
    </w:p>
    <w:p>
      <w:pPr>
        <w:pStyle w:val="Fliesstext"/>
        <w:ind w:firstLine="283"/>
      </w:pPr>
      <w:r>
        <w:t>1972 bekam Christian Anfinsen den Nobelpreis für Chemie, unter anderem für eine Erkenntnis, die das Problem zugleich löste und schuf: Die Information darüber, wie sich eine Kette faltet, steckt in der Kette selbst. Man muss nichts hinzufügen. Ein entfaltetes Protein findet unter den richtigen Bedingungen von allein in seine Form zurück.[23]</w:t>
      </w:r>
    </w:p>
    <w:p>
      <w:pPr>
        <w:pStyle w:val="Fliesstext"/>
        <w:ind w:firstLine="283"/>
      </w:pPr>
      <w:r>
        <w:t xml:space="preserve">Damit war klar: Aus der Sequenz </w:t>
      </w:r>
      <w:r>
        <w:rPr>
          <w:i/>
        </w:rPr>
        <w:t>muss</w:t>
      </w:r>
      <w:r>
        <w:t xml:space="preserve"> sich die Struktur berechnen lassen. Nur konnte es niemand.</w:t>
      </w:r>
    </w:p>
    <w:p>
      <w:pPr>
        <w:pStyle w:val="Fliesstext"/>
        <w:ind w:firstLine="283"/>
      </w:pPr>
      <w:r>
        <w:t>Warum, das hat Cyrus Levinthal 1969 in ein Gedankenexperiment gepackt, das seither seinen Namen trägt. Zähle durch, wie viele räumliche Anordnungen eine mittelgroße Kette theoretisch einnehmen kann; du landest bei einer Zahl mit einer absurden Menge Nullen. Würde ein Protein sie der Reihe nach durchprobieren, bräuchte es länger als das Universum alt ist. Es faltet sich aber in Millisekunden. Die Natur probiert nicht durch, sie nimmt eine Abkürzung — und die zu berechnen, war fünfzig Jahre lang das eigentliche Problem.[23]</w:t>
      </w:r>
    </w:p>
    <w:p>
      <w:pPr>
        <w:pStyle w:val="Fliesstext"/>
        <w:ind w:firstLine="283"/>
      </w:pPr>
      <w:r>
        <w:t>Was blieb, war der harte Weg: messen statt rechnen. Röntgenkristallographie, Kernspinresonanz, später Kryo-Elektronenmikroskopie. Für die Kristallographie musst du dein Protein erst dazu bringen, einen Kristall zu bilden, und viele denken gar nicht daran. Eine einzige Struktur aufzuklären, konnte Jahre kosten und war in manchen Laboren die gesamte Doktorarbeit eines Menschen. Gesammelt wurde das Ergebnis seit 1971 in der Protein Data Bank; als AlphaFold2 antrat, standen dort experimentell bestimmte Strukturen in der Größenordnung von hundertsiebzigtausend.[25]</w:t>
      </w:r>
    </w:p>
    <w:p>
      <w:pPr>
        <w:pStyle w:val="Fliesstext"/>
        <w:ind w:firstLine="283"/>
      </w:pPr>
      <w:r>
        <w:t>Dem gegenüber standen mehrere hundert Millionen bekannter Aminosäuresequenzen. Sequenzieren war billig geworden, Strukturaufklärung nicht. Die Lücke zwischen „wir wissen, wie die Kette aussieht" und „wir wissen, was sie tut" wurde jedes Jahr größer.</w:t>
      </w:r>
    </w:p>
    <w:p>
      <w:pPr>
        <w:pStyle w:val="Zwischen"/>
      </w:pPr>
      <w:r>
        <w:t>Der Test, den man nicht bestechen kann</w:t>
      </w:r>
    </w:p>
    <w:p>
      <w:pPr>
        <w:pStyle w:val="Fliesstext"/>
      </w:pPr>
      <w:r>
        <w:t xml:space="preserve">Es gibt für dieses Feld eine Einrichtung, die ich für vorbildlich halte und die man in der KI-Debatte viel öfter erwähnen sollte: CASP, die </w:t>
      </w:r>
      <w:r>
        <w:rPr>
          <w:i/>
        </w:rPr>
        <w:t>Critical Assessment of Structure Prediction</w:t>
      </w:r>
      <w:r>
        <w:t>, ins Leben gerufen 1994 von John Moult und Kollegen, seither alle zwei Jahre.[24]</w:t>
      </w:r>
    </w:p>
    <w:p>
      <w:pPr>
        <w:pStyle w:val="Fliesstext"/>
        <w:ind w:firstLine="283"/>
      </w:pPr>
      <w:r>
        <w:t>Der Ablauf ist so schlicht wie unbestechlich. Labore weltweit haben Strukturen experimentell aufgeklärt, aber noch nicht veröffentlicht. Die Sequenzen gehen an alle teilnehmenden Teams, die rechnen und geben ihre Vorhersagen ab. Danach werden die echten Strukturen offengelegt und Vorhersage gegen Wirklichkeit gehalten, gemessen in einem Wert, der beschreibt, wie gut die vorhergesagten Atome auf den gemessenen liegen. Niemand kann sich das Ergebnis schönrechnen, weil die Antwort erst nach der Abgabe existiert.</w:t>
      </w:r>
    </w:p>
    <w:p>
      <w:pPr>
        <w:pStyle w:val="Fliesstext"/>
        <w:ind w:firstLine="283"/>
      </w:pPr>
      <w:r>
        <w:t>Vergleiche das mit dem, was uns in der KI-Berichterstattung sonst als Beleg vorgesetzt wird: hauseigene Benchmarks, ausgewählte Beispiele, eine Demo auf einer Bühne. CASP ist eine Blindprüfung mit fremdem Prüfer.</w:t>
      </w:r>
    </w:p>
    <w:p>
      <w:pPr>
        <w:pStyle w:val="Fliesstext"/>
        <w:ind w:firstLine="283"/>
      </w:pPr>
      <w:r>
        <w:t>2018 trat DeepMind das erste Mal an und gewann — deutlich, aber nicht in der Nähe experimenteller Genauigkeit. Zwei Jahre später, bei CASP14 im Jahr 2020, kam AlphaFold2. Der Median über die Zielproteine lag bei rund zweiundneunzig von hundert Punkten, und die Fachwelt hatte sich vorher darauf verständigt, dass Werte um neunzig ungefähr das sind, was man auch beim Nachmessen im Labor an Streuung erwarten würde. Die Organisatoren sagten sinngemäß, das Problem sei in einem wesentlichen Sinn gelöst.[24]</w:t>
      </w:r>
    </w:p>
    <w:p>
      <w:pPr>
        <w:pStyle w:val="Fliesstext"/>
        <w:ind w:firstLine="283"/>
      </w:pPr>
      <w:r>
        <w:t>Fünfzig Jahre offene Frage, ein Wettbewerb, erledigt. So etwas passiert selten, und es ist nicht dasselbe wie ein Modell, das im Chat überzeugend klingt.</w:t>
      </w:r>
    </w:p>
    <w:p>
      <w:pPr>
        <w:pStyle w:val="Zwischen"/>
      </w:pPr>
      <w:r>
        <w:t>Was danach kam, ist der eigentliche Punkt</w:t>
      </w:r>
    </w:p>
    <w:p>
      <w:pPr>
        <w:pStyle w:val="Fliesstext"/>
      </w:pPr>
      <w:r>
        <w:t>DeepMind hätte das Verfahren einbehalten können. Stattdessen erschien 2021 die Methode samt Code, dazu eine Datenbank: erst das menschliche Proteom und einige Modellorganismen, ein Jahr später der Ausbau auf rund zweihundert Millionen Vorhersagen — praktisch alles, was in den Datenbanken bekannter Sequenzen stand.[25] Sie wird nach Angaben von DeepMind von über zwei Millionen Forschenden in einhundertneunzig Ländern genutzt.[1]</w:t>
      </w:r>
    </w:p>
    <w:p>
      <w:pPr>
        <w:pStyle w:val="Fliesstext"/>
        <w:ind w:firstLine="283"/>
      </w:pPr>
      <w:r>
        <w:t>Halte kurz inne bei dieser Zahl. Zwei Millionen Menschen, die keine KI-Firma bezahlt und die nichts zu verkaufen haben, benutzen das Ding, weil es ihre Arbeit besser macht. Das ist die härteste Währung, die es gibt. Kein Benchmark, kein Demo-Video, keine Keynote, sondern Leute, die ein Werkzeug freiwillig in ihren Alltag lassen. In den Beispielen, die DeepMind selbst anführt, geht es um Enzyme zum Abbau von Kunststoffen, um Arbeiten an vernachlässigten Tropenkrankheiten, um Malariaforschung.[1]</w:t>
      </w:r>
    </w:p>
    <w:p>
      <w:pPr>
        <w:pStyle w:val="Fliesstext"/>
        <w:ind w:firstLine="283"/>
      </w:pPr>
      <w:r>
        <w:t>Und jetzt der Teil, der in den Jubelmeldungen fehlt, obwohl er die Sache erst seriös macht.</w:t>
      </w:r>
    </w:p>
    <w:p>
      <w:pPr>
        <w:pStyle w:val="Fliesstext"/>
        <w:ind w:firstLine="283"/>
      </w:pPr>
      <w:r>
        <w:t>AlphaFold sagt eine Struktur voraus, es erklärt sie nicht. Es liefert kein physikalisches Verständnis des Faltungsvorgangs; wie die Kette den Weg in ihre Form findet, weiß man dadurch nicht besser als vorher. Es gibt zu jedem Abschnitt einen Konfidenzwert mit aus, und bei Proteinabschnitten, die im Zellinneren gar keine feste Form annehmen, ist dieser Wert niedrig — was für sich genommen nützlich ist, aber eben keine Antwort. Wie sich eine einzelne Mutation auf Stabilität und Funktion auswirkt, bildet das Verfahren nicht verlässlich ab. Das Zusammenspiel mehrerer Moleküle war für AlphaFold2 außer Reichweite und wurde erst mit den Nachfolgemodellen angegangen.[26]</w:t>
      </w:r>
    </w:p>
    <w:p>
      <w:pPr>
        <w:pStyle w:val="Fliesstext"/>
        <w:ind w:firstLine="283"/>
      </w:pPr>
      <w:r>
        <w:t>Der schönste Einwand ist aber ein anderer, und er gehört in dieses Buch, weil er das Verhältnis von Mensch und Maschine genau trifft: AlphaFold ist auf den fünfzig Jahren experimenteller Arbeit trainiert, die es jetzt überholt. Ohne die Doktorandinnen, die Kristalle gezüchtet haben, gäbe es das Modell nicht. Das Werkzeug steht auf den Schultern derer, deren Handarbeit es überflüssig gemacht hat. Merke dir die Figur; sie kommt in diesem Buch noch einmal vor, und dann geht es um deinen Beruf.</w:t>
      </w:r>
    </w:p>
    <w:p>
      <w:pPr>
        <w:pStyle w:val="Zwischen"/>
      </w:pPr>
      <w:r>
        <w:t>Der Sprung, den fast alle überlesen</w:t>
      </w:r>
    </w:p>
    <w:p>
      <w:pPr>
        <w:pStyle w:val="Fliesstext"/>
      </w:pPr>
      <w:r>
        <w:t>Hassabis sagt nämlich noch etwas anderes. Er hält es für möglich, in den nächsten zehn bis zwanzig Jahren einen skalierbaren Prozess zu erreichen, mit dem sich praktisch alle Krankheiten angehen lassen. Sein Spin-off Isomorphic Labs, 2021 aus DeepMind ausgegründet und inzwischen mit Milliardenbeträgen finanziert, verfolgt das Ziel, die Entdeckungsphase eines Wirkstoffs auf ein bis zwei Jahre zu verkürzen.[2] In der Berichterstattung wird daraus regelmäßig „DeepMind-Chef will alle Krankheiten heilen".</w:t>
      </w:r>
    </w:p>
    <w:p>
      <w:pPr>
        <w:pStyle w:val="Fliesstext"/>
        <w:ind w:firstLine="283"/>
      </w:pPr>
      <w:r>
        <w:t>Was er meint, ist nüchterner und interessanter: ein systematischer, wiederholbarer Verfahrensweg der Wirkstoffentdeckung, nicht der Endsieg über jede Krankheit.[2] Das ist ein wichtiger Unterschied, und Hassabis selbst macht ihn. Trotzdem bleibt es eine Prognose.</w:t>
      </w:r>
    </w:p>
    <w:p>
      <w:pPr>
        <w:pStyle w:val="Fliesstext"/>
        <w:ind w:firstLine="283"/>
      </w:pPr>
      <w:r>
        <w:t>Und sie überspringt eine Menge. Zwischen „wir kennen die Form des Zielmoleküls" und „das Medikament ist zugelassen" liegen die Phasen, an denen Wirkstoffe seit jeher scheitern: Wirkt es im lebenden Organismus, kommt es dort an, wo es hin soll, was macht es sonst noch, verträgt der Mensch es über Jahre? Keine dieser Fragen beantwortet eine Strukturvorhersage. Sie macht den ersten Schritt schneller, und der erste Schritt war nie der teuerste.</w:t>
      </w:r>
    </w:p>
    <w:p>
      <w:pPr>
        <w:pStyle w:val="Fliesstext"/>
        <w:ind w:firstLine="283"/>
      </w:pPr>
      <w:r>
        <w:t>Belegt ist die Faltung. Prognostiziert ist die Heilung.</w:t>
      </w:r>
    </w:p>
    <w:p>
      <w:pPr>
        <w:pStyle w:val="Fliesstext"/>
        <w:ind w:firstLine="283"/>
      </w:pPr>
      <w:r>
        <w:t>Diesen Schnitt musst du dir merken, denn er ist der Kern des ganzen Kapitels: Zwischen einer gelieferten Leistung und der Hochrechnung, was diese Leistung als Nächstes bedeutet, liegt keine Fortsetzung, sondern ein Sprung. Der Nobelpreis beweist AlphaFold. Er beweist nicht die nächsten zwanzig Jahre.</w:t>
      </w:r>
    </w:p>
    <w:p>
      <w:pPr>
        <w:pStyle w:val="Zwischen"/>
      </w:pPr>
      <w:r>
        <w:t>Die lauten Optimisten</w:t>
      </w:r>
    </w:p>
    <w:p>
      <w:pPr>
        <w:pStyle w:val="Fliesstext"/>
      </w:pPr>
      <w:r>
        <w:t>Neben Hassabis stehen die lauteren Optimisten, und die Ehrlichkeit gebietet zu sagen, dass sie ein deutlich dünneres Fundament haben. Das heißt nicht, dass sie irren. Es heißt, dass man ihre Sätze anders lesen muss.</w:t>
      </w:r>
    </w:p>
    <w:p>
      <w:pPr>
        <w:pStyle w:val="Fliesstext"/>
        <w:ind w:firstLine="283"/>
      </w:pPr>
      <w:r>
        <w:t>Reid Hoffman, Mitgründer von LinkedIn und Investor, hat 2025 mit Greg Beato ein Buch über „Superagency" geschrieben. Der Gedanke dahinter ist nicht albern: Technik verleiht vielen Menschen gleichzeitig neue Fähigkeiten und weitet dadurch ihre Handlungsmacht aus — nicht die eines Einzelnen, sondern die vieler, was wiederum auf jeden Einzelnen zurückwirkt. Hoffman nennt seine Haltung ausdrücklich „smart risk taking" statt blinden Optimismus und plädiert für eine neugierige statt einer angstgetriebenen Grundeinstellung.[3] Die Kritik hielt dem Buch entgegen, es argumentiere dünn und analysiere zu wenig.[3]</w:t>
      </w:r>
    </w:p>
    <w:p>
      <w:pPr>
        <w:pStyle w:val="Fliesstext"/>
        <w:ind w:firstLine="283"/>
      </w:pPr>
      <w:r>
        <w:t>Meine eigene Einordnung, als solche gekennzeichnet: Die These ist im Prinzip prüfbar — Ausweitung von Handlungsmacht müsste sich zeigen lassen, in Gründungszahlen, in Zugangsdaten, in dem, was Leute ohne Startvorteil plötzlich selbst können. Nur wird sie meistens nicht so vorgetragen, sondern als Stimmungsangebot. Eine prüfbare These, die man nicht prüft, ist verschenkt.</w:t>
      </w:r>
    </w:p>
    <w:p>
      <w:pPr>
        <w:pStyle w:val="Fliesstext"/>
        <w:ind w:firstLine="283"/>
      </w:pPr>
      <w:r>
        <w:t>Andrew Ng vergleicht KI seit Jahren mit der Elektrizität, einer Basistechnologie, die überall einsickert, und hält die Auslöschungsfurcht für stark übertrieben; die echten Existenzrisiken seien Pandemien, Klimawandel, Asteroiden, und KI sei bei deren Bewältigung eher Teil der Lösung.[4] Das Bild ist griffig, und man sollte trotzdem sehen, was es ist: eine Analogie. Analogien beweisen nichts, sie ordnen eine Erwartung. Wenn KI wie Strom ist, kommt ihre Wirkung breit, langsam und über Jahrzehnte — was ausgerechnet gegen die schnellen Umbruchsszenarien spricht, die manche Optimisten im selben Atemzug verkaufen. Zu Ngs Interessenlage gehört, dass er selbst vom Lehren und Anwenden dieser Technik lebt, unter anderem als Mitgründer von Coursera und DeepLearning.AI.[27] Das entwertet sein Argument nicht. Es gehört daneben.</w:t>
      </w:r>
    </w:p>
    <w:p>
      <w:pPr>
        <w:pStyle w:val="Fliesstext"/>
        <w:ind w:firstLine="283"/>
      </w:pPr>
      <w:r>
        <w:t>Marc Andreessen schrieb 2023 einen langen Essay mit dem Titel „Why AI Will Save the World", in dem er die Existenzangst als moralische Panik einordnet, wie sie historisch auch Strom, Radio und Internet begleitet habe, und für offene Märkte statt Regulierung plädiert.[5] Eine seiner Behauptungen ist konkret genug, um sie zu prüfen: dass jedes Kind einen KI-Mentor haben könne.</w:t>
      </w:r>
    </w:p>
    <w:p>
      <w:pPr>
        <w:pStyle w:val="Fliesstext"/>
        <w:ind w:firstLine="283"/>
      </w:pPr>
      <w:r>
        <w:t>Genau die haben wir in Kapitel 7 geprüft. In Edo State in Nigeria arbeiteten rund achthundert Schülerinnen und Schüler sechs Wochen lang mit GPT-4 als Tutor, begleitet von einer Lehrkraft; die Weltbank wertete den Versuch randomisiert aus und verglich den Zuwachs mit etwa zwei Jahren regulärer Schulbildung, bei rund achtundvierzig Dollar pro Kind.[30] Andreessens Satz ist also nicht aus der Luft gegriffen. Er trifft nur unter einer Bedingung zu, die im Essay nicht steht: mit Lehrkraft, als Übung, nicht als Abkürzung. Zwischen „möglich" und „möglich unter diesen Bedingungen" liegt der Unterschied zwischen Bildungspolitik und Prospekt.</w:t>
      </w:r>
    </w:p>
    <w:p>
      <w:pPr>
        <w:pStyle w:val="Fliesstext"/>
        <w:ind w:firstLine="283"/>
      </w:pPr>
      <w:r>
        <w:t>Bei Andreessen kommt hinzu, dass er als Wagniskapitalgeber ein handfestes Interesse daran hat, dass diese Technik ohne enge Regeln wächst. Das macht seine Argumente nicht automatisch falsch — Interessen und Wahrheit sind zwei verschiedene Dinge. Aber es gehört ins Bild, so wie es ins Bild gehörte, dass Edison im Stromkrieg nicht aus Sorge um die Bevölkerung vor Wechselstrom warnte.</w:t>
      </w:r>
    </w:p>
    <w:p>
      <w:pPr>
        <w:pStyle w:val="Zwischen"/>
      </w:pPr>
      <w:r>
        <w:t>Die Leute, die es gebaut haben</w:t>
      </w:r>
    </w:p>
    <w:p>
      <w:pPr>
        <w:pStyle w:val="Fliesstext"/>
      </w:pPr>
      <w:r>
        <w:t>Im Mai 2023 verließ Geoffrey Hinton Google. Er war damals fünfundsiebzig, hatte über ein Jahrzehnt für das Unternehmen gearbeitet und gilt vielen als einer der Väter des Deep Learning. Seine Begründung war knapp: Er sei gegangen, um über die Gefahren der KI sprechen zu können, ohne berücksichtigen zu müssen, wie sich das auf Google auswirkt.[6]</w:t>
      </w:r>
    </w:p>
    <w:p>
      <w:pPr>
        <w:pStyle w:val="Fliesstext"/>
        <w:ind w:firstLine="283"/>
      </w:pPr>
      <w:r>
        <w:t>Anderthalb Jahre später bezifferte er in einem Interview die Wahrscheinlichkeit, dass KI die Menschheit binnen etwa dreißig Jahren auslöscht, auf zehn bis zwanzig Prozent.[6] Im selben Jahr, 2024, erhielt er zusammen mit John Hopfield den Nobelpreis für Physik, für die Grundlagenarbeit an künstlichen neuronalen Netzen.[7]</w:t>
      </w:r>
    </w:p>
    <w:p>
      <w:pPr>
        <w:pStyle w:val="Fliesstext"/>
        <w:ind w:firstLine="283"/>
      </w:pPr>
      <w:r>
        <w:t>Ich möchte, dass du diese zwei Absätze nebeneinander stehen lässt und der Versuchung widerstehst, sie schnell aufzulösen. Hier warnt kein Kulturpessimist, der die Technik von außen betrachtet. Hier warnt einer der Menschen, ohne dessen Arbeit es die heutigen Systeme nicht gäbe. Das ist ungefähr so, als würde ein Chefkonstrukteur nach vierzig Jahren vom Band treten und sagen, er sei sich nicht mehr sicher, ob die Bremsen halten.</w:t>
      </w:r>
    </w:p>
    <w:p>
      <w:pPr>
        <w:pStyle w:val="Fliesstext"/>
        <w:ind w:firstLine="283"/>
      </w:pPr>
      <w:r>
        <w:t>Trotzdem, und das ist der zweite Teil der Ehrlichkeit: Die Zahl „zehn bis zwanzig Prozent" ist keine Messung. Es gibt keinen Datensatz zu Zivilisationsuntergängen, aus dem man eine Häufigkeit ableiten könnte. Es ist eine subjektive Einschätzung eines außergewöhnlich kompetenten Menschen — kompetent für die Frage, wie diese Systeme funktionieren, nicht notwendigerweise kompetent für die Frage, wie sich Gesellschaften über dreißig Jahre gegen eine Technik wehren. Eine gut begründete Meinung bleibt eine Meinung. Sie in Prozent zu gießen, macht sie präziser aussehend, nicht präziser.</w:t>
      </w:r>
    </w:p>
    <w:p>
      <w:pPr>
        <w:pStyle w:val="Fliesstext"/>
        <w:ind w:firstLine="283"/>
      </w:pPr>
      <w:r>
        <w:t>Am 30. Mai 2023 veröffentlichte das Center for AI Safety ein Statement, das aus genau einem Satz besteht: Die Minderung des Auslöschungsrisikos durch KI solle globale Priorität haben, neben anderen Risiken gesellschaftlichen Ausmaßes wie Pandemien und Atomkrieg.[8] Unterschrieben haben unter anderem Hinton, der Turing-Preisträger Yoshua Bengio, Sam Altman von OpenAI, Dario Amodei von Anthropic, Bill Gates — und Demis Hassabis.[8]</w:t>
      </w:r>
    </w:p>
    <w:p>
      <w:pPr>
        <w:pStyle w:val="Fliesstext"/>
        <w:ind w:firstLine="283"/>
      </w:pPr>
      <w:r>
        <w:t>Der letzte Name ist der wichtigste an dieser Stelle. Der Mann mit dem Nobelpreis für den größten belegten KI-Erfolg steht auf derselben Liste wie die Warner. Wenn dein Weltbild ein sauberes Duell zwischen Begeisterten und Ängstlichen vorsieht, kannst du es hier verabschieden.</w:t>
      </w:r>
    </w:p>
    <w:p>
      <w:pPr>
        <w:pStyle w:val="Fliesstext"/>
        <w:ind w:firstLine="283"/>
      </w:pPr>
      <w:r>
        <w:t>Das Ein-Satz-Format hat dabei einen Zweck: Je länger ein Aufruf, desto mehr Gründe, nicht zu unterschreiben. Das erklärt die prominente Liste — und zugleich, warum aus dem Statement so wenig folgt. Es sagt, dass etwas Priorität haben soll, nicht was zu tun ist. Wer es als Beweis für einen Expertenkonsens über die Wahrscheinlichkeit zitiert, überdehnt es.</w:t>
      </w:r>
    </w:p>
    <w:p>
      <w:pPr>
        <w:pStyle w:val="Fliesstext"/>
        <w:ind w:firstLine="283"/>
      </w:pPr>
      <w:r>
        <w:t xml:space="preserve">Bengio hat noch etwas anderes getan, das mir persönlich mehr sagt als jede Prozentzahl. Er leitete den </w:t>
      </w:r>
      <w:r>
        <w:rPr>
          <w:i/>
        </w:rPr>
        <w:t>International AI Safety Report</w:t>
      </w:r>
      <w:r>
        <w:t>, veröffentlicht am 29. Januar 2025, an dem rund hundert Fachleute mitwirkten, mit einem Beirat aus dreißig Ländern sowie UN, EU und OECD. Der Bericht gibt ausdrücklich keine politischen Empfehlungen, sondern bündelt, was die Forschung tatsächlich weiß.[9] Genau das ist die seltene Gattung: eine Bestandsaufnahme, die den Unterschied zwischen Evidenz und Vermutung selbst markiert, statt ihn zu kassieren.</w:t>
      </w:r>
    </w:p>
    <w:p>
      <w:pPr>
        <w:pStyle w:val="Fliesstext"/>
        <w:ind w:firstLine="283"/>
      </w:pPr>
      <w:r>
        <w:t xml:space="preserve">Und schließlich der Philosoph unter den Warnern. Der Informatiker Stuart Russell argumentiert in </w:t>
      </w:r>
      <w:r>
        <w:rPr>
          <w:i/>
        </w:rPr>
        <w:t>Human Compatible</w:t>
      </w:r>
      <w:r>
        <w:t xml:space="preserve"> von 2019, das Standardmodell der KI sei falsch gebaut: Wir konstruieren Systeme, die vorgegebene Ziele immer besser erreichen, obwohl wir Ziele nie vollständig richtig formulieren können. Sein Gegenvorschlag sind Systeme, die über die menschlichen Präferenzen bewusst unsicher bleiben und sie laufend nachlernen.[10] Das ist keine Prognose, sondern ein Forschungsprogramm — und damit die Sorte Aussage, die man an ihren Ergebnissen prüfen kann.</w:t>
      </w:r>
    </w:p>
    <w:p>
      <w:pPr>
        <w:pStyle w:val="Fliesstext"/>
        <w:ind w:firstLine="283"/>
      </w:pPr>
      <w:r>
        <w:t>Russells Diagnose ist mir näher als alle Prozentzahlen, weil ich sie im Kleinen ständig erlebe. Wer ein System auf eine Kennzahl optimiert, bekommt genau diese Kennzahl, samt allem, was sie nicht misst. Eine Automatisierung, die auf Durchlaufzeit getrimmt ist, erledigt die einfachen Fälle blitzschnell und schiebt die schweren in ein Postfach, das niemand leert. Das ist kein Superintelligenz-Szenario. Das ist Dienstag.</w:t>
      </w:r>
    </w:p>
    <w:p>
      <w:pPr>
        <w:pStyle w:val="Fliesstext"/>
        <w:ind w:firstLine="283"/>
      </w:pPr>
      <w:r>
        <w:t>Diese Leute lächerlich zu machen, ist billig und dumm. Sie kennen die Technik von innen. Man darf ihre Schlüsse für falsch halten. Aber man muss sie widerlegen, nicht wegwitzeln.</w:t>
      </w:r>
    </w:p>
    <w:p>
      <w:pPr>
        <w:pStyle w:val="Zwischen"/>
      </w:pPr>
      <w:r>
        <w:t>„Ihr habt euch in der Straße geirrt"</w:t>
      </w:r>
    </w:p>
    <w:p>
      <w:pPr>
        <w:pStyle w:val="Fliesstext"/>
      </w:pPr>
      <w:r>
        <w:t>Die dritte Gruppe wird in Zeitungen am seltensten sauber dargestellt, weil sie in kein Lager passt. Sie sagt nicht „wird toll" und nicht „wird schlimm". Sie sagt: Ihr redet über das falsche Ding.</w:t>
      </w:r>
    </w:p>
    <w:p>
      <w:pPr>
        <w:pStyle w:val="Fliesstext"/>
        <w:ind w:firstLine="283"/>
      </w:pPr>
      <w:r>
        <w:t>Yann LeCun, Turing-Preisträger von 2018 und lange Chief AI Scientist bei Meta, vertritt seit Jahren die These, dass reines Hochskalieren von Sprachmodellen nicht zu menschenähnlicher Intelligenz führt. Den heutigen Systemen fehle persistentes Gedächtnis, echte Planung und eine Verankerung in der physischen Welt; der Weg nach vorn führe über „World Models", also über Systeme, die abstrakte Repräsentationen der Welt aus sensorischen Daten lernen. Diesen Ansatz verfolgt er inzwischen in einer eigenen Gründung.[11]</w:t>
      </w:r>
    </w:p>
    <w:p>
      <w:pPr>
        <w:pStyle w:val="Fliesstext"/>
        <w:ind w:firstLine="283"/>
      </w:pPr>
      <w:r>
        <w:t>LeCun ist der beste Beweis dafür, dass die Lager-Sortierung nicht funktioniert. Er hält die Weltuntergangswarnungen für überzogen und den AGI-Hype für überzogen. Gleichzeitig. Wer ihn nur als „Optimisten" zitiert, hat ihn nicht gelesen.</w:t>
      </w:r>
    </w:p>
    <w:p>
      <w:pPr>
        <w:pStyle w:val="Fliesstext"/>
        <w:ind w:firstLine="283"/>
      </w:pPr>
      <w:r>
        <w:t>Gary Marcus argumentiert von der anderen Seite in dieselbe Richtung. Sein Essay „Deep Learning Is Hitting a Wall" von 2022 und seine Fortschreibung im Substack bis heute laufen darauf hinaus, dass reines Skalieren die harten Probleme nicht löst — Halluzinationen, Abstraktion, verlässliches Schlussfolgern — und dass es abnehmende Erträge gibt.[12] Ein Teil dieser Position ist Wertung, ein Teil stützt sich auf beobachtete Plateaus. Und wenn ich ehrlich bin: In meinem Arbeitsalltag komme ich Marcus näher, als mir manchmal lieb ist. Ein Modell schreibt mir in zwei Minuten ein sauberes Skript, und dreißig Minuten später scheitert dasselbe Modell daran, die Eigenheiten einer schlecht dokumentierten internen Schnittstelle zu begreifen, die jeder Kollege nach einer Woche im Haus kennt.</w:t>
      </w:r>
    </w:p>
    <w:p>
      <w:pPr>
        <w:pStyle w:val="Fliesstext"/>
        <w:ind w:firstLine="283"/>
      </w:pPr>
      <w:r>
        <w:t>Fairerweise gehört dazu, dass Marcus seine These seit Jahren fortschreibt und die Systeme seither trotzdem erheblich besser geworden sind. Eine Wand, die mehrfach angekündigt wurde und an der bisher niemand endgültig hängenblieb, verliert an Beweiskraft.</w:t>
      </w:r>
    </w:p>
    <w:p>
      <w:pPr>
        <w:pStyle w:val="Fliesstext"/>
        <w:ind w:firstLine="283"/>
      </w:pPr>
      <w:r>
        <w:t>Dann gibt es noch eine Kritik, die mich an dieses Buch anders andockt, weil sie zurück in das Kapitel führt, aus dem du gerade kommst.</w:t>
      </w:r>
    </w:p>
    <w:p>
      <w:pPr>
        <w:pStyle w:val="Fliesstext"/>
        <w:ind w:firstLine="283"/>
      </w:pPr>
      <w:r>
        <w:t>Im März 2021 erschien auf der Konferenz FAccT ein Aufsatz von Emily Bender, Timnit Gebru, Angelina McMillan-Major und Margaret Mitchell mit dem Titel „On the Dangers of Stochastic Parrots". Die Kernthese: Große Sprachmodelle reihen Sprachformen aneinander, ohne Bedeutung zu verstehen, und wir Menschen unterstellen ihnen den Sinn, den wir selbst hineinlesen. Die Risiken, die das Paper benennt, liegen sämtlich in der Gegenwart: Reproduktion von Verzerrungen und abwertender Sprache, ökologische und Ressourcenkosten, und die Verdrängung kritischer Forschung durch das Rennen um immer größere Modelle.[13] Gebru verlor über diesem Paper ihre Stelle bei Google; sie verließ das Unternehmen im Dezember 2020 im Streit darum, Mitchell wurde zwei Monate später entlassen.[14]</w:t>
      </w:r>
    </w:p>
    <w:p>
      <w:pPr>
        <w:pStyle w:val="Fliesstext"/>
        <w:ind w:firstLine="283"/>
      </w:pPr>
      <w:r>
        <w:t>Ich bin vorsichtig damit, wem ich welchen Satz in den Mund lege, deshalb sage ich es sauber: Belegt ist die Prioritätensetzung dieses Papers, nicht ein wörtliches Verdikt über die Weltuntergangsdebatte. Aber das strukturelle Argument steht, und es ist stark. Wenn die knappe Ressource Aufmerksamkeit — in Redaktionen, in Ministerien, in Forschungsbudgets — auf ein hypothetisches Ereignis in dreißig Jahren gelenkt wird, dann steht sie nicht für die Fehlerquote eines Systems zur Verfügung, das heute über Bewerbungen, Kredite oder Gesichtserkennung mitentscheidet. Genau diese heutigen Schäden hast du im vorigen Kapitel in Zahlen gesehen, bis hin zu Fehlerraten in der Gesichtsanalyse, die sich zwischen Bevölkerungsgruppen um mehr als das Vierzigfache unterschieden.[15]</w:t>
      </w:r>
    </w:p>
    <w:p>
      <w:pPr>
        <w:pStyle w:val="Fliesstext"/>
        <w:ind w:firstLine="283"/>
      </w:pPr>
      <w:r>
        <w:t>Meine Einschätzung dazu, klar als meine: Das ist kein Entweder-oder, aber es ist auch keine gleichmäßige Verteilung. Ein reales Problem mit gemessener Fehlerquote hat Vorrang vor einem hypothetischen mit geschätzter Wahrscheinlichkeit. Nicht, weil das zweite unmöglich wäre, sondern weil man am ersten heute etwas tun kann.</w:t>
      </w:r>
    </w:p>
    <w:p>
      <w:pPr>
        <w:pStyle w:val="Zwischen"/>
      </w:pPr>
      <w:r>
        <w:t>Ein Szenario, das keine Vorhersage sein will</w:t>
      </w:r>
    </w:p>
    <w:p>
      <w:pPr>
        <w:pStyle w:val="Fliesstext"/>
      </w:pPr>
      <w:r>
        <w:t>Im April 2025 erschien „AI 2027", geschrieben von Daniel Kokotajlo, der zuvor bei OpenAI gearbeitet hatte, gemeinsam mit Eli Lifland, Thomas Larsen und Romeo Dean, redaktionell begleitet von Scott Alexander. Der Text schildert detailliert, wie ein schneller Take-off aussehen könnte: KI-Firmen automatisieren ab etwa 2026 ihre eigene Forschung, 2027 entstehen Systeme, die menschliche Spitzenkräfte in allen Feldern übertreffen.[16]</w:t>
      </w:r>
    </w:p>
    <w:p>
      <w:pPr>
        <w:pStyle w:val="Fliesstext"/>
        <w:ind w:firstLine="283"/>
      </w:pPr>
      <w:r>
        <w:t>Der Text wurde weltweit zitiert, meistens als Vorhersage. Er ist keine.</w:t>
      </w:r>
    </w:p>
    <w:p>
      <w:pPr>
        <w:pStyle w:val="Fliesstext"/>
        <w:ind w:firstLine="283"/>
      </w:pPr>
      <w:r>
        <w:t>Der stärkste Beleg dafür steht in seiner eigenen Bauart: Das Szenario verzweigt sich am Ende in zwei verschiedene Ausgänge, je nachdem, wie die handelnden Menschen entscheiden.[16] Ein Text mit zwei Enden sagt nicht, was passieren wird. Er sagt, woran es hängt. Genau so sind Szenarien gemeint, seit Militärs und Konzerne sie benutzen: als Übungsmaterial, damit einem der Ernstfall nicht neu vorkommt.</w:t>
      </w:r>
    </w:p>
    <w:p>
      <w:pPr>
        <w:pStyle w:val="Fliesstext"/>
        <w:ind w:firstLine="283"/>
      </w:pPr>
      <w:r>
        <w:t>Die Autoren bezeichnen den Text ausdrücklich als Planungswerkzeug, nicht als wörtliche Prognose — und, was noch aufschlussreicher ist, sie haben ihre eigenen Erwartungen danach verschoben: Kokotajlos persönlicher Median für AGI rückte auf etwa 2030, sein Koautor Lifland verschob den seinen um rund drei Jahre nach hinten.[16]</w:t>
      </w:r>
    </w:p>
    <w:p>
      <w:pPr>
        <w:pStyle w:val="Fliesstext"/>
        <w:ind w:firstLine="283"/>
      </w:pPr>
      <w:r>
        <w:t>Das ist bemerkenswertes Verhalten, und ich meine das nicht ironisch. Jemand veröffentlicht ein Szenario, bekommt Aufmerksamkeit dafür, und korrigiert es dann öffentlich in die unspektakulärere Richtung. Wer seine eigene Prognose gegen sein eigenes Interesse revidiert, gibt dir einen Grund, ihn beim nächsten Mal ernster zu nehmen, nicht weniger ernst.</w:t>
      </w:r>
    </w:p>
    <w:p>
      <w:pPr>
        <w:pStyle w:val="Fliesstext"/>
        <w:ind w:firstLine="283"/>
      </w:pPr>
      <w:r>
        <w:t>Der Schaden entstand ohnehin nicht im Text, sondern beim Weiterreichen. Aus einem verzweigten Szenario mit ausgeschriebenen Annahmen wurde in der dritten Meldung ein Datum: 2027. Derselbe Mechanismus wie beim halben Liter Wasser im vorigen Kapitel. Jede Weitergabe streicht die Bedingungen, weil Bedingungen sich schlecht in eine Überschrift setzen lassen, und am Ende steht eine Zahl, für die niemand haftet.</w:t>
      </w:r>
    </w:p>
    <w:p>
      <w:pPr>
        <w:pStyle w:val="Fliesstext"/>
        <w:ind w:firstLine="283"/>
      </w:pPr>
      <w:r>
        <w:t>Bleibt die Frage darunter, und die ist es wert, klar beantwortet zu werden: Wann kommt AGI?</w:t>
      </w:r>
    </w:p>
    <w:p>
      <w:pPr>
        <w:pStyle w:val="Fliesstext"/>
        <w:ind w:firstLine="283"/>
      </w:pPr>
      <w:r>
        <w:t>Niemand weiß es, und das ist keine Bequemlichkeit, sondern eine Aussage über die Beschaffenheit der Frage. Empirisch prüfbar sind die Fähigkeiten heutiger Systeme und ihre Grenzen; dafür gibt es Tests, die man gewinnen oder verlieren kann. Der Zeitpunkt, zu dem eine allgemeine, menschenähnliche Intelligenz existiert, ist aus drei Gründen nicht messbar. Es ist nicht einmal definiert, woran man sie erkennen würde — jede Definition wird von der Gegenseite als zu schwach oder zu streng abgelehnt, und erreichte Kriterien wandern weiter. Es gibt keine Vorgeschichte: null vorherige Fälle, aus denen sich eine Häufigkeit schätzen ließe. Und das Ergebnis hängt an Entscheidungen, die noch niemand getroffen hat — wie viel Kapital in welche Ansätze fließt, was reguliert wird, welche technische Hürde noch auftaucht.</w:t>
      </w:r>
    </w:p>
    <w:p>
      <w:pPr>
        <w:pStyle w:val="Fliesstext"/>
        <w:ind w:firstLine="283"/>
      </w:pPr>
      <w:r>
        <w:t>Ob 2027, 2040 oder nie, ist deshalb bei den Enthusiasten genauso Spekulation wie bei den Skeptikern. Niemand hat Daten. Alle haben Intuitionen, unterschiedlich gut informiert. Wer dir hier Sicherheit anbietet, in welche Richtung auch immer, hat entweder nicht nachgedacht oder etwas zu verkaufen.</w:t>
      </w:r>
    </w:p>
    <w:p>
      <w:pPr>
        <w:pStyle w:val="Zwischen"/>
      </w:pPr>
      <w:r>
        <w:t>Zwei Rechnungen, ein Faktor zehn</w:t>
      </w:r>
    </w:p>
    <w:p>
      <w:pPr>
        <w:pStyle w:val="Fliesstext"/>
      </w:pPr>
      <w:r>
        <w:t>Wenn du dachtest, die Uneinigkeit betreffe nur ferne Zukunftsfragen, hier der Rückgriff auf Kapitel 6.</w:t>
      </w:r>
    </w:p>
    <w:p>
      <w:pPr>
        <w:pStyle w:val="Fliesstext"/>
        <w:ind w:firstLine="283"/>
      </w:pPr>
      <w:r>
        <w:t>Goldman Sachs veröffentlichte 2023 eine Schätzung, nach der generative KI das globale Bruttoinlandsprodukt über zehn Jahre um rund sieben Prozent heben könnte, was etwa sieben Billionen Dollar entspräche, bei einem Produktivitätsschub von anderthalb Prozentpunkten; ungefähr zwei Drittel der US-Berufe seien exponiert, und bei diesen ließe sich ein Viertel bis die Hälfte der Tätigkeiten automatisieren.[17] McKinsey rechnete im selben Jahr über dreiundsechzig Anwendungsfälle einen jährlichen Zusatzwert von 2,6 bis 4,4 Billionen Dollar aus, drei Viertel davon in nur vier Funktionen: Marketing und Vertrieb, Kundenservice, Softwareentwicklung, Forschung und Entwicklung.[18]</w:t>
      </w:r>
    </w:p>
    <w:p>
      <w:pPr>
        <w:pStyle w:val="Fliesstext"/>
        <w:ind w:firstLine="283"/>
      </w:pPr>
      <w:r>
        <w:t>Daron Acemoglu vom MIT, der später den Wirtschaftsnobelpreis erhielt, legte im April 2024 eine Modellrechnung vor, die auf höchstens etwa 0,66 Prozent Zuwachs der totalen Faktorproduktivität über zehn Jahre kommt. Seine Begründung ist unspektakulär und deshalb schwer wegzuwischen: KI ist nur einem Teil der Tätigkeiten ausgesetzt, ungefähr einem Fünftel, und davon lässt sich wiederum nur ein knappes Viertel profitabel automatisieren.[19]</w:t>
      </w:r>
    </w:p>
    <w:p>
      <w:pPr>
        <w:pStyle w:val="Fliesstext"/>
        <w:ind w:firstLine="283"/>
      </w:pPr>
      <w:r>
        <w:t>Dieselbe Technik. Ungefähr dieselbe Datenlage. Ergebnisse, die um eine Größenordnung auseinanderliegen.</w:t>
      </w:r>
    </w:p>
    <w:p>
      <w:pPr>
        <w:pStyle w:val="Fliesstext"/>
        <w:ind w:firstLine="283"/>
      </w:pPr>
      <w:r>
        <w:t>Wo der Unterschied entsteht, kannst du an den Zahlen oben ablesen, und das ist lehrreicher als jedes Urteil darüber, wer recht hat. Beide Seiten schätzen, welcher Anteil der Arbeit betroffen ist, welcher Anteil davon sich lohnt und wie schnell Einsparung in gemessene Produktivität übergeht. Drei Schätzungen, multipliziert. Setzt du jede einzelne um den Faktor zwei anders an — und das kann man mit guten Gründen —, steht am Ende das Achtfache.</w:t>
      </w:r>
    </w:p>
    <w:p>
      <w:pPr>
        <w:pStyle w:val="Fliesstext"/>
        <w:ind w:firstLine="283"/>
      </w:pPr>
      <w:r>
        <w:t>Das ist kein Skandal, sondern der Normalfall bei Modellrechnungen: Das Ergebnis hängt an Annahmen, und die Annahmen sind Urteile. Wer entscheidet, welcher Anteil der Aufgaben betroffen ist und wie schnell sich Investitionen in Produktivität übersetzen, hat die Antwort im Wesentlichen schon gewählt, bevor er rechnet. Beide Seiten sind seriös. Beide sind Prognose. Und wenn dir das nächste Mal jemand eine dieser Zahlen als Tatsache verkauft, weißt du jetzt, dass er entweder das Kleingedruckte nicht gelesen hat oder darauf setzt, dass du es nicht liest.</w:t>
      </w:r>
    </w:p>
    <w:p>
      <w:pPr>
        <w:pStyle w:val="Zwischen"/>
      </w:pPr>
      <w:r>
        <w:t>Vier Fragen, die du an jede Prognose stellen kannst</w:t>
      </w:r>
    </w:p>
    <w:p>
      <w:pPr>
        <w:pStyle w:val="Fliesstext"/>
      </w:pPr>
      <w:r>
        <w:t>Hier ist das eigentliche Werkzeug dieses Kapitels. Vier Fragen, die dich weniger als eine Minute kosten.</w:t>
      </w:r>
    </w:p>
    <w:p>
      <w:pPr>
        <w:pStyle w:val="Fliesstext"/>
        <w:ind w:firstLine="283"/>
      </w:pPr>
      <w:r>
        <w:rPr>
          <w:b/>
        </w:rPr>
        <w:t>Was hat die Person davon?</w:t>
      </w:r>
      <w:r>
        <w:t xml:space="preserve"> Das ist keine Unterstellung, sondern eine Buchhaltung. Ein Wagniskapitalgeber verdient an Wachstum. Ein Konzernchef verkauft Lizenzen. Ein Institut, das vor Risiken warnt, sammelt Spenden für Risikoforschung. Ein Professor gewinnt Renommee mit der Gegenposition zum Mainstream. Interessen widerlegen niemanden, aber sie sagen dir, in welche Richtung sich ein Irrtum wahrscheinlich neigt. Und sie erklären, warum Hintons Google-Abgang so viel Gewicht bekam: Er hat seine Warnung teuer gemacht, statt Nutzen aus ihr zu ziehen.</w:t>
      </w:r>
    </w:p>
    <w:p>
      <w:pPr>
        <w:pStyle w:val="Fliesstext"/>
        <w:ind w:firstLine="283"/>
      </w:pPr>
      <w:r>
        <w:rPr>
          <w:b/>
        </w:rPr>
        <w:t>Steht ein überprüfbares Datum darin?</w:t>
      </w:r>
      <w:r>
        <w:t xml:space="preserve"> „Irgendwann wird KI alles verändern" kostet nichts und lässt sich nie widerlegen. „2027 übertreffen Systeme menschliche Spitzenkräfte in allen Feldern" ist eine echte Behauptung, an der man scheitern kann. Prognosen mit Datum sind mutiger und wertvoller, auch wenn sie öfter danebenliegen. Wer nur in Nebel spricht, hat sich der Prüfung entzogen.</w:t>
      </w:r>
    </w:p>
    <w:p>
      <w:pPr>
        <w:pStyle w:val="Fliesstext"/>
        <w:ind w:firstLine="283"/>
      </w:pPr>
      <w:r>
        <w:rPr>
          <w:b/>
        </w:rPr>
        <w:t>Wird ein Mechanismus genannt oder nur eine Kurve verlängert?</w:t>
      </w:r>
      <w:r>
        <w:t xml:space="preserve"> Das ist die schärfste der vier Fragen. Eine Extrapolation sagt: Es ging drei Jahre steil bergauf, also geht es weiter bergauf. Ein Mechanismus sagt: Es geht weiter, weil A auf B wirkt und B auf C. Acemoglu nennt einen Mechanismus, den du prüfen und angreifen kannst. LeCun nennt einen: fehlendes Gedächtnis, fehlende Planung, fehlende Verankerung. Das meiste, was du in Wirtschaftsteilen liest, ist verlängerte Kurve. Kurven kennen keine Sättigung, Mechanismen schon.</w:t>
      </w:r>
    </w:p>
    <w:p>
      <w:pPr>
        <w:pStyle w:val="Fliesstext"/>
        <w:ind w:firstLine="283"/>
      </w:pPr>
      <w:r>
        <w:rPr>
          <w:b/>
        </w:rPr>
        <w:t>Wie ist diese Person das letzte Mal ausgegangen?</w:t>
      </w:r>
      <w:r>
        <w:t xml:space="preserve"> Prognostiker haben eine Bilanz, man muss sie nur nachschlagen. Wer in den letzten fünf Jahren dreimal das Ende der Skalierung ausgerufen hat und dreimal überholt wurde, darf weiter reden — aber sein vierter Anlauf zählt weniger als der erste. Und wer eine Vorhersage öffentlich revidiert hat, zählt mehr.</w:t>
      </w:r>
    </w:p>
    <w:p>
      <w:pPr>
        <w:pStyle w:val="Fliesstext"/>
        <w:ind w:firstLine="283"/>
      </w:pPr>
      <w:r>
        <w:t>Zusammen ergeben die vier Fragen keine Wahrheit, sondern eine Gewichtung. Am Ende steht bei mir meistens nicht „stimmt" oder „stimmt nicht", sondern ein Satz wie: gut begründete Meinung, erkennbares Eigeninteresse, kein prüfbares Datum. Das ist wenig — und sehr viel mehr als das, womit die meisten Diskussionen an dieser Stelle arbeiten.</w:t>
      </w:r>
    </w:p>
    <w:p>
      <w:pPr>
        <w:pStyle w:val="Zwischen"/>
      </w:pPr>
      <w:r>
        <w:t>Das Werkzeug an drei alten Fällen</w:t>
      </w:r>
    </w:p>
    <w:p>
      <w:pPr>
        <w:pStyle w:val="Fliesstext"/>
      </w:pPr>
      <w:r>
        <w:t>Damit du siehst, dass die vier Fragen nicht nur auf dem Papier funktionieren, führe ich sie an drei Fällen vor, deren Ausgang wir kennen.</w:t>
      </w:r>
    </w:p>
    <w:p>
      <w:pPr>
        <w:pStyle w:val="Fliesstext"/>
        <w:ind w:firstLine="283"/>
      </w:pPr>
      <w:r>
        <w:rPr>
          <w:b/>
        </w:rPr>
        <w:t>Erster Fall: Clifford Stoll, 1995.</w:t>
      </w:r>
      <w:r>
        <w:t xml:space="preserve"> Du bist ihm in Kapitel 5 begegnet. Der Astronom und frühe Internet-Kenner schrieb in </w:t>
      </w:r>
      <w:r>
        <w:rPr>
          <w:i/>
        </w:rPr>
        <w:t>Newsweek</w:t>
      </w:r>
      <w:r>
        <w:t>, keine Online-Datenbank werde die Tageszeitung ersetzen, keine CD-ROM einen guten Lehrer und kein Computernetz die Arbeitsweise von Regierungen verändern.[20] Er lag falsch, in jedem einzelnen Punkt.</w:t>
      </w:r>
    </w:p>
    <w:p>
      <w:pPr>
        <w:pStyle w:val="Fliesstext"/>
        <w:ind w:firstLine="283"/>
      </w:pPr>
      <w:r>
        <w:t>Jetzt die vier Fragen. Interesse: praktisch keins — Stoll verkaufte kein Konkurrenzprodukt. Datum: vorhanden und klar, deshalb ließ sich der Text überhaupt widerlegen. Mechanismus: ja, und ein plausibler dazu — er beschrieb, was das Netz 1995 tatsächlich nicht konnte. Bilanz: unbekannt, es war seine erste große Vorhersage dieser Art.</w:t>
      </w:r>
    </w:p>
    <w:p>
      <w:pPr>
        <w:pStyle w:val="Fliesstext"/>
        <w:ind w:firstLine="283"/>
      </w:pPr>
      <w:r>
        <w:t>Nach diesen vier Fragen hätte Stoll gut abgeschnitten. Er lag trotzdem daneben, aus einem Grund, den sie nicht abdecken: Er hatte die Gegenwart korrekt beschrieben und stillschweigend fortgeschrieben. Der Fehler saß nicht im Argument, sondern in der Zeitachse. Ihm zugute zu halten ist, dass er es später offen einräumte, mit trockenem Spott über sich selbst.[20] Fachkenntnis schützt nicht vor Fehlprognosen. Sie sorgt nur dafür, dass man die falsche Vorhersage souveräner formuliert.</w:t>
      </w:r>
    </w:p>
    <w:p>
      <w:pPr>
        <w:pStyle w:val="Fliesstext"/>
        <w:ind w:firstLine="283"/>
      </w:pPr>
      <w:r>
        <w:rPr>
          <w:b/>
        </w:rPr>
        <w:t>Zweiter Fall: die Mikroelektronik-Debatte, 1980.</w:t>
      </w:r>
      <w:r>
        <w:t xml:space="preserve"> In der Bundesrepublik lief unter dem Stichwort „Mikroelektronik — die dritte industrielle Revolution" eine ernsthafte Auseinandersetzung über technologisch verursachte Massenarbeitslosigkeit, in seriösen Publikationen, mit Gutachten und Anhörungen.[28]</w:t>
      </w:r>
    </w:p>
    <w:p>
      <w:pPr>
        <w:pStyle w:val="Fliesstext"/>
        <w:ind w:firstLine="283"/>
      </w:pPr>
      <w:r>
        <w:t>Vier Fragen. Interesse: ehrlich verteilt — Gewerkschaften hatten eines, Arbeitgeberverbände auch, Wissenschaftler eher wenig. Datum: meist keins, und das ist der Schwachpunkt; „in den kommenden Jahrzehnten" ist nicht widerlegbar. Mechanismus: einer der besten, die je vorgetragen wurden — Rationalisierung ersetzt Arbeitskraft, das ist keine verlängerte Kurve, sondern eine Wirkkette. Bilanz: keine.</w:t>
      </w:r>
    </w:p>
    <w:p>
      <w:pPr>
        <w:pStyle w:val="Fliesstext"/>
        <w:ind w:firstLine="283"/>
      </w:pPr>
      <w:r>
        <w:t>Und trotzdem trat die befürchtete Massenarbeitslosigkeit in dieser Form nicht ein. Für Deutschland zeigt die Forschung, dass Regionen mit hoher Automatisierungsexposition keine überdurchschnittlichen Jobverluste erlitten.[29] Der Mechanismus war richtig beschrieben und trotzdem unvollständig: Er erfasste die verschwindenden Tätigkeiten, nicht die entstehenden. Ein genannter Mechanismus ist also besser als eine verlängerte Kurve, aber keine Garantie. Er ist ein Ausschnitt, und wer den Ausschnitt wählt, wählt das Ergebnis mit.</w:t>
      </w:r>
    </w:p>
    <w:p>
      <w:pPr>
        <w:pStyle w:val="Fliesstext"/>
        <w:ind w:firstLine="283"/>
      </w:pPr>
      <w:r>
        <w:rPr>
          <w:b/>
        </w:rPr>
        <w:t>Dritter Fall: Amaras Gesetz, angewandt auf uns selbst.</w:t>
      </w:r>
      <w:r>
        <w:t xml:space="preserve"> Roy Amara, Präsident des Institute for the Future, brachte die Regel aus Kapitel 4 auf die Formel, dass wir die Wirkung einer Technik kurzfristig überschätzen und langfristig unterschätzen.[21]</w:t>
      </w:r>
    </w:p>
    <w:p>
      <w:pPr>
        <w:pStyle w:val="Fliesstext"/>
        <w:ind w:firstLine="283"/>
      </w:pPr>
      <w:r>
        <w:t>Dieser Satz besteht die eigenen vier Fragen nicht besonders gut. Ein Datum steht nicht darin, ein Mechanismus auch nicht — er beschreibt ein Muster, nicht dessen Ursache. Streng genommen ist Amaras Gesetz genau die Sorte unwiderlegbarer Aussage, vor der ich dich gerade gewarnt habe: Egal was passiert, es lässt sich hinterher passend machen.</w:t>
      </w:r>
    </w:p>
    <w:p>
      <w:pPr>
        <w:pStyle w:val="Fliesstext"/>
        <w:ind w:firstLine="283"/>
      </w:pPr>
      <w:r>
        <w:t>Ich halte es trotzdem für nützlich, weil es nicht als Prognose taugt, wohl aber als Korrektur der eigenen Erwartung. Angewandt auf unsere drei Lager heißt es: Die Optimisten haben für das nächste Jahr wahrscheinlich unrecht und für das nächste Jahrzehnt möglicherweise recht. Die Skeptiker haben für das nächste Jahr wahrscheinlich recht und laufen Gefahr, das Jahrzehnt zu verpassen. Beide sagen die Wahrheit über verschiedene Zeitfenster und streiten dann darüber, wer lügt. Nimm den Satz als Werkzeug für dich selbst, nicht als Argument gegen andere.</w:t>
      </w:r>
    </w:p>
    <w:p>
      <w:pPr>
        <w:pStyle w:val="Fliesstext"/>
        <w:ind w:firstLine="283"/>
      </w:pPr>
      <w:r>
        <w:t>Ein letzter Hinweis, der zu Kapitel 2 zurückführt. Die berühmteste Technikangst der Geschichte, die angebliche bayerische Ärztewarnung vor dem Wahnsinn bei dreißig Stundenkilometern, ist mit hoher Wahrscheinlichkeit nie ausgesprochen worden.[22] Sie wird trotzdem in jedem zweiten Vortrag über Innovation erzählt, weil sie eine gute Geschichte ist. Das gilt in beide Richtungen: Der schaurige KI-Fall, der zu gut passt, um wahr zu sein, sollte dich genauso misstrauisch machen wie der Wunderfall.</w:t>
      </w:r>
    </w:p>
    <w:p>
      <w:pPr>
        <w:pStyle w:val="Zwischen"/>
      </w:pPr>
      <w:r>
        <w:t>Was ich selbst glaube, und warum das wenig wiegt</w:t>
      </w:r>
    </w:p>
    <w:p>
      <w:pPr>
        <w:pStyle w:val="Fliesstext"/>
      </w:pPr>
      <w:r>
        <w:t>Jetzt bin ich dir meine eigene Position schuldig, und ich markiere sie als das, was sie ist: Meinung, kein Beleg.</w:t>
      </w:r>
    </w:p>
    <w:p>
      <w:pPr>
        <w:pStyle w:val="Fliesstext"/>
        <w:ind w:firstLine="283"/>
      </w:pPr>
      <w:r>
        <w:t>Ich bin Praktiker. Ich baue mit meinem Team Automatisierungen, ich schreibe mir abends mit Claude Code kleine Werkzeuge für meinen eigenen Alltag, und ich sehe jeden Tag beides — was diese Systeme können und woran sie hängenbleiben. Ich habe kein Modell, mit dem ich das Jahr 2035 ausrechnen könnte. Ich habe stattdessen etwas, das die Propheten beider Lager oft nicht haben: eine tägliche Rückkopplung mit der Wirklichkeit.</w:t>
      </w:r>
    </w:p>
    <w:p>
      <w:pPr>
        <w:pStyle w:val="Fliesstext"/>
        <w:ind w:firstLine="283"/>
      </w:pPr>
      <w:r>
        <w:t>Diese Rückkopplung wirkt in beide Richtungen dämpfend. Wenn ich am Montag ein Modell erlebe, das eine Aufgabe erledigt, für die mein Team vor drei Jahren eine Woche gebraucht hätte, kann ich die Weltuntergangsfraktion nicht mehr für hysterisch halten; hier bewegt sich wirklich etwas, und zwar schnell. Wenn ich am Dienstag zusehe, wie dasselbe Modell an einem Formularfeld scheitert, weil ein Fachbereich seit 2011 eine Sonderregel pflegt, die nirgends aufgeschrieben ist, kann ich die Rede von der nahen Superintelligenz nicht mehr ernst nehmen. Die Welt ist voll von diesen Sonderregeln. Sie sind die eigentliche Reibung, und sie stehen in keinem Benchmark.</w:t>
      </w:r>
    </w:p>
    <w:p>
      <w:pPr>
        <w:pStyle w:val="Fliesstext"/>
        <w:ind w:firstLine="283"/>
      </w:pPr>
      <w:r>
        <w:t>Drei Stellen, an denen Ankündigung und Wirklichkeit in meinem Berufsalltag auseinanderfielen. Ich nenne keine Hersteller, weil ich das Muster bei allen gesehen habe.</w:t>
      </w:r>
    </w:p>
    <w:p>
      <w:pPr>
        <w:pStyle w:val="Fliesstext"/>
        <w:ind w:firstLine="283"/>
      </w:pPr>
      <w:r>
        <w:t>Die erste: die Demo mit fünf Dokumenten. Ein System liest Rechnungen aus, erkennt Positionen, ordnet Kostenstellen zu, auf der Bühne in achtzig Sekunden. Im Pilotbetrieb kommen dann viertausend Dokumente aus elf Jahren, darunter schief eingescannte Faxe, ein Lieferantenname, der 2017 geändert wurde, und handschriftliche Vermerke am Rand, die im Zweifel wichtiger sind als der gedruckte Text. Die Trefferquote fällt nicht dramatisch. Sie fällt genau so weit, dass jemand jeden Vorgang nachsehen muss — und damit ist der Nutzen weg, denn Prüfen kostet fast so viel wie Machen.</w:t>
      </w:r>
    </w:p>
    <w:p>
      <w:pPr>
        <w:pStyle w:val="Fliesstext"/>
        <w:ind w:firstLine="283"/>
      </w:pPr>
      <w:r>
        <w:t>Die zweite: der Zeitgewinn, der woanders wieder verschwindet. Wir haben Aufgaben, bei denen ein Modell heute in einer Stunde erledigt, wofür früher zwei Tage angesetzt waren. Das ist real, ich habe es mehrfach gemessen. Nur war die Erstellung selten der Engpass. Der Engpass war die Abstimmung — wer schaut drüber, wer gibt frei, wessen Fachbereich muss zustimmen. Diese Woche Wartezeit hat kein Modell verkürzt. Wer Automatisierung an der falschen Stelle einbaut, bekommt ein sehr schnelles Teilstück in einem gleich langsamen Prozess. Das ist der häufigste Grund, warum Produktivitätsversprechen sich nicht in Zahlen niederschlagen, und er ist so unglamourös, dass ihn kein Vortrag erwähnt.</w:t>
      </w:r>
    </w:p>
    <w:p>
      <w:pPr>
        <w:pStyle w:val="Fliesstext"/>
        <w:ind w:firstLine="283"/>
      </w:pPr>
      <w:r>
        <w:t>Die dritte geht gegen meine eigene Skepsis. Ich habe abends Werkzeuge gebaut, für die ich vor fünf Jahren einen Entwickler und ein Budget gebraucht hätte, und zwar in einer Sitzung. Nicht als Prototyp, sondern als Ding, das seither läuft. Wer diese Erfahrung nicht gemacht hat und über KI redet, redet über Berichte. Der Haken: Das Ding läuft für einen Nutzer, mit einem Eingabeformat, ohne Rechteverwaltung, ohne Protokollierung, ohne Vertretungsregelung. Dasselbe für zweihundert Kollegen belastbar zu machen, ist weiterhin Monatsarbeit. Der Sprung liegt am Anfang und nicht am Ende, und beide Lager reden, als läge er in der Mitte.</w:t>
      </w:r>
    </w:p>
    <w:p>
      <w:pPr>
        <w:pStyle w:val="Fliesstext"/>
        <w:ind w:firstLine="283"/>
      </w:pPr>
      <w:r>
        <w:t>Deshalb misstraue ich beiden Extremen, und zwar aus demselben Grund: Beide sprechen aus großer Höhe über eine Technik, die aus der Nähe betrachtet erheblich unordentlicher ist. Wer täglich damit arbeitet, wird selten Prophet. Man wird bescheidener, und man wird schneller darin, Behauptungen an der eigenen Erfahrung zu messen. Das ist keine tiefe Weisheit, das ist Bodenhaftung. Ich halte sie für das wirksamste Gegenmittel gegen Hype und Panik gleichermaßen, und du bekommst sie nicht durch Lektüre, sondern durch Benutzen. Zwei Wochen ernsthafte Arbeit mit einem dieser Werkzeuge bringen dich in der Einschätzung weiter als zwanzig Artikel.</w:t>
      </w:r>
    </w:p>
    <w:p>
      <w:pPr>
        <w:pStyle w:val="Fliesstext"/>
        <w:ind w:firstLine="283"/>
      </w:pPr>
      <w:r>
        <w:t>Und noch etwas glaube ich, ebenfalls ohne Beleg: Die wichtigste Frage der nächsten Jahre wird nicht durch Prognosen entschieden. Sie wird durch Entscheidungen entschieden — von Gesetzgebern, von Unternehmen, von Leuten wie dir und mir, die morgens festlegen, welche Aufgabe sie abgeben und welche nicht. Eine Prognose beschreibt eine Zukunft, in der niemand handelt. So eine Zukunft hat es noch nie gegeben.</w:t>
      </w:r>
    </w:p>
    <w:p>
      <w:pPr>
        <w:pStyle w:val="Fliesstext"/>
        <w:ind w:firstLine="283"/>
      </w:pPr>
      <w:r>
        <w:t>Damit kommen wir an die Grenze dessen, was dieses Kapitel leisten kann. Was du nicht bekommen hast, ist die Antwort auf die Frage, was kommt. Die hat niemand, und wer sie anbietet, hat dieses Kapitel nicht nötig gehabt.</w:t>
      </w:r>
    </w:p>
    <w:p>
      <w:pPr>
        <w:pStyle w:val="Fliesstext"/>
        <w:ind w:firstLine="283"/>
      </w:pPr>
      <w:r>
        <w:t>Also drehen wir die Frage um. Wenn die Zukunft der Maschinen offen ist, dann ist die einzige Größe in dieser Rechnung, über die wir tatsächlich etwas wissen, nicht die Maschine. Wir sind es. Was können Menschen, das keine Skalierung erreicht, und was davon lohnt es sich zu behalten, ganz gleich, welches der drei Lager am Ende recht bekommt?</w:t>
      </w:r>
    </w:p>
    <w:p>
      <w:r>
        <w:br w:type="page"/>
      </w:r>
    </w:p>
    <w:p>
      <w:pPr>
        <w:pStyle w:val="KapitelNummer"/>
      </w:pPr>
      <w:r>
        <w:rPr>
          <w:i/>
        </w:rPr>
        <w:t>Kapitel 10</w:t>
      </w:r>
    </w:p>
    <w:p>
      <w:pPr>
        <w:pStyle w:val="KapitelTitel"/>
      </w:pPr>
      <w:r>
        <w:t>Was vom Menschen bleibt</w:t>
      </w:r>
    </w:p>
    <w:p>
      <w:pPr>
        <w:pStyle w:val="Fliesstext"/>
      </w:pPr>
      <w:r>
        <w:t>Es gibt in meinem Beruf einen Moment, den von außen fast niemand sieht, und ich halte ihn inzwischen für den wichtigsten überhaupt. Er dauert zwanzig Minuten, findet in einem Besprechungsraum statt, und am Ende steht eine Entscheidung, die niemand protokolliert, weil sie technisch klingt.</w:t>
      </w:r>
    </w:p>
    <w:p>
      <w:pPr>
        <w:pStyle w:val="Fliesstext"/>
        <w:ind w:firstLine="283"/>
      </w:pPr>
      <w:r>
        <w:t>Ein Fachbereich kommt mit einem Prozess. Sagen wir: Rechnungen prüfen, Anträge vorsortieren, Reklamationen zuordnen — die Sorte Arbeit, die in jedem größeren Unternehmen von Menschen erledigt wird, die dafür zu gut sind. Meine Leute schauen sich das an und kommen mit zwei Entwürfen zurück.</w:t>
      </w:r>
    </w:p>
    <w:p>
      <w:pPr>
        <w:pStyle w:val="Fliesstext"/>
        <w:ind w:firstLine="283"/>
      </w:pPr>
      <w:r>
        <w:t>Der eine Entwurf sagt: Wir bauen das durch. Das System zieht die Daten, entscheidet nach Regeln und Modell, bucht, meldet fertig. Was es nicht kann, landet in einem Ausnahmepostfach, um das sich dann jemand kümmert. Ergebnis: eine Stelle weniger, vielleicht anderthalb.</w:t>
      </w:r>
    </w:p>
    <w:p>
      <w:pPr>
        <w:pStyle w:val="Fliesstext"/>
        <w:ind w:firstLine="283"/>
      </w:pPr>
      <w:r>
        <w:t>Der andere Entwurf sagt: Wir bauen das vor. Das System sammelt, sortiert, schlägt vor, begründet den Vorschlag, und ein Mensch bestätigt oder korrigiert. Die Korrekturen fließen zurück. Ergebnis: dieselbe Person schafft das Dreifache und sieht dabei mehr Fälle, als sie vorher je gesehen hat.</w:t>
      </w:r>
    </w:p>
    <w:p>
      <w:pPr>
        <w:pStyle w:val="Fliesstext"/>
        <w:ind w:firstLine="283"/>
      </w:pPr>
      <w:r>
        <w:t>Beide Entwürfe funktionieren. Beide sind ehrlich kalkuliert. Der erste ist im Angebot billiger, weil er weniger Schnittstellen zum Menschen braucht — und Schnittstellen zum Menschen sind das Teuerste, was man bauen kann. Der zweite ist in der Wartung oft günstiger, aber das steht in keinem Business Case, weil es sich schlecht beziffern lässt.</w:t>
      </w:r>
    </w:p>
    <w:p>
      <w:pPr>
        <w:pStyle w:val="Fliesstext"/>
        <w:ind w:firstLine="283"/>
      </w:pPr>
      <w:r>
        <w:t>In diesen zwanzig Minuten fällt die Entscheidung. Nicht in Davos, nicht in einem Ethikrat, nicht in einem Gesetz. In einem Besprechungsraum in einem Gewerbegebiet, von drei bis fünf Leuten, unter Zeitdruck, anhand einer Zahl.</w:t>
      </w:r>
    </w:p>
    <w:p>
      <w:pPr>
        <w:pStyle w:val="Fliesstext"/>
        <w:ind w:firstLine="283"/>
      </w:pPr>
      <w:r>
        <w:t>Und dieselbe Entscheidung fällt gerade millionenfach.</w:t>
      </w:r>
    </w:p>
    <w:p>
      <w:pPr>
        <w:pStyle w:val="Zwischen"/>
      </w:pPr>
      <w:r>
        <w:t>Die Falle, die nach Turing benannt ist</w:t>
      </w:r>
    </w:p>
    <w:p>
      <w:pPr>
        <w:pStyle w:val="Fliesstext"/>
      </w:pPr>
      <w:r>
        <w:t xml:space="preserve">Der Ökonom Erik Brynjolfsson hat für dieses Muster einen Namen gefunden, der so gut ist, dass er hängen bleibt: die </w:t>
      </w:r>
      <w:r>
        <w:rPr>
          <w:b/>
        </w:rPr>
        <w:t>Turing-Falle</w:t>
      </w:r>
      <w:r>
        <w:t>.[1]</w:t>
      </w:r>
    </w:p>
    <w:p>
      <w:pPr>
        <w:pStyle w:val="Fliesstext"/>
        <w:ind w:firstLine="283"/>
      </w:pPr>
      <w:r>
        <w:t>Um zu verstehen, warum der Name trifft, muss man kurz ins Jahr 1950 zurück.</w:t>
      </w:r>
    </w:p>
    <w:p>
      <w:pPr>
        <w:pStyle w:val="Fliesstext"/>
        <w:ind w:firstLine="283"/>
      </w:pPr>
      <w:r>
        <w:t xml:space="preserve">Alan Turing veröffentlichte damals in der philosophischen Zeitschrift </w:t>
      </w:r>
      <w:r>
        <w:rPr>
          <w:i/>
        </w:rPr>
        <w:t>Mind</w:t>
      </w:r>
      <w:r>
        <w:t xml:space="preserve"> einen Aufsatz mit dem Titel „Computing Machinery and Intelligence". Er beginnt mit der Frage, ob Maschinen denken können, und legt sie fast im selben Atemzug beiseite. Nicht, weil sie zu schwer wäre. Weil sie zu schlecht gestellt ist. Man müsste erst klären, was „Maschine" bedeutet und was „denken", und über Definitionen kann man streiten, bis alle Beteiligten in Rente sind. Turing schlug einen Ersatz vor, ein Spiel. Ein Mensch stellt über eine Fernschreibverbindung Fragen; zwei Gegenüber antworten, ein Mensch und eine Maschine, beide ausschließlich über Text, damit weder Stimme noch Aussehen etwas verraten. Wenn der Fragende nach einer Weile nicht mehr zuverlässig sagen kann, wer von beiden wer ist, hat es wenig Sinn, der Maschine das Denken weiter abzusprechen.[14]</w:t>
      </w:r>
    </w:p>
    <w:p>
      <w:pPr>
        <w:pStyle w:val="Fliesstext"/>
        <w:ind w:firstLine="283"/>
      </w:pPr>
      <w:r>
        <w:t xml:space="preserve">Ich finde diesen Zug bis heute großartig. Turing hat eine unbeantwortbare Frage gegen eine beantwortbare getauscht. Nicht: Was </w:t>
      </w:r>
      <w:r>
        <w:rPr>
          <w:i/>
        </w:rPr>
        <w:t>ist</w:t>
      </w:r>
      <w:r>
        <w:t xml:space="preserve"> das Ding? Sondern: Was </w:t>
      </w:r>
      <w:r>
        <w:rPr>
          <w:i/>
        </w:rPr>
        <w:t>tut</w:t>
      </w:r>
      <w:r>
        <w:t xml:space="preserve"> es, und woran würde ich einen Unterschied bemerken? Das ist die Sorte Umbau, die eine festgefahrene Debatte rettet.</w:t>
      </w:r>
    </w:p>
    <w:p>
      <w:pPr>
        <w:pStyle w:val="Fliesstext"/>
        <w:ind w:firstLine="283"/>
      </w:pPr>
      <w:r>
        <w:t>Gemeint war das als Gedankenexperiment. Als Prüfstein für eine philosophische Frage, nicht als Pflichtenheft.</w:t>
      </w:r>
    </w:p>
    <w:p>
      <w:pPr>
        <w:pStyle w:val="Fliesstext"/>
        <w:ind w:firstLine="283"/>
      </w:pPr>
      <w:r>
        <w:t>Genau das ist daraus geworden. Ein Maßstab, der lange genug an der Wand hängt, hört irgendwann auf, ein Maßstab zu sein, und wird ein Ziel. Seit siebzig Jahren misst sich das Fach am Menschen: Erkennt das System Sprache so gut wie ein Mensch, übersetzt es so gut, besteht es die Prüfung, die für Menschen gedacht war? Auch die Werbung heutiger Anbieter lebt davon. „Auf dem Niveau eines erfahrenen Fachmanns" ist ein sehr wirksames Verkaufsargument, weil jeder Einkäufer sofort weiß, was so ein Fachmann kostet.</w:t>
      </w:r>
    </w:p>
    <w:p>
      <w:pPr>
        <w:pStyle w:val="Fliesstext"/>
        <w:ind w:firstLine="283"/>
      </w:pPr>
      <w:r>
        <w:t>Brynjolfssons Einwand setzt genau hier an, und er ist kein technischer, sondern ein ökonomischer.[1]</w:t>
      </w:r>
    </w:p>
    <w:p>
      <w:pPr>
        <w:pStyle w:val="Zwischen"/>
      </w:pPr>
      <w:r>
        <w:t>Substitut oder Komplement</w:t>
      </w:r>
    </w:p>
    <w:p>
      <w:pPr>
        <w:pStyle w:val="Fliesstext"/>
      </w:pPr>
      <w:r>
        <w:t xml:space="preserve">Wenn du eine Maschine baust, die einen Menschen </w:t>
      </w:r>
      <w:r>
        <w:rPr>
          <w:i/>
        </w:rPr>
        <w:t>imitiert</w:t>
      </w:r>
      <w:r>
        <w:t>, dann konkurriert sie mit ihm. Sie ist ein Substitut, ein Ersatzgut. Und ein Ersatzgut drückt den Preis dessen, was es ersetzt. Wer arbeitet, verliert Verhandlungsmacht, weil er jederzeit gegen etwas Billigeres tauschbar wird, und der Wert, der dabei entsteht, wandert dorthin, wo die Maschine steht: zu denen, denen Kapital und Modelle gehören.</w:t>
      </w:r>
    </w:p>
    <w:p>
      <w:pPr>
        <w:pStyle w:val="Fliesstext"/>
        <w:ind w:firstLine="283"/>
      </w:pPr>
      <w:r>
        <w:t xml:space="preserve">Baust du dagegen eine Maschine, die etwas kann, was der Mensch </w:t>
      </w:r>
      <w:r>
        <w:rPr>
          <w:i/>
        </w:rPr>
        <w:t>nicht</w:t>
      </w:r>
      <w:r>
        <w:t xml:space="preserve"> kann, dann ergänzt sie ihn. Sie ist ein Komplement. Menschliche Arbeit wird durch sie wertvoller statt billiger, und der Mensch behält einen Anteil an dem, was neu entsteht.[1]</w:t>
      </w:r>
    </w:p>
    <w:p>
      <w:pPr>
        <w:pStyle w:val="Fliesstext"/>
        <w:ind w:firstLine="283"/>
      </w:pPr>
      <w:r>
        <w:t>Das klingt abstrakt, ist im Alltag aber handfest. Ein System, das über Nacht zehntausend Rechnungen liest und die dreißig auffälligen heraussortiert, imitiert niemanden. Das hat vorher kein Mensch getan, nicht weil es zu schwer gewesen wäre, sondern weil es niemand aushält. Die Person, die morgens die dreißig Fälle bekommt, macht dieselbe Arbeit wie vorher, nur ohne das Sieben; ihr Urteil ist plötzlich der Engpass und damit das Wertvollste im ganzen Ablauf. Baust du dasselbe Ding als „digitalen Sachbearbeiter", der selbst freigibt und nur bei Unsicherheit jemanden ruft, hast du dieselbe Technik verwendet, dieselben Daten, dieselben Modelle — und ein Substitut gebaut.</w:t>
      </w:r>
    </w:p>
    <w:p>
      <w:pPr>
        <w:pStyle w:val="Fliesstext"/>
        <w:ind w:firstLine="283"/>
      </w:pPr>
      <w:r>
        <w:t>Der Unterschied liegt nicht in der Leistungsfähigkeit des Modells. Er liegt im Entwurf. Automation oder Augmentation. Ersetzen oder erweitern.</w:t>
      </w:r>
    </w:p>
    <w:p>
      <w:pPr>
        <w:pStyle w:val="Fliesstext"/>
        <w:ind w:firstLine="283"/>
      </w:pPr>
      <w:r>
        <w:t xml:space="preserve">Und jetzt kommt der Satz, um den es in diesem Kapitel eigentlich geht, und ich schreibe ihn absichtlich so schlicht hin: </w:t>
      </w:r>
      <w:r>
        <w:rPr>
          <w:b/>
        </w:rPr>
        <w:t>Das ist eine Entscheidung. Keine Naturkonstante.</w:t>
      </w:r>
    </w:p>
    <w:p>
      <w:pPr>
        <w:pStyle w:val="Fliesstext"/>
        <w:ind w:firstLine="283"/>
      </w:pPr>
      <w:r>
        <w:t>Es gibt kein Gesetz der Physik und keines der Ökonomie, das vorschreibt, dass KI in Richtung Ersatz entwickelt werden muss. Es gibt Anreize, die in diese Richtung ziehen — Brynjolfsson argumentiert, dass die Anreizlage derzeit schief steht und Automatisierung systematisch bevorzugt.[1] Anreize kann man ändern. Sie sind gemacht.</w:t>
      </w:r>
    </w:p>
    <w:p>
      <w:pPr>
        <w:pStyle w:val="Zwischen"/>
      </w:pPr>
      <w:r>
        <w:t>Warum die Anreize in eine Richtung ziehen</w:t>
      </w:r>
    </w:p>
    <w:p>
      <w:pPr>
        <w:pStyle w:val="Fliesstext"/>
      </w:pPr>
      <w:r>
        <w:t>Was für Anreize das konkret sind, sehe ich in meinem Beruf jede Woche. Was jetzt kommt, ist deshalb nicht Brynjolfssons Analyse, sondern meine eigene Beobachtung aus dem Maschinenraum, und ich markiere das ausdrücklich.</w:t>
      </w:r>
    </w:p>
    <w:p>
      <w:pPr>
        <w:pStyle w:val="Fliesstext"/>
        <w:ind w:firstLine="283"/>
      </w:pPr>
      <w:r>
        <w:t>Der stärkste Anreiz ist die Messbarkeit. Eine eingesparte Stelle ist eine Zahl, mit Vorzeichen, Währung und einem Datum, ab dem sie wirkt. „Die Kollegin sieht künftig mehr Fälle und entscheidet besser" ist keine Zahl, sondern eine Behauptung, die man erst in zwei Jahren belegen kann. Ein Business Case ist kein neutrales Blatt Papier. Er ist ein Formular, und Formulare haben Felder. Was kein Feld hat, kommt nicht vor.</w:t>
      </w:r>
    </w:p>
    <w:p>
      <w:pPr>
        <w:pStyle w:val="Fliesstext"/>
        <w:ind w:firstLine="283"/>
      </w:pPr>
      <w:r>
        <w:t>Der zweite Anreiz sind die Kosten der Übergabe. Ein System, das durchläuft, braucht eine Datenquelle und ein Zielsystem. Ein System, das einem Menschen etwas vorlegt, braucht Oberfläche, Begründung, Rückkanal, Rechteverwaltung, Schulung — und jemanden, der sich überlegt, wie die Information aussehen muss, damit ein Mensch sie in zwanzig Sekunden prüfen kann. Das ist Handwerk, und Handwerk steht im Angebot.</w:t>
      </w:r>
    </w:p>
    <w:p>
      <w:pPr>
        <w:pStyle w:val="Fliesstext"/>
        <w:ind w:firstLine="283"/>
      </w:pPr>
      <w:r>
        <w:t>Der dritte Anreiz ist der Zeithorizont. Automatisierung zahlt sich im ersten Jahr aus. Augmentation zahlt sich über eine Lernkurve aus, und Lernkurven fangen unten an. In den ersten Wochen ist das augmentierte Team langsamer als vorher, weil die Leute ein neues Werkzeug bedienen und ihm gleichzeitig misstrauen. Wer nur bis zum nächsten Quartalsbericht schaut, sieht an dieser Stelle eine Verschlechterung.</w:t>
      </w:r>
    </w:p>
    <w:p>
      <w:pPr>
        <w:pStyle w:val="Fliesstext"/>
        <w:ind w:firstLine="283"/>
      </w:pPr>
      <w:r>
        <w:t>Der vierte Anreiz ist der subtilste: Wer den Nutzen hat, sitzt nicht am Tisch. Der Gewinn der Augmentation fällt bei der Person an, die den Prozess ausführt, und bei den Kunden, die schneller eine bessere Antwort bekommen. Der Gewinn der Automatisierung fällt in der Kostenstelle an, aus der das Projekt bezahlt wird. Beides ist Wert. Nur eines davon steht auf demselben Blatt wie die Rechnung.</w:t>
      </w:r>
    </w:p>
    <w:p>
      <w:pPr>
        <w:pStyle w:val="Fliesstext"/>
        <w:ind w:firstLine="283"/>
      </w:pPr>
      <w:r>
        <w:t>Kein einzelner dieser Punkte ist böse. Zusammen ergeben sie eine Schräge, und Wasser fließt bergab. Deshalb halte ich es für falsch, nach Schuldigen zu suchen. Man muss die Schräge ändern, nicht die Leute beschimpfen, die daran hinunterrutschen.</w:t>
      </w:r>
    </w:p>
    <w:p>
      <w:pPr>
        <w:pStyle w:val="Fliesstext"/>
        <w:ind w:firstLine="283"/>
      </w:pPr>
      <w:r>
        <w:t>Ich merke, wie oft ich in Diskussionen an dieser Stelle Widerspruch bekomme, und zwar meistens in der Form: „Das läuft doch sowieso, da kann man nichts machen." Dieser Satz ist bequem. Er entlastet alle. Er entlastet den Entwickler, der es baut, den Manager, der es bezahlt, und den Politiker, der es nicht regelt. Ich halte ihn deshalb für den gefährlichsten Satz in der gesamten KI-Debatte, gefährlicher als jede Weltuntergangsprognose, weil er nicht erschreckt, sondern einschläfert.</w:t>
      </w:r>
    </w:p>
    <w:p>
      <w:pPr>
        <w:pStyle w:val="Zwischen"/>
      </w:pPr>
      <w:r>
        <w:t>Wie der andere Pfad aussieht</w:t>
      </w:r>
    </w:p>
    <w:p>
      <w:pPr>
        <w:pStyle w:val="Fliesstext"/>
      </w:pPr>
      <w:r>
        <w:t>Weil Kritik billig ist, hier die Gegenprobe: Woran erkenne ich einen augmentierenden Entwurf? Vier Merkmale aus meiner Praxis, ohne Anspruch auf Vollständigkeit.</w:t>
      </w:r>
    </w:p>
    <w:p>
      <w:pPr>
        <w:pStyle w:val="Fliesstext"/>
        <w:ind w:firstLine="283"/>
      </w:pPr>
      <w:r>
        <w:t xml:space="preserve">Der Mensch sieht danach </w:t>
      </w:r>
      <w:r>
        <w:rPr>
          <w:i/>
        </w:rPr>
        <w:t>mehr</w:t>
      </w:r>
      <w:r>
        <w:t xml:space="preserve"> als vorher, nicht weniger. Das ist der ehrlichste Test, den ich kenne. Beim automatisierenden Entwurf schrumpft das Sichtfeld auf das Ausnahmepostfach: nur noch die Fälle, an denen die Maschine gescheitert ist, und kein Gefühl mehr für den Normalfall. Beim augmentierenden bekommt die Person alles, vorsortiert, mit Begründung, und kann in die Sortierung hineinschauen.</w:t>
      </w:r>
    </w:p>
    <w:p>
      <w:pPr>
        <w:pStyle w:val="Fliesstext"/>
        <w:ind w:firstLine="283"/>
      </w:pPr>
      <w:r>
        <w:t>Die Korrektur ist der Kern des Systems, nicht sein Notausgang. Wenn ein Mensch einen Vorschlag ändert, ist das die wertvollste Information, die an diesem Tag entsteht. In einem gut gebauten System wird sie eingesammelt und wirkt zurück. In einem schlecht gebauten verschwindet sie in einem Textfeld.</w:t>
      </w:r>
    </w:p>
    <w:p>
      <w:pPr>
        <w:pStyle w:val="Fliesstext"/>
        <w:ind w:firstLine="283"/>
      </w:pPr>
      <w:r>
        <w:t>Die Fähigkeiten der Person wachsen, statt zu verkümmern. Ein Vorschlag mit Begründung ist Unterricht, ein Vorschlag ohne Begründung eine Aufforderung zum Abnicken. Das entscheidet darüber, ob du in drei Jahren noch jemanden hast, der den Prozess versteht.</w:t>
      </w:r>
    </w:p>
    <w:p>
      <w:pPr>
        <w:pStyle w:val="Fliesstext"/>
        <w:ind w:firstLine="283"/>
      </w:pPr>
      <w:r>
        <w:t>Und die Person kann Nein sagen, ohne sich zu rechtfertigen. Wenn das Abweichen vom Vorschlag ein Sonderformular verlangt, liegt die Entscheidung faktisch nicht mehr beim Menschen, egal was im Konzept steht.</w:t>
      </w:r>
    </w:p>
    <w:p>
      <w:pPr>
        <w:pStyle w:val="Fliesstext"/>
        <w:ind w:firstLine="283"/>
      </w:pPr>
      <w:r>
        <w:t>Ich will nicht so tun, als ginge das immer. Es gibt Prozesse, in denen kein menschliches Urteil mehr steckt, das man erweitern könnte. Wer dort einen Menschen hinsetzt, damit er auf „Bestätigen" klickt, betreibt Theater und bezahlt es auch noch. Solche Prozesse gehören automatisiert oder abgeschafft. Die Turing-Falle ist keine Aufforderung, überall einen Menschen dazwischenzuschieben, sondern die Aufforderung, die Frage überhaupt zu stellen, statt sie durch die Voreinstellung beantworten zu lassen.</w:t>
      </w:r>
    </w:p>
    <w:p>
      <w:pPr>
        <w:pStyle w:val="Fliesstext"/>
        <w:ind w:firstLine="283"/>
      </w:pPr>
      <w:r>
        <w:t>Und Brynjolfssons Aufsatz ist eine ökonomische Analyse und eine Position, keine Messung.[1] Er sagt nicht, dass die Welt untergeht, wenn wir automatisieren. Er sagt, dass wir eine Wahl treffen und so tun, als hätten wir keine.</w:t>
      </w:r>
    </w:p>
    <w:p>
      <w:pPr>
        <w:pStyle w:val="Zwischen"/>
      </w:pPr>
      <w:r>
        <w:t>Was die Kanarienvögel anzeigen</w:t>
      </w:r>
    </w:p>
    <w:p>
      <w:pPr>
        <w:pStyle w:val="Fliesstext"/>
      </w:pPr>
      <w:r>
        <w:t>Ist die Unterscheidung mehr als Theorie? Es gibt einen Hinweis, und er ist der interessanteste Befund, der mir in der Recherche zu diesem Buch untergekommen ist.</w:t>
      </w:r>
    </w:p>
    <w:p>
      <w:pPr>
        <w:pStyle w:val="Fliesstext"/>
        <w:ind w:firstLine="283"/>
      </w:pPr>
      <w:r>
        <w:t>Er trägt den Titel „Canaries in the Coal Mine?" und stammt aus dem Stanford Digital Economy Lab, von Brynjolfsson selbst zusammen mit Bharat Chandar und Ruyu Chen.[2] Das Bild ist mit Bedacht gewählt. Bergleute nahmen früher Kanarienvögel mit unter Tage, nicht aus Tierliebe, sondern weil die Vögel bei giftigen Gasen umkippen, bevor ein Mensch etwas merkt. Wer wissen will, ob sich die Luft verändert, schaut nicht auf den Kräftigsten. Er schaut auf den Empfindlichsten.</w:t>
      </w:r>
    </w:p>
    <w:p>
      <w:pPr>
        <w:pStyle w:val="Fliesstext"/>
        <w:ind w:firstLine="283"/>
      </w:pPr>
      <w:r>
        <w:t>Die Empfindlichsten am Arbeitsmarkt sind die Berufseinsteiger. Kein Netzwerk im Haus, keine Betriebszugehörigkeit, und vor allem: Über sie wird nicht entschieden, indem man jemanden entlässt, sondern indem man eine Stelle nicht ausschreibt. Ein lautloser Vorgang, der in keiner Entlassungsstatistik auftaucht.</w:t>
      </w:r>
    </w:p>
    <w:p>
      <w:pPr>
        <w:pStyle w:val="Fliesstext"/>
        <w:ind w:firstLine="283"/>
      </w:pPr>
      <w:r>
        <w:t>Die Untersuchung nutzt Lohnabrechnungsdaten des Dienstleisters ADP von über 25 Millionen amerikanischen Beschäftigten seit der Verbreitung generativer KI. Unter mehreren Befunden vor allem dieser: ein relativer Beschäftigungsrückgang von etwa 13 bis 16 Prozent bei Berufseinsteigern zwischen 22 und 25 Jahren in den am stärksten KI-exponierten Berufen, während ältere Kohorten in denselben Berufen zulegten.[2]</w:t>
      </w:r>
    </w:p>
    <w:p>
      <w:pPr>
        <w:pStyle w:val="Fliesstext"/>
        <w:ind w:firstLine="283"/>
      </w:pPr>
      <w:r>
        <w:t>Auf das Wort „relativ" kommt es an, weil es in der Berichterstattung regelmäßig unter den Tisch fällt: Gemeint ist die Entwicklung im Vergleich zu weniger exponierten Berufen und anderen Altersgruppen, nicht die Behauptung, jede sechste Einstiegsstelle in Amerika sei verschwunden. Ein Auseinanderdriften, keine Massenentlassung.</w:t>
      </w:r>
    </w:p>
    <w:p>
      <w:pPr>
        <w:pStyle w:val="Fliesstext"/>
        <w:ind w:firstLine="283"/>
      </w:pPr>
      <w:r>
        <w:t xml:space="preserve">Entscheidend für unser Thema ist die Feinauflösung. Der Rückgang konzentriert sich auf </w:t>
      </w:r>
      <w:r>
        <w:rPr>
          <w:i/>
        </w:rPr>
        <w:t>automatisierende</w:t>
      </w:r>
      <w:r>
        <w:t xml:space="preserve"> Anwendungen, nicht auf </w:t>
      </w:r>
      <w:r>
        <w:rPr>
          <w:i/>
        </w:rPr>
        <w:t>augmentierende</w:t>
      </w:r>
      <w:r>
        <w:t>.[2] Wo KI eingesetzt wurde, um Menschen zu ersetzen, verschwanden Einstiegsstellen. Wo sie eingesetzt wurde, um Menschen besser zu machen, nicht.</w:t>
      </w:r>
    </w:p>
    <w:p>
      <w:pPr>
        <w:pStyle w:val="Fliesstext"/>
        <w:ind w:firstLine="283"/>
      </w:pPr>
      <w:r>
        <w:t>Ich will das nicht überdehnen. Es ist eine Untersuchung, ein Land, ein Datensatz, ein kurzer Zeitraum, und Korrelation bleibt Korrelation. Dazu eine methodische Einschränkung: Sowohl das Maß für die KI-Exposition eines Berufs als auch die Einordnung einer Anwendung als automatisierend oder augmentierend sind Konstruktionen der Forschenden. Das ist legitim, jede Messung braucht eine Definition. Es heißt nur, dass hier nicht die Natur spricht, sondern eine gut begründete Zuordnung.</w:t>
      </w:r>
    </w:p>
    <w:p>
      <w:pPr>
        <w:pStyle w:val="Fliesstext"/>
        <w:ind w:firstLine="283"/>
      </w:pPr>
      <w:r>
        <w:t>Trotzdem: Es ist der erste größere Datensatz, in dem Brynjolfssons Unterscheidung nicht nur als Argument auftaucht, sondern als Messgröße. Die beiden Wege führen offenbar wirklich woanders hin. Und die Vögel liegen auf der Seite, auf der die Leute am Anfang stehen.</w:t>
      </w:r>
    </w:p>
    <w:p>
      <w:pPr>
        <w:pStyle w:val="Fliesstext"/>
        <w:ind w:firstLine="283"/>
      </w:pPr>
      <w:r>
        <w:t>Auf der anderen Seite steht, was Augmentation kann, wenn man sie ernst nimmt. In einer Feldstudie mit 5.172 Kundendienst-Mitarbeitenden erhöhte ein generativer KI-Assistent die Zahl gelöster Vorgänge pro Stunde um rund 15 Prozent — und, das ist der eigentliche Punkt, am stärksten profitierten die wenig erfahrenen und gering qualifizierten Kräfte, während die besten kaum zulegten.[3] Der OECD-Beschäftigungsausblick 2025 findet bislang wenig Belege für KI-bedingte Jobverluste und berichtet, dass zwei Drittel der bereits mit KI arbeitenden Beschäftigten ihre Arbeit als weniger monoton oder weniger gefährlich erleben.[4]</w:t>
      </w:r>
    </w:p>
    <w:p>
      <w:pPr>
        <w:pStyle w:val="Fliesstext"/>
        <w:ind w:firstLine="283"/>
      </w:pPr>
      <w:r>
        <w:t xml:space="preserve">Und weil ich in diesem Buch keine Rosinen picke: Es gibt den Gegenbefund. In einem randomisierten Versuch brauchten sechzehn erfahrene Open-Source-Entwickler mit KI-Werkzeugen 19 Prozent </w:t>
      </w:r>
      <w:r>
        <w:rPr>
          <w:i/>
        </w:rPr>
        <w:t>länger</w:t>
      </w:r>
      <w:r>
        <w:t xml:space="preserve"> für Aufgaben in ihren eigenen, ihnen bestens vertrauten Codebasen — und glaubten dabei, sie seien rund 20 Prozent schneller gewesen.[5] Augmentation ist kein Automatismus. Sie ist Handwerk, und man kann sie vermasseln. Genau davon handelt das nächste Kapitel.</w:t>
      </w:r>
    </w:p>
    <w:p>
      <w:pPr>
        <w:pStyle w:val="Zwischen"/>
      </w:pPr>
      <w:r>
        <w:t>Was Menschen behalten — und was ich damit nicht meine</w:t>
      </w:r>
    </w:p>
    <w:p>
      <w:pPr>
        <w:pStyle w:val="Fliesstext"/>
      </w:pPr>
      <w:r>
        <w:t>Jetzt der Teil, bei dem in den meisten Büchern die Kerzen angezündet werden. „Kreativität, Empathie, das Menschliche." Ich mache das nicht, und zwar aus einem einfachen Grund: Es stimmt so nicht.</w:t>
      </w:r>
    </w:p>
    <w:p>
      <w:pPr>
        <w:pStyle w:val="Fliesstext"/>
        <w:ind w:firstLine="283"/>
      </w:pPr>
      <w:r>
        <w:t xml:space="preserve">Du hast in Kapitel 7 gesehen, was passiert, wenn man Kreativität misst statt sie zu beschwören. In einer Studie in </w:t>
      </w:r>
      <w:r>
        <w:rPr>
          <w:i/>
        </w:rPr>
        <w:t>Science Advances</w:t>
      </w:r>
      <w:r>
        <w:t xml:space="preserve"> bewerteten Leser Kurzgeschichten als kreativer, besser geschrieben und unterhaltsamer, wenn die Autoren Zugang zu KI-Ideen hatten — und am deutlichsten hoben sich die weniger kreativen Autoren. Der Preis war ein kollektiver: Die Geschichten ähnelten einander stärker.[6] Das ist ein ernstes Ergebnis, aber es ist eben nicht „Kreativität bleibt unser Reservat". Wer heute noch behauptet, die Maschine könne nichts Neues, hat sie nicht benutzt.</w:t>
      </w:r>
    </w:p>
    <w:p>
      <w:pPr>
        <w:pStyle w:val="Fliesstext"/>
        <w:ind w:firstLine="283"/>
      </w:pPr>
      <w:r>
        <w:t>Also keine Trostpreise. Was bleibt tatsächlich, und wie sicher ist es?</w:t>
      </w:r>
    </w:p>
    <w:p>
      <w:pPr>
        <w:pStyle w:val="Fliesstext"/>
        <w:ind w:firstLine="283"/>
      </w:pPr>
      <w:r>
        <w:t xml:space="preserve">Das Belastbarste zuerst, weil es das Unspektakulärste ist: </w:t>
      </w:r>
      <w:r>
        <w:rPr>
          <w:b/>
        </w:rPr>
        <w:t>körperliche und ortsgebundene Arbeit</w:t>
      </w:r>
      <w:r>
        <w:t>. Der Expositions-Index von ILO und NASK schätzt, dass weltweit etwa jeder vierte Beschäftigte in einem Beruf mit einer gewissen Exposition gegenüber generativer KI arbeitet, dass die meisten Tätigkeiten aber transformiert und nicht ersetzt werden. Aufschlussreich ist die Verteilung: 34 Prozent der Beschäftigung in Hocheinkommensländern gegenüber 11 Prozent in Niedrigeinkommensländern, und in der höchsten Expositionsstufe liegen Frauen mit 4,7 Prozent deutlich vor Männern mit 2,4 Prozent.[7] Der IWF kommt in dieselbe Richtung: rund 60 Prozent der Jobs in fortgeschrittenen Volkswirtschaften exponiert, rund 26 Prozent in Niedrigeinkommensländern.[8] Meine Lesart dieser Zahlen — und das ist eine Lesart, keine Feststellung der Studien: Die Exposition folgt nicht dem Anspruch der Tätigkeit, sondern ihrer Bildschirmnähe. Nicht die einfache Arbeit ist am stärksten betroffen, sondern die Büroarbeit. Die Pflegekraft, die Elektrikerin, der Erzieher sind, Stand heute, sehr viel schwerer zu automatisieren als die Sachbearbeitung, an deren gesellschaftlichem Ansehen wir jahrzehntelang gebaut haben. Das ist eine Umkehrung, die vielen noch bevorsteht.</w:t>
      </w:r>
    </w:p>
    <w:p>
      <w:pPr>
        <w:pStyle w:val="Fliesstext"/>
        <w:ind w:firstLine="283"/>
      </w:pPr>
      <w:r>
        <w:t xml:space="preserve">Zweitens: </w:t>
      </w:r>
      <w:r>
        <w:rPr>
          <w:b/>
        </w:rPr>
        <w:t>Verantwortung</w:t>
      </w:r>
      <w:r>
        <w:t xml:space="preserve">. Und hier bin ich bewusst pedantisch, weil der Begriff so gern verrutscht. Es geht nicht darum, dass Maschinen keine Entscheidungen treffen könnten — sie treffen laufend welche, oft bessere als wir. Es geht darum, dass sie nicht </w:t>
      </w:r>
      <w:r>
        <w:rPr>
          <w:i/>
        </w:rPr>
        <w:t>haften</w:t>
      </w:r>
      <w:r>
        <w:t>. Verantwortung ist keine kognitive Fähigkeit, sondern eine soziale Zurechnung: Es muss jemanden geben, der geradesteht, den man fragen kann, den man belangen kann, der die Folgen spürt. Ein Modell hat nichts zu verlieren. Meine These, ausdrücklich meine: Solange das so ist, wird in jeder Kette irgendwo ein Mensch stehen, und dieser Platz ist kein Rückzugsgefecht, sondern der wertvollste Platz im ganzen Prozess. In meinem Berufsalltag sehe ich das jeden Tag. Je mehr ein System selbst entscheidet, desto teurer wird die Person, die es verantwortet.</w:t>
      </w:r>
    </w:p>
    <w:p>
      <w:pPr>
        <w:pStyle w:val="Fliesstext"/>
        <w:ind w:firstLine="283"/>
      </w:pPr>
      <w:r>
        <w:t xml:space="preserve">Drittens: </w:t>
      </w:r>
      <w:r>
        <w:rPr>
          <w:b/>
        </w:rPr>
        <w:t>Ziele setzen statt Mittel optimieren</w:t>
      </w:r>
      <w:r>
        <w:t>. Jedes Modell, das ich kenne, ist gut darin, ein gegebenes Ziel besser zu erreichen. Keines sagt dir, ob es das richtige Ziel war. In meinem Job ist das der häufigste Fehler überhaupt, und er hat nichts mit KI zu tun: Wir automatisieren einen Prozess hervorragend, der besser abgeschafft worden wäre. Vier Wochen Arbeit, um ein Formular schneller auszufüllen, das seit 2014 niemand mehr liest. KI macht diesen Fehler nicht seltener. Sie macht ihn schneller und billiger und damit häufiger.</w:t>
      </w:r>
    </w:p>
    <w:p>
      <w:pPr>
        <w:pStyle w:val="Fliesstext"/>
        <w:ind w:firstLine="283"/>
      </w:pPr>
      <w:r>
        <w:t xml:space="preserve">Viertens: </w:t>
      </w:r>
      <w:r>
        <w:rPr>
          <w:b/>
        </w:rPr>
        <w:t>abwägen zwischen Interessen, die sich widersprechen</w:t>
      </w:r>
      <w:r>
        <w:t>. Der Fachbereich will Tempo, die Revision will Nachvollziehbarkeit, der Betriebsrat will wissen, was mit den Daten passiert, und der Kunde will beides und nichts davon bezahlen. Es gibt für diese Lage keine richtige Lösung, die man ausrechnen könnte, sondern nur einen Kompromiss, den alle mittragen. Das ist Politik im kleinen Maßstab. Ich habe noch keine Maschine gesehen, die einen Raum voller Leute mit gegenläufigen Interessen zu einer Entscheidung bringt, bei der hinterher niemand nachtritt.</w:t>
      </w:r>
    </w:p>
    <w:p>
      <w:pPr>
        <w:pStyle w:val="Fliesstext"/>
        <w:ind w:firstLine="283"/>
      </w:pPr>
      <w:r>
        <w:t xml:space="preserve">Fünftens, und das hängt daran: </w:t>
      </w:r>
      <w:r>
        <w:rPr>
          <w:b/>
        </w:rPr>
        <w:t>Vertrauen herstellen</w:t>
      </w:r>
      <w:r>
        <w:t>. Nicht Vertrauen empfinden — herstellen. Dass ein Team einer Veränderung folgt, hängt in meiner Erfahrung fast nie an der Qualität der Präsentation und fast immer daran, ob die Leute glauben, dass der, der da vorne steht, es ehrlich meint. Ob ich diese Fähigkeit prinzipiell für maschinenfest halte, weiß ich nicht. Ich weiß nur, dass ich sie noch nirgends automatisiert gesehen habe, und dass sie in dem Maß wichtiger wird, in dem die technische Umsetzung leichter wird.</w:t>
      </w:r>
    </w:p>
    <w:p>
      <w:pPr>
        <w:pStyle w:val="Fliesstext"/>
        <w:ind w:firstLine="283"/>
      </w:pPr>
      <w:r>
        <w:t>Was diese fünf Dinge eint, ist übrigens nicht, dass sie besonders „menschlich" wären. Sie sind schlicht die Dinge, die übrig bleiben, wenn die Ausführung billig geworden ist. Es ist die alte Verschiebung, in neuer Kleidung.</w:t>
      </w:r>
    </w:p>
    <w:p>
      <w:pPr>
        <w:pStyle w:val="Zwischen"/>
      </w:pPr>
      <w:r>
        <w:t>Geld ohne Arbeit — was die größte Studie dazu wirklich zeigt</w:t>
      </w:r>
    </w:p>
    <w:p>
      <w:pPr>
        <w:pStyle w:val="Fliesstext"/>
      </w:pPr>
      <w:r>
        <w:t>Sobald man über die Zukunft der Arbeit redet, ist das bedingungslose Grundeinkommen nach spätestens zehn Minuten im Raum. Also nüchtern hin.</w:t>
      </w:r>
    </w:p>
    <w:p>
      <w:pPr>
        <w:pStyle w:val="Fliesstext"/>
        <w:ind w:firstLine="283"/>
      </w:pPr>
      <w:r>
        <w:t>Die bislang größte amerikanische Untersuchung dazu kommt von OpenResearch, finanziell gestützt von Sam Altman — dem OpenAI-Chef, was man in beide Richtungen mitdenken sollte. Wer die These vertritt, dass seine Technik Arbeit überflüssig macht, hat ein Interesse daran, dass die Antwort darauf bereitliegt. Das entwertet die Studie nicht, sie ist ordentlich gemacht. Es gehört ins Bild.</w:t>
      </w:r>
    </w:p>
    <w:p>
      <w:pPr>
        <w:pStyle w:val="Fliesstext"/>
        <w:ind w:firstLine="283"/>
      </w:pPr>
      <w:r>
        <w:t xml:space="preserve">Das Design: 1.000 Personen erhielten drei Jahre lang 1.000 Dollar im Monat, eine Kontrollgruppe bekam 50 Dollar. Die Ergebnisse wurden im Juli 2024 veröffentlicht. Befund: mehr Handlungsspielraum. Mehr Unternehmensgründungen, mehr Bildung, mehr Vorsorge, mehr medizinische Versorgung. Und, der meistdiskutierte Punkt: Der Effekt auf die Arbeitszeit war </w:t>
      </w:r>
      <w:r>
        <w:rPr>
          <w:b/>
        </w:rPr>
        <w:t>gering</w:t>
      </w:r>
      <w:r>
        <w:t>, in der Größenordnung von etwa fünf Stunden Erwerbsarbeit weniger pro Monat.[9]</w:t>
      </w:r>
    </w:p>
    <w:p>
      <w:pPr>
        <w:pStyle w:val="Fliesstext"/>
        <w:ind w:firstLine="283"/>
      </w:pPr>
      <w:r>
        <w:t>Das ist ein bemerkenswertes Ergebnis, und es räumt mit einem Vorurteil auf, das ich selbst lange hatte. Wer Geld ohne Bedingung bekommt, hört nicht auf zu arbeiten. Er atmet durch. Fünf Stunden im Monat sind ein Nachmittag.</w:t>
      </w:r>
    </w:p>
    <w:p>
      <w:pPr>
        <w:pStyle w:val="Fliesstext"/>
        <w:ind w:firstLine="283"/>
      </w:pPr>
      <w:r>
        <w:t>Warum mich das überrascht hat, ist die unangenehmere Frage. Ich hatte, ohne es je geprüft zu haben, unterstellt, dass Menschen nur arbeiten, weil sie müssen.</w:t>
      </w:r>
    </w:p>
    <w:p>
      <w:pPr>
        <w:pStyle w:val="Fliesstext"/>
        <w:ind w:firstLine="283"/>
      </w:pPr>
      <w:r>
        <w:t xml:space="preserve">Bevor jemand daraus zu viel macht, die Grenzen. Drei Jahre sind nicht für immer; wer weiß, dass das Geld endet, plant anders als jemand mit dauerhafter Zusage. Tausend Menschen sind keine Gesellschaft; die Wirkung eines Grundeinkommens hängt daran, was passiert, wenn </w:t>
      </w:r>
      <w:r>
        <w:rPr>
          <w:i/>
        </w:rPr>
        <w:t>alle</w:t>
      </w:r>
      <w:r>
        <w:t xml:space="preserve"> es haben, und das misst kein Feldversuch. Das Geld kam von außen, nicht aus Steuern derselben Leute, die es bekommen; über Finanzierbarkeit sagt der Versuch damit nichts. Und dass der Zugewinn an medizinischer Versorgung so deutlich ausfällt, heißt in einem Land ohne allgemeine Krankenversicherung etwas anderes als hier. Das ist meine Einordnung, nicht die der Autoren.</w:t>
      </w:r>
    </w:p>
    <w:p>
      <w:pPr>
        <w:pStyle w:val="Fliesstext"/>
        <w:ind w:firstLine="283"/>
      </w:pPr>
      <w:r>
        <w:t>Jetzt meine Meinung, und ich markiere sie ausdrücklich als solche, weil sie quer zu beiden Lagern liegt.</w:t>
      </w:r>
    </w:p>
    <w:p>
      <w:pPr>
        <w:pStyle w:val="Fliesstext"/>
        <w:ind w:firstLine="283"/>
      </w:pPr>
      <w:r>
        <w:t xml:space="preserve">Ich halte die Studie für ein starkes Argument </w:t>
      </w:r>
      <w:r>
        <w:rPr>
          <w:b/>
        </w:rPr>
        <w:t>für</w:t>
      </w:r>
      <w:r>
        <w:t xml:space="preserve"> das Grundeinkommen — und für kein Argument </w:t>
      </w:r>
      <w:r>
        <w:rPr>
          <w:b/>
        </w:rPr>
        <w:t>aus der KI heraus</w:t>
      </w:r>
      <w:r>
        <w:t xml:space="preserve">. Diese beiden Dinge werden ständig verwechselt. Die übliche Kette lautet: KI vernichtet Arbeit, also brauchen wir ein Grundeinkommen. Das erste Glied dieser Kette ist aber nicht belegt, sondern Prognose. Daron Acemoglu, MIT, kommt in seiner Modellrechnung auf höchstens 0,66 Prozent zusätzliche totale Faktorproduktivität über zehn Jahre, ein bescheidener Effekt.[10] Das Weltwirtschaftsforum erwartet bis 2030 netto ein Plus von 78 Millionen Stellen bei 170 Millionen neuen und 92 Millionen wegfallenden.[11] Das IAB findet für Deutschland, dass die Beschäftigung in stark KI-exponierten Berufen zuletzt </w:t>
      </w:r>
      <w:r>
        <w:rPr>
          <w:i/>
        </w:rPr>
        <w:t>stärker</w:t>
      </w:r>
      <w:r>
        <w:t xml:space="preserve"> gewachsen ist als in wenig exponierten.[12] Wer auf dieser Datenlage die Massenarbeitslosigkeit ausruft, um daraus eine Sozialreform abzuleiten, argumentiert nicht empirisch, sondern rhetorisch.</w:t>
      </w:r>
    </w:p>
    <w:p>
      <w:pPr>
        <w:pStyle w:val="Fliesstext"/>
        <w:ind w:firstLine="283"/>
      </w:pPr>
      <w:r>
        <w:t>Und ich finde das aus einem zweiten Grund unklug, der eher taktisch ist: Wenn du dein sozialpolitisches Projekt an eine Prognose bindest, dann geht es mit der Prognose unter. Sollte sich in fünf Jahren zeigen, dass die Beschäftigung stabil bleibt, ist das Grundeinkommen mit erledigt — obwohl seine besten Argumente nie etwas mit KI zu tun hatten. Armut ist ein Argument. Krankheit ist eins. Pflege ist eins. Die Willkür von Bedürftigkeitsprüfungen ist eins. Diese Argumente galten 2015 und gelten 2035, ganz gleich, was die Modelle bis dahin können.</w:t>
      </w:r>
    </w:p>
    <w:p>
      <w:pPr>
        <w:pStyle w:val="Fliesstext"/>
        <w:ind w:firstLine="283"/>
      </w:pPr>
      <w:r>
        <w:t>Etwas fehlt mir in dieser Debatte fast immer. Ein Grundeinkommen beantwortet die Frage nach dem Geld, nicht die nach der Aufgabe. Die Kollegin, von der gleich die Rede ist, hat nicht gefragt, wovon sie leben soll. Sie hat gefragt, was sie jetzt macht. Wer Menschen aus einer Tätigkeit herausautomatisiert und ihnen dafür Geld überweist, hat eine Hälfte des Problems gelöst und die andere nicht bemerkt. Auch das ist meine Meinung, und sie stammt nicht aus einer Studie, sondern aus Besprechungsräumen.</w:t>
      </w:r>
    </w:p>
    <w:p>
      <w:pPr>
        <w:pStyle w:val="Fliesstext"/>
        <w:ind w:firstLine="283"/>
      </w:pPr>
      <w:r>
        <w:t>Was ich stattdessen für dringlicher halte, ganz persönlich: nicht Geld für die, die nichts mehr zu tun haben, sondern Zeit und Zugang für die, die sich verschieben müssen. Bezahlte Weiterbildung während der Arbeitszeit statt abends nach Feierabend. Die OECD-Erhebungen zeigen eine spürbare Lohnprämie für KI-Kompetenzen[13] — das heißt im Klartext, dass der Markt diese Fähigkeiten bereits belohnt und dass es sich lohnt, sie Leuten beizubringen, die sie sich sonst nicht holen. Das ist unspektakulärer als ein Grundeinkommen und, wie ich glaube, wirksamer.</w:t>
      </w:r>
    </w:p>
    <w:p>
      <w:pPr>
        <w:pStyle w:val="Zwischen"/>
      </w:pPr>
      <w:r>
        <w:t>Und was macht die Kollegin jetzt?</w:t>
      </w:r>
    </w:p>
    <w:p>
      <w:pPr>
        <w:pStyle w:val="Fliesstext"/>
      </w:pPr>
      <w:r>
        <w:t>Ich habe dir in der Einleitung von meinem ersten Bot erzählt und von der Kollegin, die zwei Sätze sagte: „Gott sei Dank." Und dann, leiser: „Und was mache ich jetzt?"</w:t>
      </w:r>
    </w:p>
    <w:p>
      <w:pPr>
        <w:pStyle w:val="Fliesstext"/>
        <w:ind w:firstLine="283"/>
      </w:pPr>
      <w:r>
        <w:t>Die ehrliche Antwort auf ihre Frage habe ich damals nicht gehabt. Heute kenne ich sie, weil ich sie gesehen habe. Sie macht das, wofür vorher nie Zeit war. Sie kennt die Zahlen jetzt, statt sie nur zu übertragen. Das ist genau die Tätigkeitsverschiebung, über die ich als Student meine Facharbeit geschrieben habe, und in ihrem Fall ist sie gut ausgegangen.</w:t>
      </w:r>
    </w:p>
    <w:p>
      <w:pPr>
        <w:pStyle w:val="Fliesstext"/>
        <w:ind w:firstLine="283"/>
      </w:pPr>
      <w:r>
        <w:t>Aber ich will diesen Satz nicht als Beruhigungspille verkaufen, dafür ist er mir zu wichtig. Eine Tätigkeitsverschiebung ist kein Naturereignis, das dich sanft von A nach B trägt. Sie ist eine Zumutung. Man ist plötzlich wieder Anfänger in einem Alter, in dem man das nicht mehr sein wollte. Man verliert das Gefühl, gebraucht zu werden, für eine Weile ganz — und die Sinnfrage stellt sich nicht erst, wenn der Job weg ist, sondern schon dann, wenn der Teil des Jobs weg ist, auf den man stolz war. Wer jahrelang der Mensch war, der die Zahlen im Kopf hatte, ist nicht getröstet davon, dass er jetzt „strategischer arbeiten" darf.</w:t>
      </w:r>
    </w:p>
    <w:p>
      <w:pPr>
        <w:pStyle w:val="Fliesstext"/>
        <w:ind w:firstLine="283"/>
      </w:pPr>
      <w:r>
        <w:t>Und sie ging gut aus, weil die Kollegin einen Chef hatte, der Zeit gab, ein Team, das mitzog, und Mitte vierzig war statt Mitte fünfzig. Andere haben das nicht. Die Stanford-Zahlen zu den Berufseinsteigern[2] beschreiben die andere Seite derselben Verschiebung: Wenn die einfachen Fälle wegautomatisiert werden, verschwindet die Sprosse, auf der man früher gelernt hat. Man kann nicht mit den schweren Fällen anfangen. Wer die Einstiegsarbeit wegautomatisiert und sich dann über den Fachkräftemangel beschwert, hat den Zusammenhang nicht verstanden.</w:t>
      </w:r>
    </w:p>
    <w:p>
      <w:pPr>
        <w:pStyle w:val="Zwischen"/>
      </w:pPr>
      <w:r>
        <w:t>Warum ich das so sehe</w:t>
      </w:r>
    </w:p>
    <w:p>
      <w:pPr>
        <w:pStyle w:val="Fliesstext"/>
      </w:pPr>
      <w:r>
        <w:t>Bevor ich dir meine Positionen aufschreibe, schulde ich dir, woher sie kommen. Nicht als Lebenslauf, sondern als ein paar Bilder, die erklären, warum ich in diesem Punkt nicht neutral bin.</w:t>
      </w:r>
    </w:p>
    <w:p>
      <w:pPr>
        <w:pStyle w:val="Fliesstext"/>
        <w:ind w:firstLine="283"/>
      </w:pPr>
      <w:r>
        <w:t>Ich war sieben, als ich meine erste Internetseite gebaut habe. Was draufstand, weiß ich nicht mehr, und es ist auch egal, weil es niemand außer mir je gesehen hat. Woran ich mich erinnere, ist der Moment, in dem der Browser etwas anzeigte, das vorher nur in meinem Kopf existiert hatte. Zwischen dem, was ich getippt hatte, und dem, was da stand, lag nichts. Keine Firma, keine Genehmigung, kein Erwachsener, der es erlauben musste. Deshalb lässt mich das Wort „Ermächtigung" nicht kalt, obwohl es von allen Seiten kaputtgeredet wird.</w:t>
      </w:r>
    </w:p>
    <w:p>
      <w:pPr>
        <w:pStyle w:val="Fliesstext"/>
        <w:ind w:firstLine="283"/>
      </w:pPr>
      <w:r>
        <w:t>In der Schulzeit kamen die ersten kleinen Programme dazu, gebaut mit Visual Studio. Dann die Ausbildung zum Informatikkaufmann, und dort das, was rückblickend meine eigentliche Schule war: VBA und Access, die zwei unglamourösesten Werkzeuge, die die Bürowelt hervorgebracht hat. Damit habe ich zum ersten Mal etwas gebaut, das eine Arbeit erledigte, die vorher ich erledigt hatte. Und zum ersten Mal das Gefühl gehabt, das seither nicht mehr weggegangen ist: Ich schaue einer Maschine dabei zu, wie sie meine Aufgabe macht, und ich habe nichts verloren. Ich habe eine Stunde gewonnen und danach etwas anderes gemacht.</w:t>
      </w:r>
    </w:p>
    <w:p>
      <w:pPr>
        <w:pStyle w:val="Fliesstext"/>
        <w:ind w:firstLine="283"/>
      </w:pPr>
      <w:r>
        <w:t>Später kam die Chance, ein RPA-Team mitaufzubauen. Ich wurde Entwickler mit UiPath, und meine erste Automatisierung war ein Bot, der Stundenbuchungen zwischen zwei Systemen synchronisierte, die nicht miteinander reden konnten. Das ist so unspektakulär, wie es klingt, und es hat trotzdem einiges verändert. Zwei Dinge sind mir davon geblieben. Das eine ist die Reaktion der Kollegin, die dieses Buch anfängt. Das andere ist eine Frage, die ich damals nicht gestellt habe: ob es diese zwei Systeme überhaupt braucht. Ich habe eine Brücke gebaut, wo eine Abrissbirne die bessere Antwort gewesen wäre. Wenn ich heute in dem Besprechungsraum sitze, aus dem dieses Kapitel kommt, ist das die Frage, mit der ich anfange, und ich verdanke sie einem Fehler.</w:t>
      </w:r>
    </w:p>
    <w:p>
      <w:pPr>
        <w:pStyle w:val="Fliesstext"/>
        <w:ind w:firstLine="283"/>
      </w:pPr>
      <w:r>
        <w:t>Es war frühe RPA-Zeit, und viele waren skeptisch bis ängstlich. Ich habe das für Rückständigkeit gehalten. Das war jung und dumm. Diese Leute hatten besser verstanden als ich, dass die eigentliche Frage nicht die Technik ist, sondern was mit ihnen passieren soll, wenn die Technik da ist. Darauf hatte ich keine Antwort und tat so, als sei die Frage unangebracht.</w:t>
      </w:r>
    </w:p>
    <w:p>
      <w:pPr>
        <w:pStyle w:val="Fliesstext"/>
        <w:ind w:firstLine="283"/>
      </w:pPr>
      <w:r>
        <w:t>Parallel habe ich studiert und in einer Facharbeit die These vertreten, die dieses Buch trägt: Automatisierung nimmt nicht die Jobs, sie verschiebt die Tätigkeit, so wie fast immer in der Geschichte. Ich stehe zu dem Satz. Geschrieben habe ich ihn allerdings, ohne den Preis dieser Verschiebung je von nahem gesehen zu haben. Man kann als Student recht haben und trotzdem nicht wissen, wovon man redet.</w:t>
      </w:r>
    </w:p>
    <w:p>
      <w:pPr>
        <w:pStyle w:val="Fliesstext"/>
        <w:ind w:firstLine="283"/>
      </w:pPr>
      <w:r>
        <w:t>Heute führe ich ein Team, das andere Teams führt, und schreibe kaum noch produktiven Code. Ich sitze in den Räumen, in denen die zwei Entwürfe auf dem Tisch liegen. Wir arbeiten quer durch die Werkzeugkiste, regelbasiert wie KI-gestützt, je nachdem, was der Fall verlangt. Nichts hat mich so zuverlässig vor Technikbegeisterung geschützt wie die Verantwortung dafür, dass das Zeug hinterher auch läuft.</w:t>
      </w:r>
    </w:p>
    <w:p>
      <w:pPr>
        <w:pStyle w:val="Fliesstext"/>
        <w:ind w:firstLine="283"/>
      </w:pPr>
      <w:r>
        <w:t>Und abends baue ich mir kleine Programme. Nicht als Hobby, sondern weil ich sie brauche.</w:t>
      </w:r>
    </w:p>
    <w:p>
      <w:pPr>
        <w:pStyle w:val="Zwischen"/>
      </w:pPr>
      <w:r>
        <w:t>Was ich davon halte</w:t>
      </w:r>
    </w:p>
    <w:p>
      <w:pPr>
        <w:pStyle w:val="Fliesstext"/>
      </w:pPr>
      <w:r>
        <w:t>Und jetzt der Teil, in dem ich dir nichts belege, weil es nichts zu belegen gibt. Das sind meine Positionen, aus dem abgeleitet, was du gerade gelesen hast, und du darfst sie ablehnen.</w:t>
      </w:r>
    </w:p>
    <w:p>
      <w:pPr>
        <w:pStyle w:val="Fliesstext"/>
        <w:ind w:firstLine="283"/>
      </w:pPr>
      <w:r>
        <w:rPr>
          <w:b/>
        </w:rPr>
        <w:t>Erstens: Wer Technik lernt, verschafft sich Handlungsspielraum, und das ist heute leichter als je zuvor.</w:t>
      </w:r>
      <w:r>
        <w:t xml:space="preserve"> Ein Werkzeug, das mir Berichte zusammenzieht, eines, das mir Termine sortiert, eines, das eine Datei umformt, die sonst niemand umformen will. Früher hätte ich dafür entweder wochenlang programmiert oder eine Standardsoftware gekauft, die 80 Prozent von dem kann, was ich brauche, und dafür jeden Monat Geld nimmt. Heute sage ich einem Werkzeug wie Claude Code, was ich will, und nach einer Stunde läuft ein Ding, das genau auf mich zugeschnitten ist und keinem Anbieter gehört.</w:t>
      </w:r>
    </w:p>
    <w:p>
      <w:pPr>
        <w:pStyle w:val="Fliesstext"/>
        <w:ind w:firstLine="283"/>
      </w:pPr>
      <w:r>
        <w:t>Diese Programme sind hässlich. Keine Oberfläche, kein Login, keine Einstellungen, und außer mir könnte sie niemand bedienen, weil sie meine Ordnerstruktur voraussetzen und meine Marotten. Das ist kein Mangel, das ist der Punkt. Massenmarktsoftware muss für hunderttausend Leute passen und passt deshalb für keinen richtig. Was ich abends baue, muss für genau einen Menschen passen. Und wenn es nicht mehr gebraucht wird, werfe ich es weg, ohne zu kündigen.</w:t>
      </w:r>
    </w:p>
    <w:p>
      <w:pPr>
        <w:pStyle w:val="Fliesstext"/>
        <w:ind w:firstLine="283"/>
      </w:pPr>
      <w:r>
        <w:t>Das ist für mich keine Spielerei. Das ist Ermächtigung im wörtlichen Sinn: Ich kann etwas, was ich vorher nur kaufen konnte. Und genau deshalb ärgert mich das Framing „KI nimmt uns was weg" so. Für Leute mit Startvorteil ändert KI wenig; die hatten immer schon Zugang zu Entwicklern, Beratern, Werkzeugen. Für Leute ohne Startvorteil senkt sie die Einstiegshürde in einer Größenordnung, die ich in zwanzig Jahren Berufsleben nicht gesehen habe. Der Kundendienst-Befund passt dazu: Es waren die Unerfahrenen, die am meisten zulegten.[3] Das ist die Nachricht, die niemand auf dem Titel hat.</w:t>
      </w:r>
    </w:p>
    <w:p>
      <w:pPr>
        <w:pStyle w:val="Fliesstext"/>
        <w:ind w:firstLine="283"/>
      </w:pPr>
      <w:r>
        <w:rPr>
          <w:b/>
        </w:rPr>
        <w:t>Zweitens, und das ist der Satz, mit dem ich mich am meisten exponiere: Jeder ist seines Glückes Schmied.</w:t>
      </w:r>
    </w:p>
    <w:p>
      <w:pPr>
        <w:pStyle w:val="Fliesstext"/>
        <w:ind w:firstLine="283"/>
      </w:pPr>
      <w:r>
        <w:t>Mein Großvater kam als Gastarbeiter nach Deutschland. Mein Vater wurde mit vierzehn nachgeholt, ohne ein Wort Deutsch, und machte eine Ausbildung zum Schlosser. Später lernte er in einem Dorf in der Türkei meine Mutter kennen. Ich bin in Deutschland geboren, meine Mutter war damals siebzehn. Ein Kind, das ein Kind bekommt, fern von der eigenen Familie, in einer Sprache, die ihr auch nach fünfunddreißig Jahren noch schwerfällt.</w:t>
      </w:r>
    </w:p>
    <w:p>
      <w:pPr>
        <w:pStyle w:val="Fliesstext"/>
        <w:ind w:firstLine="283"/>
      </w:pPr>
      <w:r>
        <w:t>Ich erzähle das nicht, um einen Aufstieg zu behaupten. Mein Großvater ist gegangen, um die Chancen seiner Kinder zu verändern, und das ist der Satz vom eigenen Glück in seiner härtesten Fassung. Gleichzeitig zeigt dieselbe Geschichte, wie schwer die Umstände wiegen. Beides ist wahr, und wer nur eine Hälfte erzählt, erzählt eine Werbebroschüre.</w:t>
      </w:r>
    </w:p>
    <w:p>
      <w:pPr>
        <w:pStyle w:val="Fliesstext"/>
        <w:ind w:firstLine="283"/>
      </w:pPr>
      <w:r>
        <w:t>Ich habe als Jugendlicher gern Ausreden gesucht und dabei auch mal die Herkunft bemüht. Einen Mentor hatte ich nicht, niemanden, der mir gesagt hätte, dass das, was ich abends am Rechner mache, etwas wert ist. Rückblickend hat mir nicht das Fehlen der Gelegenheit geschadet, sondern die Überzeugung, dass es keine gäbe. Der Unterschied ist entscheidend und lässt sich von außen kaum erkennen: Die eine Sache ist eine Tür, die zu ist. Die andere ist eine Tür, die man nicht aufmacht, weil man sich sicher ist, dass sie zu wäre.</w:t>
      </w:r>
    </w:p>
    <w:p>
      <w:pPr>
        <w:pStyle w:val="Fliesstext"/>
        <w:ind w:firstLine="283"/>
      </w:pPr>
      <w:r>
        <w:t>Meine Frau und ich arbeiten ehrenamtlich mit Jugendlichen. Was ich denen zur KI sage, ist im Kern immer dasselbe, und es ist ausdrücklich kein pädagogisches Fachurteil, sondern das, was ich an ihrer Stelle hätte hören wollen.</w:t>
      </w:r>
    </w:p>
    <w:p>
      <w:pPr>
        <w:pStyle w:val="Fliesstext"/>
        <w:ind w:firstLine="283"/>
      </w:pPr>
      <w:r>
        <w:t>Nicht: „Lern Programmieren, dann hast du einen sicheren Job." Das wäre gelogen, und außerdem weiß ich nicht, welche Jobs in zehn Jahren sicher sind. Sondern: Setz dich hin und bau etwas. Irgendetwas. Ein Werkzeug für dich, ein kleines Programm, eine Automatisierung für den Nebenjob deiner Mutter.</w:t>
      </w:r>
    </w:p>
    <w:p>
      <w:pPr>
        <w:pStyle w:val="Fliesstext"/>
        <w:ind w:firstLine="283"/>
      </w:pPr>
      <w:r>
        <w:t>Der häufigste Einwand kommt sofort und lautet, dass sie nicht programmieren können. Früher war das eine Auskunft über die nächsten zwei Jahre. Heute ist es eine Auskunft über den nächsten Nachmittag. Man muss inzwischen nicht mehr wissen, wie man eine Schleife schreibt, um etwas zu bauen, das läuft. Man muss beschreiben können, was man will, merken, wenn es das nicht tut, und den Willen haben, es dreimal umzubauen. Das dritte Ding ist das schwierige, und es hat mit Technik nichts zu tun.</w:t>
      </w:r>
    </w:p>
    <w:p>
      <w:pPr>
        <w:pStyle w:val="Fliesstext"/>
        <w:ind w:firstLine="283"/>
      </w:pPr>
      <w:r>
        <w:t>Das Erste, was dabei herauskommt, ist immer schlecht. Muss es auch. Es geht nicht darum, dass sie es können, sondern darum, dass sie merken, dass sie auf der Seite derer stehen können, die Dinge machen, und nicht auf der Seite derer, denen Dinge passieren. Wenn bei einem Sechzehnjährigen zum ersten Mal etwas läuft, das er sich ausgedacht hat, ist das derselbe Moment wie meiner mit sieben — nur an einem Abend erreichbar statt nach Monaten. Der Unterschied zwischen diesen beiden Seiten ist kleiner geworden, als er je war, und die meisten wissen es nicht.</w:t>
      </w:r>
    </w:p>
    <w:p>
      <w:pPr>
        <w:pStyle w:val="Fliesstext"/>
        <w:ind w:firstLine="283"/>
      </w:pPr>
      <w:r>
        <w:rPr>
          <w:b/>
        </w:rPr>
        <w:t>Drittens, gegen „früher war alles besser".</w:t>
      </w:r>
      <w:r>
        <w:t xml:space="preserve"> In der Einleitung habe ich es schon angetippt: Wer dem Fortschritt grundsätzlich misstraut, müsste konsequenterweise mit dem Kamel zur Arbeit reiten. Ich will das hier schärfer fassen, weil der Spruch sonst zu billig ist.</w:t>
      </w:r>
    </w:p>
    <w:p>
      <w:pPr>
        <w:pStyle w:val="Fliesstext"/>
        <w:ind w:firstLine="283"/>
      </w:pPr>
      <w:r>
        <w:t>Es gibt keine Technikverweigerer. Es gibt nur Leute, die bei einer bestimmten Technik aufgehört haben. Jeder hat eine Linie, und die Linie liegt fast immer da, wo die eigene Jugend endete. Alles davor ist Zivilisation, alles danach ist Verfall. Das ist keine Haltung, das ist ein Geburtsdatum. Und es ist völlig in Ordnung, eine Technik nicht zu wollen — ich will auch nicht jede. Nur soll man es dann Vorliebe nennen und nicht Prinzip. Wer sagt „ich nutze das nicht, ich mag es nicht", mit dem kann ich reden. Wer sagt „ich nutze das nicht, weil es den Menschen zerstört", der soll bitte erklären, warum er dieselbe Diagnose bei Schrift, Buchdruck, Eisenbahn, Telefon und Taschenrechner heute albern findet. Diese Auskunft habe ich noch nie bekommen.</w:t>
      </w:r>
    </w:p>
    <w:p>
      <w:pPr>
        <w:pStyle w:val="Zwischen"/>
      </w:pPr>
      <w:r>
        <w:t>Wo mein eigener Satz an seine Grenze kommt</w:t>
      </w:r>
    </w:p>
    <w:p>
      <w:pPr>
        <w:pStyle w:val="Fliesstext"/>
      </w:pPr>
      <w:r>
        <w:t>So, und jetzt muss ich mich selbst einholen, sonst wird das hier ein Motivationsvortrag, und die kann ich nicht leiden.</w:t>
      </w:r>
    </w:p>
    <w:p>
      <w:pPr>
        <w:pStyle w:val="Fliesstext"/>
        <w:ind w:firstLine="283"/>
      </w:pPr>
      <w:r>
        <w:t xml:space="preserve">„Jeder ist seines Glückes Schmied" ist ein Satz, den man </w:t>
      </w:r>
      <w:r>
        <w:rPr>
          <w:b/>
        </w:rPr>
        <w:t>sich selbst</w:t>
      </w:r>
      <w:r>
        <w:t xml:space="preserve"> sagt. Er ist nützlich, wenn man ihn nach innen richtet, und er wird zur Unverschämtheit, sobald man ihn nach außen richtet. Ich sage ihn mir. Ich sage ihn den Jugendlichen, die ich begleite, weil sie am Anfang stehen und weil es ihnen hilft. Ich sage ihn nicht der Sechsundfünfzigjährigen, deren Sachbearbeitung gerade wegfällt, die pflegt nebenbei ihre Mutter, und deren Arbeitgeber Weiterbildung nur außerhalb der Arbeitszeit erlaubt.</w:t>
      </w:r>
    </w:p>
    <w:p>
      <w:pPr>
        <w:pStyle w:val="Fliesstext"/>
        <w:ind w:firstLine="283"/>
      </w:pPr>
      <w:r>
        <w:t>Denn alles, was ich in diesem Kapitel über Ermächtigung geschrieben habe, hat drei stille Voraussetzungen: Zugang, Zeit und Bildung.</w:t>
      </w:r>
    </w:p>
    <w:p>
      <w:pPr>
        <w:pStyle w:val="Fliesstext"/>
        <w:ind w:firstLine="283"/>
      </w:pPr>
      <w:r>
        <w:t>Zugang klingt nach einer erledigten Sache, weil fast jeder ein Handy hat. Ist es nicht. Die Werkzeuge, mit denen man wirklich etwas bauen kann, laufen auf einem Rechner, brauchen eine stabile Verbindung und taugen in der kostenlosen Version oft gerade so weit, dass man den Unterschied ahnt. Zwanzig Euro im Monat sind für die einen ein Rundungsfehler und für die anderen eine Entscheidung gegen etwas anderes.</w:t>
      </w:r>
    </w:p>
    <w:p>
      <w:pPr>
        <w:pStyle w:val="Fliesstext"/>
        <w:ind w:firstLine="283"/>
      </w:pPr>
      <w:r>
        <w:t>Zeit ist die Voraussetzung, über die am seltensten geredet wird, und die härteste. Den Abend, an dem ich mir ein Programm baue, hat nicht jeder. Wer im Schichtdienst arbeitet, zwei Jobs hat, Kinder ins Bett bringt oder ein Elternteil pflegt, hat abends keine zusammenhängende Stunde, und in Bruchstücken von zehn Minuten lernt man das nicht. Weiterbildung außerhalb der Arbeitszeit ist deshalb keine neutrale Regel. Sie ist eine Auswahl, die so tut, als sei sie keine.</w:t>
      </w:r>
    </w:p>
    <w:p>
      <w:pPr>
        <w:pStyle w:val="Fliesstext"/>
        <w:ind w:firstLine="283"/>
      </w:pPr>
      <w:r>
        <w:t>Und Bildung, womit ich nicht Abschlüsse meine, sondern genug Vorwissen, um zu erkennen, wann die Maschine Unsinn erzählt. Ohne das ist das Werkzeug kein Hebel, sondern eine Falle, denn es klingt bei Unsinn genauso souverän wie bei der richtigen Antwort. Das nächste Kapitel handelt fast nur davon.</w:t>
      </w:r>
    </w:p>
    <w:p>
      <w:pPr>
        <w:pStyle w:val="Fliesstext"/>
        <w:ind w:firstLine="283"/>
      </w:pPr>
      <w:r>
        <w:t>Wer diese drei Dinge hat, für den ist KI der größte Hebel seiner Generation. Wer sie nicht hat, für den ist mein Ratschlag eine leere Empfehlung, und ich weigere mich, so zu tun, als wäre er das nicht. Das ist auch der Grund, warum ich Ermächtigung für eine gute Antwort und für eine unzureichende halte. Sie wirkt genau dort am besten, wo sie am wenigsten gebraucht wird.</w:t>
      </w:r>
    </w:p>
    <w:p>
      <w:pPr>
        <w:pStyle w:val="Fliesstext"/>
        <w:ind w:firstLine="283"/>
      </w:pPr>
      <w:r>
        <w:t>Die Zahlen zeigen dieses Gefälle bereits: 34 Prozent Exposition in reichen Ländern gegen 11 Prozent in armen[7], eine Lohnprämie für die, die die Kompetenz schon haben[13], und der IWF, der ausdrücklich vor wachsender Ungleichheit warnt[8]. Das ist die eigentliche Bruchstelle, und ihr ist das zwölfte Kapitel gewidmet. Ich habe dir versprochen, dir dort zu sagen, wovor ich wirklich Angst habe. Es ist nicht die Maschine. Es ist diese Schere.</w:t>
      </w:r>
    </w:p>
    <w:p>
      <w:pPr>
        <w:pStyle w:val="Zwischen"/>
      </w:pPr>
      <w:r>
        <w:t>Zurück in den Besprechungsraum</w:t>
      </w:r>
    </w:p>
    <w:p>
      <w:pPr>
        <w:pStyle w:val="Fliesstext"/>
      </w:pPr>
      <w:r>
        <w:t>Bleibt der Anfang. Die zwanzig Minuten, die zwei Entwürfe, die Zahl im Angebot.</w:t>
      </w:r>
    </w:p>
    <w:p>
      <w:pPr>
        <w:pStyle w:val="Fliesstext"/>
        <w:ind w:firstLine="283"/>
      </w:pPr>
      <w:r>
        <w:t>Wenn Brynjolfsson recht hat, und ich glaube, dass er es tut, dann ist die Zukunft der Arbeit keine Vorhersage, sondern eine Summe. Sie ist die Summe aus sehr vielen kleinen Entscheidungen, getroffen von Leuten wie mir, in Räumen ohne Fenster, unter Zeitdruck, anhand einer Zahl, die einen Teil der Wahrheit abbildet. Niemand von uns hat je das Gefühl, gerade über die Zukunft der Arbeit zu entscheiden. Wir entscheiden über ein Angebot.</w:t>
      </w:r>
    </w:p>
    <w:p>
      <w:pPr>
        <w:pStyle w:val="Fliesstext"/>
        <w:ind w:firstLine="283"/>
      </w:pPr>
      <w:r>
        <w:t>Deshalb finde ich die große Frage „Was macht die KI mit uns?" inzwischen weniger interessant als die kleine: Wer sitzt in diesen Räumen, und wonach entscheidet er?</w:t>
      </w:r>
    </w:p>
    <w:p>
      <w:pPr>
        <w:pStyle w:val="Fliesstext"/>
        <w:ind w:firstLine="283"/>
      </w:pPr>
      <w:r>
        <w:t>Was dabei hilft, ist ärgerlich unglamourös. Es ist die Fähigkeit, ein System so zu bauen und so zu benutzen, dass der Mensch daran wächst statt zu verschwinden — und zu erkennen, wann das Gegenteil passiert, auch wenn die Zahlen im Angebot etwas anderes sagen. Das kann man lernen. Es ist Handwerk, kein Schicksal.</w:t>
      </w:r>
    </w:p>
    <w:p>
      <w:pPr>
        <w:pStyle w:val="Fliesstext"/>
        <w:ind w:firstLine="283"/>
      </w:pPr>
      <w:r>
        <w:t>Und Handwerk kann man zeigen. Genau das mache ich im nächsten Kapitel.</w:t>
      </w:r>
    </w:p>
    <w:p>
      <w:r>
        <w:br w:type="page"/>
      </w:r>
    </w:p>
    <w:p>
      <w:pPr>
        <w:pStyle w:val="KapitelNummer"/>
      </w:pPr>
      <w:r>
        <w:rPr>
          <w:i/>
        </w:rPr>
        <w:t>Kapitel 11</w:t>
      </w:r>
    </w:p>
    <w:p>
      <w:pPr>
        <w:pStyle w:val="KapitelTitel"/>
      </w:pPr>
      <w:r>
        <w:t>Vertrauen ist eine Fähigkeit</w:t>
      </w:r>
    </w:p>
    <w:p>
      <w:pPr>
        <w:pStyle w:val="Fliesstext"/>
      </w:pPr>
      <w:r>
        <w:t>Nach einem Workshop, im Flur, halb schon im Mantel, fragte mich eine Kollegin: „Mal ehrlich, Emre. Vertraust du dem Zeug?"</w:t>
      </w:r>
    </w:p>
    <w:p>
      <w:pPr>
        <w:pStyle w:val="Fliesstext"/>
        <w:ind w:firstLine="283"/>
      </w:pPr>
      <w:r>
        <w:t>Ich habe damals irgendetwas Halbes geantwortet. Die ehrliche Antwort wäre eine Gegenfrage gewesen, und die klingt erst einmal pedantisch: Wofür?</w:t>
      </w:r>
    </w:p>
    <w:p>
      <w:pPr>
        <w:pStyle w:val="Fliesstext"/>
        <w:ind w:firstLine="283"/>
      </w:pPr>
      <w:r>
        <w:t>Denn so, wie sie gefragt hat, lässt sich die Frage nicht beantworten. Vertraust du deinem Auto? Vermutlich ja — für den Weg zur Arbeit, bei Tempo fünfzig, mit gültiger Plakette und der Inspektion vom Frühjahr. Mit denselben Reifen bei Glätte über die Landstraße zu jagen, würdest du trotzdem sein lassen. Das ist kein Widerspruch und keine Unentschlossenheit. Das ist ein differenziertes Urteil, und du fällst es jeden Tag, ohne darüber nachzudenken, weil du gelernt hast, es zu fällen. Autofahren ist eine Fähigkeit. Einschätzen, was das Auto kann, ist ein Teil davon.</w:t>
      </w:r>
    </w:p>
    <w:p>
      <w:pPr>
        <w:pStyle w:val="Fliesstext"/>
        <w:ind w:firstLine="283"/>
      </w:pPr>
      <w:r>
        <w:t>Genau so meine ich das mit dem Vertrauen in KI. Es ist keine Stimmung, die man hat oder nicht hat. Es ist auch nicht die Bereitschaft, sich irgendwem hinzugeben. Es ist eine Kompetenz, die aus lauter unspektakulären Teilurteilen besteht: dieses Werkzeug, diese Aufgabe, dieser Rahmen, dieses Risiko. Man kann sie lernen. Man kann sie üben. Und wie bei der Quellenkritik, die dir irgendwann jemand beigebracht hat — dass eine Pressemitteilung nicht die Studie ist, dass ein Wikipedia-Artikel ein Einstieg ist und kein Beleg —, wird sie mit der Zeit zur zweiten Natur.</w:t>
      </w:r>
    </w:p>
    <w:p>
      <w:pPr>
        <w:pStyle w:val="Fliesstext"/>
        <w:ind w:firstLine="283"/>
      </w:pPr>
      <w:r>
        <w:t>Im ersten Kapitel habe ich geschrieben: Angst ist ein Gefühl über etwas, das man nicht kennt. Skepsis ist ein Urteil über etwas, das man kennt. Der Satz hat einen dritten Teil, den ich damals unterschlagen habe. Vertrauen ist ein Urteil, das man begründen kann — und das man widerrufen kann, wenn sich die Begründung ändert. Dieses Kapitel ist der Versuch, dir das beizubringen, was ich mir in ein paar Jahren Automatisierungsprojekten zusammengesammelt habe. Es ist kein Programm mit Punkten zum Abhaken. Es sind Fragen, die ich mir mittlerweile reflexhaft stelle.</w:t>
      </w:r>
    </w:p>
    <w:p>
      <w:pPr>
        <w:pStyle w:val="Zwischen"/>
      </w:pPr>
      <w:r>
        <w:t>Die einzige Frage, die wirklich zählt</w:t>
      </w:r>
    </w:p>
    <w:p>
      <w:pPr>
        <w:pStyle w:val="Fliesstext"/>
      </w:pPr>
      <w:r>
        <w:t>Wenn mich jemand aus einem Fachbereich fragt, ob KI für seinen Prozess taugt, versuche ich, die Frage sofort umzubauen. Nicht „ist KI gut?", sondern: Was kostet hier ein Fehler, und wann merken wir ihn?</w:t>
      </w:r>
    </w:p>
    <w:p>
      <w:pPr>
        <w:pStyle w:val="Fliesstext"/>
        <w:ind w:firstLine="283"/>
      </w:pPr>
      <w:r>
        <w:t>Das klingt nüchtern bis langweilig. Es ist aber der eine Gedanke, der in meinem Beruf am meisten Ärger verhindert hat, und er ist erstaunlich gut auf den Privatgebrauch übertragbar.</w:t>
      </w:r>
    </w:p>
    <w:p>
      <w:pPr>
        <w:pStyle w:val="Fliesstext"/>
        <w:ind w:firstLine="283"/>
      </w:pPr>
      <w:r>
        <w:t>Nimm die eine Seite: Du lässt dir eine E-Mail entwerfen, die du nachher sowieso liest. Du sammelst Ideen für eine Präsentation und wirfst neun von zehn weg. Du lässt einen Absatz umformulieren, weil er dir zu steif ist. Du lässt dir erklären, was eine Fehlermeldung bedeutet, die du gleich selbst siehst. Du lässt dir ein kleines Werkzeug programmieren und startest es. In all diesen Fällen ist der Fehler billig — er kostet dich Sekunden — und er ist sofort sichtbar, weil du das Ergebnis unmittelbar beurteilen kannst. Bei Code sogar besonders brutal: Er läuft, oder er läuft nicht. Ich baue mir mittlerweile mit Claude Code eigene kleine Helfer für Dinge, die mich im Alltag nerven, statt für jede Kleinigkeit ein Abo abzuschließen. Das funktioniert nicht deshalb gut, weil das Modell keine Fehler macht. Es macht laufend welche. Es funktioniert, weil jeder Fehler binnen Sekunden auffliegt und mich nichts kostet außer einem weiteren Versuch.</w:t>
      </w:r>
    </w:p>
    <w:p>
      <w:pPr>
        <w:pStyle w:val="Fliesstext"/>
        <w:ind w:firstLine="283"/>
      </w:pPr>
      <w:r>
        <w:t>Jetzt die andere Seite. Eine Zahl in einem Reporting, die ins Management geht. Eine Vertragsklausel. Eine Aussage über Medikamente. Eine Vorauswahl von Bewerbungen. Hier ist der Fehler teuer, und, das ist der eigentlich gefährliche Teil, er ist unsichtbar. Eine falsche Zahl sieht genauso aus wie eine richtige. Eine erfundene Rechtsprechung liest sich exakt wie eine echte. Ein Modell, das systematisch die falschen Leute aussortiert, produziert keine Fehlermeldung, sondern eine Kandidatenliste, die vollkommen plausibel wirkt. Amazon hat ein experimentelles Rekrutierungswerkzeug wieder eingestellt, weil es Frauen benachteiligte; die Ursache war banal, es hatte auf zehn Jahren überwiegend männlicher Bewerbungen gelernt und wertete unter anderem Lebensläufe ab, in denen „women's" vorkam oder ein reines Frauen-College stand.[1] Niemand hatte diesen Fehler programmiert. Er war auch nirgends sichtbar. Er steckte in den Daten und sah von außen aus wie ein Urteil.</w:t>
      </w:r>
    </w:p>
    <w:p>
      <w:pPr>
        <w:pStyle w:val="Fliesstext"/>
        <w:ind w:firstLine="283"/>
      </w:pPr>
      <w:r>
        <w:t>Die Falle ist also nicht, dass Sprachmodelle Unsinn produzieren. Die Falle ist, dass der Unsinn genauso flüssig, selbstbewusst und ordentlich formatiert daherkommt wie das Richtige. Beim Taschenrechner konntest du dich darauf verlassen, dass die Rechnung stimmt, wenn du sie richtig eingegeben hast. Hier nicht. Was du bekommst, ist eine sehr gute Nachahmung einer richtigen Antwort, und ob sie eine ist, steht ihr nicht ins Gesicht geschrieben.</w:t>
      </w:r>
    </w:p>
    <w:p>
      <w:pPr>
        <w:pStyle w:val="Fliesstext"/>
        <w:ind w:firstLine="283"/>
      </w:pPr>
      <w:r>
        <w:t>Zwischen diesen beiden Enden liegt keine Linie, sondern eine Fläche, und die lohnt sich anzuschauen, weil fast alles, was du wirklich tust, irgendwo in der Mitte liegt. Zwei Achsen spannen sie auf. Die eine fragt, was ein Fehler kostet: ein paar Sekunden, einen verdorbenen Nachmittag, Geld, einen Ruf, im Extremfall eine Existenz. Die andere fragt, wann er auffliegt: sofort, beim nächsten Monatsabschluss, in der Betriebsprüfung in drei Jahren, nie. Vier Ecken, und jede verlangt etwas anderes von dir.</w:t>
      </w:r>
    </w:p>
    <w:p>
      <w:pPr>
        <w:pStyle w:val="Fliesstext"/>
        <w:ind w:firstLine="283"/>
      </w:pPr>
      <w:r>
        <w:t>Die erste, billig und sofort sichtbar, habe ich gerade beschrieben. Dort benutze ich das Werkzeug ohne schlechtes Gewissen, weil die Prüfung im Lesen schon enthalten ist und deshalb nichts kostet. Nur bei Code muss ich meinen eigenen brutalen Satz einschränken, und die Ausnahme ist die wichtige. „Läuft oder läuft nicht" gilt für abstürzende Programme, nicht für solche, die laufen und dabei still falsch rechnen. Ein Skript, das zwei Exporte zusammenführt und jede Zeile verwirft, in der ein Feld leer ist, wirft keine Fehlermeldung. Es liefert eine Tabelle. Eine schöne, plausible, kürzere Tabelle. Mir ist das passiert, und ich habe es nicht am Code gemerkt, sondern daran, dass eine Summe nicht zu einer Zahl passte, die ich aus ganz anderem Grund im Kopf hatte. Seitdem gilt: Ich brauche mindestens einen Fall, dessen Ergebnis ich unabhängig weiß, und den lasse ich jedes Mal mitlaufen.</w:t>
      </w:r>
    </w:p>
    <w:p>
      <w:pPr>
        <w:pStyle w:val="Fliesstext"/>
        <w:ind w:firstLine="283"/>
      </w:pPr>
      <w:r>
        <w:t>Die zweite Ecke ist teuer, aber sofort sichtbar, und damit beherrschbar. Eine Herzoperation ist teuer, wenn sie schiefgeht — aber sie geht nicht unbemerkt schief. Eine Änderung im Produktivsystem kann viel Schaden anrichten, und genau deshalb hat jemand Tests, eine Freigabe und einen Weg zurück gebaut. In dieser Ecke steckt der Aufwand, den Ingenieure seit hundert Jahren treiben, und er hat immer denselben Zweck: Sichtbarkeit kaufen. Wer dafür sorgt, dass Fehler sofort weh tun, hat aus einem Risiko einen Vorfall gemacht, und Vorfälle kann man bearbeiten.</w:t>
      </w:r>
    </w:p>
    <w:p>
      <w:pPr>
        <w:pStyle w:val="Fliesstext"/>
        <w:ind w:firstLine="283"/>
      </w:pPr>
      <w:r>
        <w:t>Die dritte Ecke ist die schleichende: billig im Einzelfall, aber unsichtbar. Du lässt dir einen Bericht zusammenfassen, den du nie im Original liest, eine Seite aus dem Norwegischen übersetzen, die Garzeit ausrechnen, den Weg beschreiben. Jeder dieser Fälle ist zu klein, um ihn zu prüfen; das ist keine Faulheit, sondern eine richtige Rechnung. Der Schaden liegt in der Menge. Nach hundert solchen Vorgängen hat sich dein Bild von einem Thema um ein paar Grad verschoben, und du hast keinen Kompass dafür. Was hilft, ist unspektakulär: ab und zu eine Stichprobe, nicht um diesen einen Fall aufzuklären, sondern um die eigene Fehlerquote überhaupt schätzen zu können. Ich halte etwa einmal im Monat eine Zusammenfassung gegen das Original. Manchmal ist sie tadellos. Manchmal fehlt genau der Satz, auf den es angekommen wäre.</w:t>
      </w:r>
    </w:p>
    <w:p>
      <w:pPr>
        <w:pStyle w:val="Fliesstext"/>
        <w:ind w:firstLine="283"/>
      </w:pPr>
      <w:r>
        <w:t>Die vierte Ecke ist teuer und unsichtbar zugleich. Dort gehört entweder eine Prüfinstanz davor, oder das Werkzeug hat dort nichts verloren. Weil sich dort die meisten Schäden sammeln, die ich beruflich gesehen habe, bekommt sie gleich einen eigenen Abschnitt.</w:t>
      </w:r>
    </w:p>
    <w:p>
      <w:pPr>
        <w:pStyle w:val="Fliesstext"/>
        <w:ind w:firstLine="283"/>
      </w:pPr>
      <w:r>
        <w:t>Zwei Dinge verzerren diese Fläche. Das erste ist die Stückzahl. Ein Fehler in einer einzelnen Anfrage ist ein Ärgernis; derselbe Fehlertyp in einem Bot, der viertausendmal im Monat läuft, ist eine Serie. Und Maschinenfehler verteilen sich anders als menschliche: Ein Mensch macht wechselnde Fehler, meistens wenn er müde ist, ein System denselben, zuverlässig, bei derselben Sorte Fall. Das ist die schlechte Nachricht und zugleich die gute, denn systematische Fehler findet man, wenn man nach einem Muster sucht statt nach Pech.</w:t>
      </w:r>
    </w:p>
    <w:p>
      <w:pPr>
        <w:pStyle w:val="Fliesstext"/>
        <w:ind w:firstLine="283"/>
      </w:pPr>
      <w:r>
        <w:t>Das zweite ist die Umkehrbarkeit. Ein Entwurf im Postausgang und dieselbe Mail beim Kunden sind nicht dasselbe Risiko, auch wenn der Text identisch ist; zwischen einem Vorschlag, den jemand bestätigt, und einer Buchung, die das System selbst auslöst, liegt eine Klickstrecke, und die entscheidet, ob ein Fehler eine Korrektur wird oder ein Storno mit Aktenvermerk.</w:t>
      </w:r>
    </w:p>
    <w:p>
      <w:pPr>
        <w:pStyle w:val="Fliesstext"/>
        <w:ind w:firstLine="283"/>
      </w:pPr>
      <w:r>
        <w:t>Bemerkenswerterweise sind die europäischen Gesetzgeber bei einer sehr ähnlichen Sortierung gelandet. Der EU AI Act stuft nach Risiko: Ein Teil der Anwendungen ist schlicht verboten, darunter Social Scoring durch Behörden, das ungezielte Absammeln von Gesichtsbildern und Emotionserkennung am Arbeitsplatz und in der Bildung; ein weiterer Teil gilt als Hochrisiko und bekommt strenge Auflagen; der große Rest bleibt weitgehend frei.[2] Man kann über einzelne Einordnungen streiten, und das wird auch getan. Aber die Grundlogik ist genau die, die ich dir hier vorschlage: Nicht die Technik wird bewertet, sondern der Einsatz.</w:t>
      </w:r>
    </w:p>
    <w:p>
      <w:pPr>
        <w:pStyle w:val="Fliesstext"/>
        <w:ind w:firstLine="283"/>
      </w:pPr>
      <w:r>
        <w:t>Woran erkennst du im Alltag, in welcher Ecke du bist? An zwei Fragen. Woran würde ich merken, dass das falsch ist? Fällt dir darauf keine Antwort ein, hast du kein Werkzeugproblem, sondern ein Prüfproblem. Und was passiert, wenn es ausfällt oder wenn ich es abschalten muss? Wenn es keine Rückfallebene gibt, ist der Prozess zu wichtig für ein Experiment.</w:t>
      </w:r>
    </w:p>
    <w:p>
      <w:pPr>
        <w:pStyle w:val="Zwischen"/>
      </w:pPr>
      <w:r>
        <w:t>Teuer und unsichtbar</w:t>
      </w:r>
    </w:p>
    <w:p>
      <w:pPr>
        <w:pStyle w:val="Fliesstext"/>
      </w:pPr>
      <w:r>
        <w:t>Nimm die Zahl im Reporting. Eine Kollegin hat einen Datenexport, zweitausend Zeilen, und lässt sich daraus eine Auswertung bauen. Ergebnis: ein Prozentwert. Der wandert auf eine Folie, die Folie in eine Vorlage, die Vorlage in eine Sitzung, in der eine Entscheidung fällt. An welcher Stelle dieser Kette hätte jemand gemerkt, dass die Zahl nicht stimmt? An keiner. Folien haben kein Prüfverfahren, sie haben ein Layout. Ich halte es deshalb mit einer Arbeitsteilung: Zahlen kommen aus dem System, das sie verantwortet. Erklären darf das Modell sie, erzeugen nicht.</w:t>
      </w:r>
    </w:p>
    <w:p>
      <w:pPr>
        <w:pStyle w:val="Fliesstext"/>
        <w:ind w:firstLine="283"/>
      </w:pPr>
      <w:r>
        <w:t>Der zweite Fall ist mir näher, als mir lieb ist. Meine Mutter lebt seit über fünfunddreißig Jahren hier und tut sich mit der Sprache immer noch schwer. Amtsbriefe waren in meiner Kindheit ein Familienereignis, und dass so ein Brief heute in zwei Sekunden verständlich wird, ist eine echte Erleichterung. Ich habe trotzdem eine Grenze: Wo eine Frist, ein Widerspruch oder ein Betrag drinsteht, lese ich selbst oder rufe an. Nicht, weil die Übersetzung meistens falsch wäre, sie ist meistens gut. Sondern weil ich es nicht merken würde, wenn sie es nicht ist, und weil dieser Fehler nicht auffliegt, sondern verfällt. Fristen sind der Prototyp des teuren, unsichtbaren Fehlers: Du erfährst vom Problem, wenn es nicht mehr zu lösen ist.</w:t>
      </w:r>
    </w:p>
    <w:p>
      <w:pPr>
        <w:pStyle w:val="Fliesstext"/>
        <w:ind w:firstLine="283"/>
      </w:pPr>
      <w:r>
        <w:t>Bei der Gesundheit wird die Grenze oft falsch gezogen. Sie heißt nicht „frag nie" — sich einen Befund erklären zu lassen, den man schon hat, oder sich vor einem Termin fünf vernünftige Fragen zurechtzulegen, halte ich für eine der besseren Anwendungen überhaupt. Sie liegt zwischen erklären lassen und entscheiden lassen. Wer sich einen Laborwert übersetzen lässt, bleibt in der prüfbaren Ecke, weil beim nächsten Termin jemand sitzt, der es besser weiß. Wer sich aufgrund einer Auskunft gegen den Termin entscheidet, merkt nichts, denn ein ausgefallener Termin produziert kein Ereignis.</w:t>
      </w:r>
    </w:p>
    <w:p>
      <w:pPr>
        <w:pStyle w:val="Fliesstext"/>
        <w:ind w:firstLine="283"/>
      </w:pPr>
      <w:r>
        <w:t>Der vierte Fall ist der mit den Menschen darin: Vorauswahl von Bewerbungen, Zuteilung von Leistungen, Priorisierung von Kunden. Amazon steht oben, aber der Punkt reicht weiter als bis zu dem einen Werkzeug. Buolamwini und Gebru prüften 2018 drei kommerzielle Systeme zur Geschlechtsklassifikation aus Gesichtern; bei hellhäutigen Männern lag die Fehlerrate bei 0,8 Prozent, bei dunkelhäutigen Frauen bei bis zu 34,7 Prozent.[16] Über alle Gruppen gemittelt hätte man ein Werkzeug mit ordentlicher Trefferquote gesehen. Der Durchschnitt ist die zuverlässigste Art, ein Problem zu verstecken. Daraus folgt eine Frage, die in jede Abnahme gehört und fast nie gestellt wird: Für wen ist dieses System schlechter als im Mittel, und wer hat nachgesehen?</w:t>
      </w:r>
    </w:p>
    <w:p>
      <w:pPr>
        <w:pStyle w:val="Fliesstext"/>
        <w:ind w:firstLine="283"/>
      </w:pPr>
      <w:r>
        <w:t>Und dann der Fall, der so harmlos aussieht, dass ich ihn am häufigsten sehe. Eine E-Mail-Kette, zwanzig Nachrichten, zwei Anhänge, und du lässt dir zusammenfassen, worum es geht, um dann zu antworten. Der typische Fehler einer Zusammenfassung ist nicht die falsche Aussage, sondern die fehlende. Ein falscher Satz fällt auf, weil er sich an etwas reibt, das du weißt; ein fehlender reibt sich an gar nichts. Der Halbsatz, in dem jemand einen Vorbehalt gemacht hat, ist nicht drin, und du antwortest, als hätte es ihn nie gegeben. Ich lasse mir deshalb nichts zusammenfassen, was ich anschließend verantworten muss.</w:t>
      </w:r>
    </w:p>
    <w:p>
      <w:pPr>
        <w:pStyle w:val="Fliesstext"/>
        <w:ind w:firstLine="283"/>
      </w:pPr>
      <w:r>
        <w:t>In dieser Ecke gibt es zwei ehrliche Antworten: eine Prüfung davor, die diesen Namen verdient, oder es lassen. Es gibt auch eine dritte, unehrliche — es trotzdem machen und hoffen. Die funktioniert erstaunlich lange, und das ist ihr Problem.</w:t>
      </w:r>
    </w:p>
    <w:p>
      <w:pPr>
        <w:pStyle w:val="Zwischen"/>
      </w:pPr>
      <w:r>
        <w:t>Prüfen, ohne paranoid zu werden</w:t>
      </w:r>
    </w:p>
    <w:p>
      <w:pPr>
        <w:pStyle w:val="Fliesstext"/>
      </w:pPr>
      <w:r>
        <w:t>Dass Sprachmodelle Dinge erfinden, ist keine Kinderkrankheit, die man wegpatcht. Es ist eine dokumentierte Grenze des Ansatzes, und zu den Kritikern, die früh darauf hingewiesen haben, dass reines Vergrößern der Modelle dieses Problem nicht löst, gehört Gary Marcus.[3] Man muss seine weiterreichenden Thesen nicht teilen, um bei der Beobachtung mitzugehen: Ein System, das gelernt hat, plausible Fortsetzungen zu erzeugen, erzeugt auch dann plausible Fortsetzungen, wenn es nichts weiß.</w:t>
      </w:r>
    </w:p>
    <w:p>
      <w:pPr>
        <w:pStyle w:val="Fliesstext"/>
        <w:ind w:firstLine="283"/>
      </w:pPr>
      <w:r>
        <w:t>Daraus folgt eine Regel, die ich ohne Ausnahme anwende und dir ohne Ausnahme empfehle: Bei Fakten, Zahlen, Namen, Jahreszahlen und Zitaten gehst du zur Quelle. Nicht „klingt richtig". Nicht „hat drei Quellen genannt". Du öffnest sie.</w:t>
      </w:r>
    </w:p>
    <w:p>
      <w:pPr>
        <w:pStyle w:val="Fliesstext"/>
        <w:ind w:firstLine="283"/>
      </w:pPr>
      <w:r>
        <w:t>Wenn du das eine Weile machst, merkst du, dass es drei Sorten von Ärger gibt, und die harmloseste ist die berühmteste. Sorte eins: Die Quelle existiert nicht. Titel, Autor, Jahr, Seitenzahl, alles tadellos formatiert, und es gibt sie einfach nicht — eine Minute Suche, dann weißt du Bescheid. Sorte zwei ist häufiger und gefährlicher: Die Quelle existiert, sagt aber etwas anderes, meistens etwas Engeres. Aus einem Befund an vierundfünfzig Personen im Labor wird „Studien zeigen", aus einer Modellrechnung eine Prognose. Niemand hat gelogen, es ist unterwegs nur eine Einschränkung verlorengegangen, und die war der ganze Inhalt. Sorte drei ist die feinste: Die Quelle existiert, sagt genau das, und ist trotzdem der falsche Beleg. Eine Pressemitteilung über eine Studie ist nicht die Studie, und ein Preprint ist kein Ergebnis, sondern ein Angebot zur Diskussion.</w:t>
      </w:r>
    </w:p>
    <w:p>
      <w:pPr>
        <w:pStyle w:val="Fliesstext"/>
        <w:ind w:firstLine="283"/>
      </w:pPr>
      <w:r>
        <w:t>Bei Zahlen prüfe ich vier Dinge fast automatisch. Was ist der Nenner — Prozent wovon? Aus welchem Jahr, und womit verglichen? Passt die Größenordnung zu etwas, das ich kenne? Und wer hat gezählt, in wessen Auftrag? Ein Beispiel, das in jeder Firma so ähnlich vorkommt: „Vierzig Prozent unserer Tickets sind Standardfälle." Schöne Zahl, Grundlage für ein Automatisierungsvorhaben. Vierzig Prozent von welchen Tickets — allen, oder denen aus dem einen Postfach, das ausgewertet wurde? Über welchen Zeitraum, und war der normal? Und wer hat entschieden, was ein Standardfall ist? Ich habe noch kein Projekt erlebt, in dem diese Rückfragen die Zahl unverändert gelassen hätten. Im Meeting greift man dafür übrigens besser nicht die Zahl an, sondern fragt nach der Herkunft. „Aus welchem Feld kommt das denn?" ist keine Unterstellung, und wenn die Antwort „das kann ich nachliefern" lautet, haben es alle gehört, ohne dass jemand vorgeführt wurde.</w:t>
      </w:r>
    </w:p>
    <w:p>
      <w:pPr>
        <w:pStyle w:val="Fliesstext"/>
        <w:ind w:firstLine="283"/>
      </w:pPr>
      <w:r>
        <w:t>Zitate haben ihre eigene Falle. Eines, das genau das sagt, was du gerade brauchst, und dabei klingt, wie du es formuliert hättest, ist verdächtig. Nicht falsch, aber verdächtig. Und selbst wenn der Wortlaut stimmt, kann der Kontext ihn umdrehen; die halbe Empörungsökonomie lebt davon.</w:t>
      </w:r>
    </w:p>
    <w:p>
      <w:pPr>
        <w:pStyle w:val="Fliesstext"/>
        <w:ind w:firstLine="283"/>
      </w:pPr>
      <w:r>
        <w:t>Bleibt die schwierigste Frage: Woran merkst du, dass eine Antwort plausibel klingt und trotzdem falsch ist, wenn du nicht jede Behauptung nachschlagen kannst? Ich habe darauf keine Methode, nur Warnsignale, und die gebe ich als Erfahrung weiter, nicht als Befund. Die Antwort ist glatter als der Sachverhalt — bei komplizierten Dingen ist Reibung ein Qualitätsmerkmal, und fehlt sie, fehlt etwas. Runde Zahlen ohne Fundstelle. Präzision an der falschen Stelle, also exaktes Datum und Seitenzahl, aber kein Wort dazu, wie belastbar der Befund ist. Und mein bestes Signal: Widersprich einmal. Ein Modell, das dir sofort zustimmt, obwohl du gerade Unsinn geschrieben hast, hat dir vorgeführt, was seine Zustimmung wert ist.</w:t>
      </w:r>
    </w:p>
    <w:p>
      <w:pPr>
        <w:pStyle w:val="Fliesstext"/>
        <w:ind w:firstLine="283"/>
      </w:pPr>
      <w:r>
        <w:t>Dazu kommen zwei Handgriffe. Die Konsistenzprobe: dieselbe Frage anders formuliert, in einem neuen Chat, ohne Vorgeschichte — weichen die Antworten in der Substanz ab, ist keine von beiden ein Beleg. Und die Fangfrage: Ich frage gelegentlich nach etwas, das es nicht gibt, einer Studie, die ich mir gerade ausgedacht habe. Was dann passiert, sagt mir mehr über den Zustand meines Werkzeugs als jede Ankündigung des Anbieters. Lass dir außerdem die Gegenposition geben, ausdrücklich und in derselben Ausführlichkeit; nichts bringt eine dünne Antwort schneller ins Wanken.</w:t>
      </w:r>
    </w:p>
    <w:p>
      <w:pPr>
        <w:pStyle w:val="Fliesstext"/>
        <w:ind w:firstLine="283"/>
      </w:pPr>
      <w:r>
        <w:t xml:space="preserve">Und jetzt der Teil, den die Produktivitätsversprechen gern unterschlagen: Prüfen kostet. Manchmal kostet es fast nichts — Tests laufen lassen, eine Übersetzung in einer Sprache lesen, die du kannst, eine Zusammenfassung gegen ein Dokument halten, das vor dir liegt. Manchmal kostet es fast so viel wie die Arbeit selbst, und dann ist der Gewinn weg. Ein randomisiertes Experiment von METR ist dafür der beste Beleg, den ich kenne: Sechzehn erfahrene Open-Source-Entwickler arbeiteten mit KI-Werkzeugen an ihren eigenen, großen Repositories — und brauchten neunzehn Prozent </w:t>
      </w:r>
      <w:r>
        <w:rPr>
          <w:i/>
        </w:rPr>
        <w:t>länger</w:t>
      </w:r>
      <w:r>
        <w:t>, obwohl sie selbst glaubten, rund zwanzig Prozent schneller gewesen zu sein.[4] Kleine Stichprobe, ein Setting mit sehr vertrauten Codebasen, und METR hat später ergänzt, dass spätere Werkzeuggenerationen vermutlich stärker beschleunigen. Trotzdem: Die Selbsteinschätzung lag um fast vierzig Prozentpunkte daneben. Das ist die eigentliche Nachricht. Du bist kein verlässlicher Zeuge deiner eigenen Produktivität.</w:t>
      </w:r>
    </w:p>
    <w:p>
      <w:pPr>
        <w:pStyle w:val="Fliesstext"/>
        <w:ind w:firstLine="283"/>
      </w:pPr>
      <w:r>
        <w:t>Daneben steht ein Befund, der das Gegenteil zu sagen scheint. In einem kontrollierten Experiment, in dem Entwickler einen HTTP-Server in JavaScript bauen sollten, war die Gruppe mit GitHub Copilot rund 56 Prozent schneller, einundsiebzig gegen hundertsechzig Minuten — nicht begutachtetes Arbeitspapier, Laboraufgabe, das gehört dazugesagt.[17] Beides kann stimmen. Eine abgegrenzte, neue Aufgabe, deren Ergebnis man sofort testen kann, liegt in der billigen, sichtbaren Ecke; eine gewachsene Codebasis, die man seit Jahren kennt, liegt woanders. Keine widersprüchlichen Studien, sondern dieselbe Landkarte mit Messwerten.</w:t>
      </w:r>
    </w:p>
    <w:p>
      <w:pPr>
        <w:pStyle w:val="Fliesstext"/>
        <w:ind w:firstLine="283"/>
      </w:pPr>
      <w:r>
        <w:t>Meine persönliche Praxis, und das ist ausdrücklich Erfahrung und keine Studienlage: Ich lasse mir bevorzugt Dinge erklären, deren Ergebnis ich selbst beurteilen kann. Das klingt nach einer Einschränkung, ist aber der Trick, mit dem man Kompetenz aufbaut statt sie abzugeben. Wer sich nur das erklären lässt, was er nicht beurteilen kann, sammelt Behauptungen. Wer sich das erklären lässt, was knapp über seinem Niveau liegt, sammelt Verständnis — weil er die Erklärung anzweifeln, nachfragen und gegen das prüfen kann, was er schon weiß. So bin ich in Themen hineingekommen, in denen ich vorher nichts zu suchen hatte. Nicht, indem ich dem Modell geglaubt habe, sondern indem ich es so lange gelöchert habe, bis ich die Antwort selbst hätte geben können.</w:t>
      </w:r>
    </w:p>
    <w:p>
      <w:pPr>
        <w:pStyle w:val="Fliesstext"/>
        <w:ind w:firstLine="283"/>
      </w:pPr>
      <w:r>
        <w:t>Und frag nach, woher etwas kommt, statt es zu übernehmen. Ein Modell, das eine Behauptung nicht auf eine überprüfbare Fundstelle zurückführen kann, hat dir gerade gesagt, dass du selbst nachschauen musst. Ich habe für dieses Buch jede Zahl gegen die Originalquelle gehalten. Das sage ich nicht, um mir auf die Schulter zu klopfen, sondern weil dabei genau die Sorte-zwei-Fälle auftauchten: Belege, die es gab, die aber ein bisschen weniger sagten, als sie sollten.</w:t>
      </w:r>
    </w:p>
    <w:p>
      <w:pPr>
        <w:pStyle w:val="Zwischen"/>
      </w:pPr>
      <w:r>
        <w:t>Erst denken, dann fragen</w:t>
      </w:r>
    </w:p>
    <w:p>
      <w:pPr>
        <w:pStyle w:val="Fliesstext"/>
      </w:pPr>
      <w:r>
        <w:t>Im siebten Kapitel habe ich dir Zahlen gezeigt, die mir selbst nicht gefallen. Der Befund, an dem ich am meisten kaue, stammt aus einer Befragung von 319 Berufstätigen zu 936 realen Anwendungsfällen: Wer der KI mehr vertraut, denkt weniger kritisch mit; wer sich selbst mehr zutraut, denkt mehr mit.[5] Dazu die EEG-Studie aus dem MIT Media Lab, die beim Aufsatzschreiben die schwächste neuronale Vernetzung bei den Modellnutzern maß und dafür den Begriff „cognitive debt" prägte — kleine Stichprobe, Preprint, methodisch angegriffen, also nichts, worauf ich ein Weltbild baue.[6] Aber in dieselbe Richtung zeigen beide.</w:t>
      </w:r>
    </w:p>
    <w:p>
      <w:pPr>
        <w:pStyle w:val="Fliesstext"/>
        <w:ind w:firstLine="283"/>
      </w:pPr>
      <w:r>
        <w:t>Die praktische Konsequenz daraus ist unspektakulär und trotzdem schwer: erst selbst denken, dann die Maschine fragen. Nicht umgekehrt.</w:t>
      </w:r>
    </w:p>
    <w:p>
      <w:pPr>
        <w:pStyle w:val="Fliesstext"/>
        <w:ind w:firstLine="283"/>
      </w:pPr>
      <w:r>
        <w:t>Der Grund ist nicht Disziplin um der Disziplin willen. Wenn du zuerst fragst, wird die erste Antwort zu deinem Anker, und alles, was du danach denkst, ist eine Bearbeitung dieser Antwort. Wenn du dir vorher sechzig Sekunden nimmst und eine eigene, auch schlechte Position formulierst, hast du etwas, wogegen du das Ergebnis halten kannst. Der Unterschied zwischen diesen beiden Reihenfolgen ist größer als der Unterschied zwischen zwei Modellen. Bei mir sieht das banal aus: drei Stichworte auf einem Zettel, bevor ich das Fenster öffne. Der Zettel ist nicht gut. Er ist nur meiner, und das reicht.</w:t>
      </w:r>
    </w:p>
    <w:p>
      <w:pPr>
        <w:pStyle w:val="Fliesstext"/>
        <w:ind w:firstLine="283"/>
      </w:pPr>
      <w:r>
        <w:t>Und dann gibt es die Dinge, die du wirklich lernen willst. Dafür der Rückgriff auf Kapitel fünf: Die Meta-Analysen zum Taschenrechner fanden über die Klassenstufen hinweg überwiegend neutrale bis positive Effekte auf die Rechenleistung — mit einer Ausnahme in der vierten Klasse, also genau dort, wo die Grundfertigkeit selbst noch aufgebaut wurde.[7] Übersetzt: Das Werkzeug schadet nicht, wenn die Fähigkeit steht. Es kann schaden, wenn es sie ersetzt, bevor sie steht. Wer eine Sprache lernt, sollte den Übersetzer nicht am Anfang benutzen, sondern am Ende. Wer programmieren lernen will, sollte die ersten hundert Fehler selber suchen.</w:t>
      </w:r>
    </w:p>
    <w:p>
      <w:pPr>
        <w:pStyle w:val="Fliesstext"/>
        <w:ind w:firstLine="283"/>
      </w:pPr>
      <w:r>
        <w:t>Ich mache mir da nichts vor. Es gibt Handgriffe in meinem Beruf, die ich nicht mehr von Hand mache und auch nicht mehr von Hand machen will. Das ist ein bewusster Tausch, und ich habe im ersten Kapitel geschrieben, dass wir bei jeder dieser Wellen etwas verlieren. Der Unterschied, auf den es ankommt, ist der zwischen einer Fähigkeit, die du bewusst abgibst, und einer, die dir wegrutscht, ohne dass du es merkst. Meinen Test dafür verrate ich dir: Kannst du das Ergebnis verteidigen, wenn dich jemand im Meeting danach fragt? Wenn nein, hast du kein Ergebnis. Du hast einen Text.</w:t>
      </w:r>
    </w:p>
    <w:p>
      <w:pPr>
        <w:pStyle w:val="Zwischen"/>
      </w:pPr>
      <w:r>
        <w:t>Wer verbreitet das eigentlich?</w:t>
      </w:r>
    </w:p>
    <w:p>
      <w:pPr>
        <w:pStyle w:val="Fliesstext"/>
      </w:pPr>
      <w:r>
        <w:t>Im achten Kapitel steht der Befund, der die ganze Deepfake-Debatte vom Kopf auf die Füße stellt: In den Wahlkämpfen der Jahre 2024 und 2025 wurden „cheap fakes" — also einfache Manipulationen ohne KI, aus dem Zusammenhang gerissene alte Aufnahmen, irreführende Schnitte, falsche Bildunterschriften — deutlich häufiger eingesetzt als aufwendige KI-Generate.[8] Dokumentierte KI-Fälle gibt es sehr wohl: die gefälschten Biden-Robocalls, die in der Vorwahl in New Hampshire bis zu rund 25.000 Wähler erreichten; ein gefälschtes Audio eines Kandidaten zwei Tage vor der Wahl in der Slowakei; die 2024 annullierte Präsidentschaftswahl in Rumänien. Die kausale Wirkung auf Ergebnisse ist in den meisten Fällen nicht quantifiziert.</w:t>
      </w:r>
    </w:p>
    <w:p>
      <w:pPr>
        <w:pStyle w:val="Fliesstext"/>
        <w:ind w:firstLine="283"/>
      </w:pPr>
      <w:r>
        <w:t>Für dich heißt das: Auf Bildartefakte zu starren ist die schlechtere Investition. Sechs Finger und komische Ohren waren gestern, und die aufwendige Fälschung ist ohnehin die Ausnahme. Was sich lohnt, ist die Kontextprüfung, und die kostet dich zwei Minuten. Spiel sie an der Situation durch, in der sie vorkommt: In der Familiengruppe liegt ein Video, vierzig Sekunden, wackelig, jemand sagt etwas Ungeheuerliches, darunter drei Ausrufezeichen und die Aufforderung, das zu teilen, bevor es gelöscht wird. Der erste Reflex ist, das Bild zu untersuchen. Der zweite ist besser.</w:t>
      </w:r>
    </w:p>
    <w:p>
      <w:pPr>
        <w:pStyle w:val="Fliesstext"/>
        <w:ind w:firstLine="283"/>
      </w:pPr>
      <w:r>
        <w:t>Wer verbreitet das? Damit ist nicht deine Tante gemeint, sie hat es weitergeleitet. Gemeint ist das Konto, an dem es ursprünglich hängt: Wie alt ist es, was postet es sonst, verdient es Geld mit Reichweite? Wo taucht es zum ersten Mal auf? Ein Standbild in die Rückwärtssuche, und du siehst die früheste Fundstelle. Kursiert ein „aktuelles" Video seit 2019, ist die Sache erledigt, ohne dass du ein einziges Pixel angesehen hast. Was war der Anlass? Material taucht selten grundlos auf, und Timing ist ein Befund — zwei Tage vor einer Wahl, am Morgen einer Abstimmung. Was ist weggeschnitten? Bei den billigen Fälschungen liegt der Trick fast immer im Rahmen, nicht im Bild: Was passierte dreißig Sekunden davor, was danach, gibt es die ungeschnittene Aufnahme? Und berichtet außer diesem einen Kanal jemand darüber, der etwas zu verlieren hat, wenn er sich irrt?</w:t>
      </w:r>
    </w:p>
    <w:p>
      <w:pPr>
        <w:pStyle w:val="Fliesstext"/>
        <w:ind w:firstLine="283"/>
      </w:pPr>
      <w:r>
        <w:t>Warum das die bessere Investition ist: Das meiste Material, das dich erreicht, ist gar keine KI-Fälschung, sondern echtes Material im falschen Rahmen, und dagegen hilft kein Detektor. Artefakte veralten außerdem, während sich die Frage, wer etwas wann in Umlauf gebracht hat, nicht wegentwickeln lässt. Und die Kontextprüfung wirkt in beide Richtungen. In meinen Workshops erlebe ich es inzwischen häufiger, dass jemand ein echtes Foto für generiert erklärt, als dass jemand auf eine Fälschung hereinfällt. Das ist meine Beobachtung, keine Statistik, aber sie beunruhigt mich mehr als die andere Richtung. Wer alles für gefälscht hält, ist nicht kritisch, sondern nur nicht mehr ansprechbar.</w:t>
      </w:r>
    </w:p>
    <w:p>
      <w:pPr>
        <w:pStyle w:val="Fliesstext"/>
        <w:ind w:firstLine="283"/>
      </w:pPr>
      <w:r>
        <w:t>Auf Erkennungswerkzeuge würde ich mich dabei nicht verlassen. Der internationale KI-Sicherheitsbericht hält fest, dass technische Schutzmaßnahmen von Wasserzeichen bis zur Detektion von versierten Angreifern oft umgangen werden und ihre reale Wirksamkeit unsicher ist.[9] Die Filter kommen — Herkunftsnachweise, Kennzeichnungspflichten, und der EU AI Act bringt seine Transparenzregeln für KI-generierte Inhalte mit sich.[2] Aber wir sind mitten in dem Zustand, den ich im ersten Kapitel den Erasmus-Moment genannt habe: Die Register sind noch nicht geschrieben.</w:t>
      </w:r>
    </w:p>
    <w:p>
      <w:pPr>
        <w:pStyle w:val="Fliesstext"/>
        <w:ind w:firstLine="283"/>
      </w:pPr>
      <w:r>
        <w:t>Eine Sache hat sich dabei wirklich verschoben, und sie betrifft nicht die Politik, sondern deine Familie. Eine Stimme am Telefon ist kein Ausweis mehr. Der Enkeltrick brauchte früher eine schlechte Verbindung und einen Namen, den das Opfer selbst einwarf; die schlechte Verbindung braucht es heute nicht mehr. Die Gegenmaßnahme wirkt unabhängig davon, wie gut die Fälschung ist: ein Wort, das in der Familie abgemacht ist und nirgends steht, dazu die alte Regel, auf der Nummer zurückzurufen, die man kennt. Wir haben das bei uns besprochen, und ich empfehle es jedem, der ältere Angehörige hat.</w:t>
      </w:r>
    </w:p>
    <w:p>
      <w:pPr>
        <w:pStyle w:val="Fliesstext"/>
        <w:ind w:firstLine="283"/>
      </w:pPr>
      <w:r>
        <w:t>Das zuverlässigste Warnsignal ist übrigens kein technisches. Es ist das Gefühl, sofort teilen zu müssen. Inhalte, die genau die Wut auslösen, die dich zum Weiterleiten bringt, sind nicht deshalb falsch — aber sie sind so gebaut, dass sie an deiner Prüfung vorbeikommen. Die Pause ist das Werkzeug.</w:t>
      </w:r>
    </w:p>
    <w:p>
      <w:pPr>
        <w:pStyle w:val="Zwischen"/>
      </w:pPr>
      <w:r>
        <w:t>Was ich jungen Leuten mitgebe</w:t>
      </w:r>
    </w:p>
    <w:p>
      <w:pPr>
        <w:pStyle w:val="Fliesstext"/>
      </w:pPr>
      <w:r>
        <w:t>Meine Frau und ich sind ehrenamtlich im Jugendbereich engagiert, und ich mag die Rolle als Mentor sehr, wahrscheinlich weil ich in meiner eigenen Jugend keinen hatte und heute weiß, wie viel mir das erspart hätte. Ich bin kein Pädagoge, und was jetzt kommt, ist ausdrücklich kein Fachurteil. Es ist das, was ich sage, wenn mich ein Sechzehnjähriger fragt.</w:t>
      </w:r>
    </w:p>
    <w:p>
      <w:pPr>
        <w:pStyle w:val="Fliesstext"/>
        <w:ind w:firstLine="283"/>
      </w:pPr>
      <w:r>
        <w:t>Gefragt werde ich fast immer dasselbe: ob das jetzt Schummeln ist. Meine Antwort ist unbefriedigend und ehrlich — kommt drauf an, wofür. Dann stelle ich ihnen die Frage, mit der dieses Kapitel angefangen hat, weil sie in ihrer Welt genauso funktioniert wie in meiner. Was kostet ein Fehler, und wann merkst du ihn? Wenn du dir das Referat schreiben lässt, merkst du es in der mündlichen Nachfrage oder in der Klausur, also spät und teuer. Wenn du dir erklären lässt, warum dein Code nicht kompiliert, merkst du es in fünf Sekunden. Das ist keine Moral, sondern eine Rechnung, und mit Rechnungen kommen Jugendliche deutlich besser klar.</w:t>
      </w:r>
    </w:p>
    <w:p>
      <w:pPr>
        <w:pStyle w:val="Fliesstext"/>
        <w:ind w:firstLine="283"/>
      </w:pPr>
      <w:r>
        <w:t>Das Erste, was ich sage: Das Ding ist weder dein Freund noch dein Feind. Es ist ein Produkt, hinter dem ein Geschäftsmodell steht, und es ist darauf trainiert, dir zu gefallen. Das ist keine Verschwörung, das ist Produktentwicklung. Aber es heißt, dass Zustimmung von dort keine Bestätigung ist. Wenn du wissen willst, ob deine Idee etwas taugt, lass dir nicht sagen, dass sie gut ist — lass dir die drei besten Gründe geben, warum sie es nicht ist, und schau, ob du sie widerlegen kannst.</w:t>
      </w:r>
    </w:p>
    <w:p>
      <w:pPr>
        <w:pStyle w:val="Fliesstext"/>
        <w:ind w:firstLine="283"/>
      </w:pPr>
      <w:r>
        <w:t>Das Zweite: Benutz es nicht für das, was du gerade lernen sollst. Nicht nie. Später. Der Unterschied zwischen „ich habe die Hausaufgabe abgegeben" und „ich kann das jetzt" fällt dir in dem Moment nicht auf, in dem du ihn machst, und in der Klausur ist es zu spät. Den Gegenbefund muss ich erwähnen, sonst mache ich es mir zu leicht: Ein randomisierter Pilot der Weltbank in Nigeria, rund 800 Schülerinnen und Schüler, sechs Wochen Nachmittagsunterricht in Englisch mit einem Sprachmodell als Tutor, kam auf Lernzuwächse, die die Weltbank mit etwa zwei Jahren regulärer Schulbildung vergleicht — kleiner Umfang, kurze Dauer, offene Skalierbarkeit.[18] Das ist ernst zu nehmen und widerspricht meiner Regel weniger, als es aussieht. Dort war das Werkzeug ein Tutor, der erklärt, nachfragt und dasselbe geduldig zum vierten Mal sagt, kein Ersatz für den eigenen Versuch. Der Unterschied liegt nicht im Werkzeug, sondern in der Reihenfolge.</w:t>
      </w:r>
    </w:p>
    <w:p>
      <w:pPr>
        <w:pStyle w:val="Fliesstext"/>
        <w:ind w:firstLine="283"/>
      </w:pPr>
      <w:r>
        <w:t>Das Dritte, und das ist mir am wichtigsten: Was du eintippst, ist aus deiner Hand. Der Europäische Datenschutzausschuss hat 2024 festgehalten, dass ein KI-Modell nur dann als anonym gelten kann, wenn es sehr unwahrscheinlich ist, Personen daraus zu identifizieren oder personenbezogene Daten per Anfrage wieder herauszuholen — was im Einzelfall zu prüfen ist und keineswegs pauschal gilt.[10] Also: keine Namen von Freunden, keine Fotos von anderen, keine Sachen, die du in fünf Jahren nicht mehr im Netz haben willst. Zur Frage des Alters gibt es institutionelle Positionen; die UNESCO empfiehlt für die eigenständige Nutzung solcher Plattformen ein Mindestalter von dreizehn Jahren, während die DSGVO ihre Schwelle bei sechzehn ansetzt.[11] Ich zitiere das, statt eine eigene Zahl zu erfinden.</w:t>
      </w:r>
    </w:p>
    <w:p>
      <w:pPr>
        <w:pStyle w:val="Fliesstext"/>
        <w:ind w:firstLine="283"/>
      </w:pPr>
      <w:r>
        <w:t>Und dann sage ich noch etwas, das nichts mit Technik zu tun hat. Jeder ist seines Glückes Schmied. Das Werkzeug entscheidet nicht, wo du landest. Es beschleunigt nur den, der schon losgelaufen ist.</w:t>
      </w:r>
    </w:p>
    <w:p>
      <w:pPr>
        <w:pStyle w:val="Zwischen"/>
      </w:pPr>
      <w:r>
        <w:t>Wann Misstrauen richtig ist</w:t>
      </w:r>
    </w:p>
    <w:p>
      <w:pPr>
        <w:pStyle w:val="Fliesstext"/>
      </w:pPr>
      <w:r>
        <w:t>Misstrauen ist nicht das Gegenteil von Vertrauen. Beide sind Urteile, und beide sind Teil derselben Fähigkeit. Das Gegenteil von beidem ist Gleichgültigkeit — einfach zu benutzen, was da ist, und nicht wissen zu wollen, wie es funktioniert.</w:t>
      </w:r>
    </w:p>
    <w:p>
      <w:pPr>
        <w:pStyle w:val="Fliesstext"/>
        <w:ind w:firstLine="283"/>
      </w:pPr>
      <w:r>
        <w:t>Vier Situationen lassen mein Misstrauen sofort anspringen, und alle vier kommen aus dem Beruf.</w:t>
      </w:r>
    </w:p>
    <w:p>
      <w:pPr>
        <w:pStyle w:val="Fliesstext"/>
        <w:ind w:firstLine="283"/>
      </w:pPr>
      <w:r>
        <w:t>Wenn nicht klar ist, was mit den Daten passiert. Das ist keine theoretische Sorge: Die italienische Datenschutzbehörde verhängte im Dezember 2024 ein Bußgeld von 15 Millionen Euro gegen OpenAI, unter anderem wegen fehlender Rechtsgrundlage für die Verarbeitung personenbezogener Daten zum Training und wegen Verstößen gegen Transparenzpflichten; ein italienisches Gericht hob die Buße 2026 auf, aber aus Zuständigkeitsgründen, nicht weil die inhaltlichen Vorwürfe entkräftet worden wären.[12] Wenn ein Anbieter dir nicht in zwei Sätzen sagen kann, ob deine Eingaben zum Training verwendet werden, hast du deine Antwort.</w:t>
      </w:r>
    </w:p>
    <w:p>
      <w:pPr>
        <w:pStyle w:val="Fliesstext"/>
        <w:ind w:firstLine="283"/>
      </w:pPr>
      <w:r>
        <w:t>Wenn niemand haftet. Frag ruhig direkt, wer geradesteht, wenn das Ergebnis Schaden anrichtet. Lautet die Antwort, das System unterstütze ja nur und die Entscheidung liege beim Menschen, dann prüf, ob dieser Mensch die Entscheidung überhaupt prüfen kann — oder ob er nur der ist, der klickt. Wenn du das Ergebnis nicht prüfen kannst; dazu habe ich oben alles gesagt. Und wenn es keinen Ausschalter gibt: kein Rückfall auf den alten Prozess, keine Möglichkeit, das Ding zwei Wochen anzuhalten und trotzdem weiterzuarbeiten. Das ist das Kriterium, das in Projekten am häufigsten vergessen wird, und das teuerste.</w:t>
      </w:r>
    </w:p>
    <w:p>
      <w:pPr>
        <w:pStyle w:val="Fliesstext"/>
        <w:ind w:firstLine="283"/>
      </w:pPr>
      <w:r>
        <w:t>Was Misstrauen nicht heißt: Alles Schlimme, das behauptet wird, stimmt. Bei der Apple Card kursierte 2019 der Vorwurf, Frauen bekämen systematisch niedrigere Kreditrahmen; die New Yorker Finanzaufsicht prüfte rund 400.000 Anträge und fand keinen Nachweis unrechtmäßiger Diskriminierung, das Geschlecht war kein Faktor.[13] Und beim berühmtesten Bias-Fall überhaupt, dem Rückfallprognose-Tool COMPAS, zeigte ProPublica 2016 zwar deutlich unterschiedliche Falsch-Positiv-Raten zwischen schwarzen und weißen Angeklagten[14] — aber die Mathematik dahinter ist unbarmherziger, als beide Streitparteien wahrhaben wollten: Bei ungleichen Grundraten lassen sich Kalibrierung und gleiche Fehlerraten nicht gleichzeitig erfüllen.[15] Fairness ist hier kein Programmierfehler, den man behebt, sondern ein Zielkonflikt, den jemand entscheiden muss. Wenn dir ein Anbieter sagt, sein Modell sei „fair", ist die richtige Rückfrage: nach welcher Definition, und wer hat das ausgesucht?</w:t>
      </w:r>
    </w:p>
    <w:p>
      <w:pPr>
        <w:pStyle w:val="Fliesstext"/>
        <w:ind w:firstLine="283"/>
      </w:pPr>
      <w:r>
        <w:t>Aus alldem ist mir im Lauf der Jahre ein Satz geblieben, den ich im achten Kapitel schon einmal aufgeschrieben habe und der für mich das Kapitel zusammenhält. Die entscheidende Frage ist selten „Kann die Technik das?". Die entscheidende Frage ist: Wer haftet, wer prüft, wer kann es abschalten?</w:t>
      </w:r>
    </w:p>
    <w:p>
      <w:pPr>
        <w:pStyle w:val="Zwischen"/>
      </w:pPr>
      <w:r>
        <w:t>Wenn du so etwas einführst</w:t>
      </w:r>
    </w:p>
    <w:p>
      <w:pPr>
        <w:pStyle w:val="Fliesstext"/>
      </w:pPr>
      <w:r>
        <w:t>Bis hierher galt das dir als Benutzer. Jetzt der Teil für die, die solche Systeme in einer Organisation einführen — und das sind mehr Leute, als sich dafür halten.</w:t>
      </w:r>
    </w:p>
    <w:p>
      <w:pPr>
        <w:pStyle w:val="Fliesstext"/>
        <w:ind w:firstLine="283"/>
      </w:pPr>
      <w:r>
        <w:t>Im vierten Kapitel steht, was ich in Automatisierungsprojekten gelernt habe: Was von außen wie Technikangst aussieht, ist fast immer eine Beteiligungs- und Verteilungsfrage. Die Leute fürchten nicht den Bot. Sie fürchten, dass mit dem Bot über ihren Kopf hinweg entschieden wird. Wenn du sie erst einbeziehst, wenn die Lösung fertig ist, bekommst du Widerstand — und der ist dann berechtigt. Wenn du den Fachbereich die Ausnahmeregeln definieren lässt, bevor irgendwer eine Zeile baut, bekommst du Mitarbeit und nebenbei die besseren Anforderungen, weil dort das Wissen sitzt.</w:t>
      </w:r>
    </w:p>
    <w:p>
      <w:pPr>
        <w:pStyle w:val="Fliesstext"/>
        <w:ind w:firstLine="283"/>
      </w:pPr>
      <w:r>
        <w:t>Der teuerste Satz in einem Automatisierungsprojekt lautet: „So steht es in der Prozessbeschreibung." Die Beschreibung zeigt den Prozess, wie er gemeint war; die Sachbearbeiterin kennt ihn, wie er läuft. Dazwischen liegen die Ausnahmen, und die Ausnahmen sind die eigentliche Arbeit. In einem Vorhaben, an das ich oft denke, saßen wir zu sechst zwei Stunden in einem Raum für eine einzige Frage: Was macht ihr, wenn das Feld leer ist? Es kam heraus, dass drei Leute seit Jahren drei verschiedene Dinge machten, ohne voneinander zu wissen, und dass zwei davon gute Gründe hatten. Ohne diese zwei Stunden hätten wir eine der Varianten in Software gegossen und die anderen beiden zu Fehlern erklärt.</w:t>
      </w:r>
    </w:p>
    <w:p>
      <w:pPr>
        <w:pStyle w:val="Fliesstext"/>
        <w:ind w:firstLine="283"/>
      </w:pPr>
      <w:r>
        <w:t>Bevor jemand fragt, ob ein Modell gut genug ist, stelle ich eine andere Frage, und sie erzeugt fast immer eine Pause: Wie gut ist es denn heute? Wie viele Vorgänge werden im Moment falsch bearbeitet — im Urlaub, am Freitagnachmittag, in der Einarbeitung eines neuen Kollegen? Fast nie weiß das jemand. Ohne diese Zahl ist jede Diskussion über Modellqualität eine Meinungsäußerung, denn der Maßstab ist nicht Fehlerfreiheit, den erfüllt kein Prozess der Welt, sondern der heutige Zustand. Danach lasse ich das System eine Weile mitlaufen, ohne dass es entscheidet: Es sagt zu jedem Fall, was es täte, und ein Mensch arbeitet weiter wie bisher. Interessant sind hinterher die Abweichungen — nicht weil dort feststünde, wer recht hat, sondern weil dort die unklaren Regeln liegen.</w:t>
      </w:r>
    </w:p>
    <w:p>
      <w:pPr>
        <w:pStyle w:val="Fliesstext"/>
        <w:ind w:firstLine="283"/>
      </w:pPr>
      <w:r>
        <w:t>Benenne namentlich, wer prüft, und gib dieser Person die Zeit dafür. Beides wird gern zugesagt und selten getan. Ob es echt ist, erkennst du an einer Frage: Wie viele Fälle hat sie im letzten Quartal zurückgeschickt? Ist die Antwort null, prüft niemand, egal was im Prozessdiagramm steht. Prüfermüdung ist dabei ein Konstruktionsproblem, kein Charakterproblem. Wer hundert korrekte Vorschläge hintereinander abnickt, nickt den hunderteinsten auch ab. Dagegen hilft nur Bauweise: Stichproben mit bekannten Fehlern, Rotation, und die Prüfperson wird nicht am Durchsatz gemessen. Wer sie am Durchsatz misst, hat die Kontrolle abgeschafft und die Dokumentation behalten.</w:t>
      </w:r>
    </w:p>
    <w:p>
      <w:pPr>
        <w:pStyle w:val="Fliesstext"/>
        <w:ind w:firstLine="283"/>
      </w:pPr>
      <w:r>
        <w:t>Schreib auf, was das System nicht darf, nicht nur, was es soll. Diese Liste ist kürzer als die Anforderungsliste und wertvoller: keine Kundendaten in Dienste, für die es keinen Vertrag gibt; keine Entscheidung ohne Protokoll, aus dem hervorgeht, worauf sie beruhte; keine Fälle oberhalb eines Betrags; keine Kommunikation nach außen ohne menschliche Freigabe. Jeder dieser Sätze war beim Aufschreiben unbequem, weil er nach Misstrauen aussieht. Er ist die Bedingung dafür, dass man dem Rest trauen kann.</w:t>
      </w:r>
    </w:p>
    <w:p>
      <w:pPr>
        <w:pStyle w:val="Fliesstext"/>
        <w:ind w:firstLine="283"/>
      </w:pPr>
      <w:r>
        <w:t>Zur Rückfallebene die Frage, die ich in der ersten Sitzung stelle: Könnt ihr zwei Wochen ohne? Lautet die Antwort, dann breche der Betrieb zusammen, habt ihr kein Automatisierungsvorhaben gebaut, sondern eine Abhängigkeit. Der alte Weg muss eine Weile am Leben bleiben, auch wenn er Geld kostet und niemand ihn mag. Und wenn jemand still eine Excel-Liste parallel weiterführt, ist das kein Verstoß gegen die neue Ordnung, sondern ein Symptom, meistens ein zutreffendes. Ich frage dann nicht, warum die Liste existiert, sondern was in ihr steht, das im System fehlt. Beim Notaus wiederum ist die entscheidende Frage nicht, ob es ihn gibt, sondern wer ihn drücken darf, ohne vorher zu fragen. Ist die Antwort ein Gremium, das dienstags tagt, gibt es keinen Notaus, sondern einen Antrag.</w:t>
      </w:r>
    </w:p>
    <w:p>
      <w:pPr>
        <w:pStyle w:val="Fliesstext"/>
        <w:ind w:firstLine="283"/>
      </w:pPr>
      <w:r>
        <w:t>Und sag ehrlich, was mit der eingesparten Zeit passiert, bevor jemand danach fragt. Der Punkt kostet am meisten Mut und spart am meisten Ärger. Solange es niemand ausspricht, nimmt jeder im Raum die für ihn schlechteste Variante an, und Gerüchte sind schneller als jede Kommunikationsplanung.</w:t>
      </w:r>
    </w:p>
    <w:p>
      <w:pPr>
        <w:pStyle w:val="Fliesstext"/>
        <w:ind w:firstLine="283"/>
      </w:pPr>
      <w:r>
        <w:t>Eine Selbstverständlichkeit, die keine ist, zum Schluss: Nicht jeder Prozess braucht KI. Vieles, was heute als KI-Projekt verkauft wird, ist ein Regelwerk mit vierzehn Fällen, und dann bau ein Regelwerk. Es ist billiger, prüfbarer und es halluziniert nicht. Ich habe in den letzten Jahren mehr Projekte gerettet, indem ich Technik herausgenommen habe, als indem ich welche hinzufügte.</w:t>
      </w:r>
    </w:p>
    <w:p>
      <w:pPr>
        <w:pStyle w:val="Zwischen"/>
      </w:pPr>
      <w:r>
        <w:t>Was das alles nicht kann</w:t>
      </w:r>
    </w:p>
    <w:p>
      <w:pPr>
        <w:pStyle w:val="Fliesstext"/>
      </w:pPr>
      <w:r>
        <w:t>Wenn du bis hierher gekommen bist, hast du einen brauchbaren Werkzeugkasten. Du weißt, wie du eine Aufgabe einsortierst, wie du prüfst, ohne dich zu ruinieren, in welcher Reihenfolge du denkst und wann du besser nein sagst. Das ist keine Kleinigkeit. Es ist genau das, was ich mir von jedem wünsche, der in meinen Workshops sitzt.</w:t>
      </w:r>
    </w:p>
    <w:p>
      <w:pPr>
        <w:pStyle w:val="Fliesstext"/>
        <w:ind w:firstLine="283"/>
      </w:pPr>
      <w:r>
        <w:t>Es hat nur eine Grenze, und ich will nicht so tun, als hätte es sie nicht.</w:t>
      </w:r>
    </w:p>
    <w:p>
      <w:pPr>
        <w:pStyle w:val="Fliesstext"/>
        <w:ind w:firstLine="283"/>
      </w:pPr>
      <w:r>
        <w:t>All das schützt dich als Einzelnen. Es schützt dich nicht davor, dass eine Handvoll Unternehmen die Infrastruktur besitzt, auf der das alles läuft. Es schützt dich nicht davor, dass die Gewinne aus dieser Umwälzung sich dort sammeln, wo ohnehin schon Kapital liegt. Es schützt dich nicht davor, dass irgendwo eine Behörde oder ein Arbeitgeber eine Entscheidung über dich trifft, bei der du gar nicht gefragt wirst, ob du das Ergebnis prüfen kannst.</w:t>
      </w:r>
    </w:p>
    <w:p>
      <w:pPr>
        <w:pStyle w:val="Fliesstext"/>
        <w:ind w:firstLine="283"/>
      </w:pPr>
      <w:r>
        <w:t>Individuelle Kompetenz hat eine Decke, und wir stoßen mit dem Kopf dagegen. Deshalb kommt jetzt das letzte Kapitel, und darin sage ich dir, wovor ich tatsächlich Angst habe. Es ist nicht die Maschine. Das habe ich schon zweimal angedeutet, und ich löse es jetzt ein.</w:t>
      </w:r>
    </w:p>
    <w:p>
      <w:r>
        <w:br w:type="page"/>
      </w:r>
    </w:p>
    <w:p>
      <w:pPr>
        <w:pStyle w:val="KapitelNummer"/>
      </w:pPr>
      <w:r>
        <w:rPr>
          <w:i/>
        </w:rPr>
        <w:t>Kapitel 12</w:t>
      </w:r>
    </w:p>
    <w:p>
      <w:pPr>
        <w:pStyle w:val="KapitelTitel"/>
      </w:pPr>
      <w:r>
        <w:t>Wovor wir uns wirklich fürchten sollten</w:t>
      </w:r>
    </w:p>
    <w:p>
      <w:pPr>
        <w:pStyle w:val="Fliesstext"/>
      </w:pPr>
      <w:r>
        <w:t>Am Ende eines Workshops, es war schon nach halb fünf und die Hälfte der Leute hatte den Laptop zugeklappt, hat mir jemand die Frage zurückgegeben.</w:t>
      </w:r>
    </w:p>
    <w:p>
      <w:pPr>
        <w:pStyle w:val="Fliesstext"/>
        <w:ind w:firstLine="283"/>
      </w:pPr>
      <w:r>
        <w:t>Ich hatte zwei Stunden lang eingeordnet. Nein, der Chatbot liest eure Mails nicht mit. Nein, die Abteilung wird nicht halbiert. Ja, das Ding halluziniert, hier ist ein Beispiel. Ich war ganz zufrieden mit mir, wie das so ist, wenn man Angst gegen Zahlen tauscht und die Zahlen auf seiner Seite hat. Dann hob eine Kollegin die Hand und sagte: „Sie erklären uns die ganze Zeit, was wir nicht fürchten müssen. Wovor haben denn Sie Angst?"</w:t>
      </w:r>
    </w:p>
    <w:p>
      <w:pPr>
        <w:pStyle w:val="Fliesstext"/>
        <w:ind w:firstLine="283"/>
      </w:pPr>
      <w:r>
        <w:t>Ich habe damals irgendetwas geantwortet, das nach Antwort klang und keine war. Auf der Rückfahrt hat mich die Frage nicht losgelassen, und sie hat mich seither nicht mehr losgelassen. Elf Kapitel lang habe ich dir jetzt gezeigt, wo die Aufregung größer ist als der Anlass. Dieses Kapitel schulde ich dir seit Seite eins, und ich löse es jetzt ein.</w:t>
      </w:r>
    </w:p>
    <w:p>
      <w:pPr>
        <w:pStyle w:val="Fliesstext"/>
        <w:ind w:firstLine="283"/>
      </w:pPr>
      <w:r>
        <w:t>Also: Ja, ich habe Angst. Nur nicht vor dem, was in den Schlagzeilen steht.</w:t>
      </w:r>
    </w:p>
    <w:p>
      <w:pPr>
        <w:pStyle w:val="Zwischen"/>
      </w:pPr>
      <w:r>
        <w:t>Was mich nicht wach hält</w:t>
      </w:r>
    </w:p>
    <w:p>
      <w:pPr>
        <w:pStyle w:val="Fliesstext"/>
      </w:pPr>
      <w:r>
        <w:t>Fangen wir mit dem an, was ich zur Seite lege, damit du weißt, wie ernst der Rest gemeint ist.</w:t>
      </w:r>
    </w:p>
    <w:p>
      <w:pPr>
        <w:pStyle w:val="Fliesstext"/>
        <w:ind w:firstLine="283"/>
      </w:pPr>
      <w:r>
        <w:t xml:space="preserve">Der Roboter-Weltuntergang, das sich verselbstständigende System, die Maschine, die beschließt, dass sie uns nicht mehr braucht: Das ist nicht mein Thema. Nicht, weil ich es für undenkbar hielte, sondern weil die beste verfügbare Zusammenschau dazu ziemlich klar ist. Der </w:t>
      </w:r>
      <w:r>
        <w:rPr>
          <w:i/>
        </w:rPr>
        <w:t>International AI Safety Report</w:t>
      </w:r>
      <w:r>
        <w:t>, im Januar 2025 von rund 96 Fachleuten unter Vorsitz von Yoshua Bengio vorgelegt und von dreißig Ländern sowie EU, OECD und UN getragen, hält fest: Es gibt breiten Konsens, dass die heutigen universellen KI-Systeme nicht über die Fähigkeiten verfügen, ein Kontrollverlust-Risiko darzustellen. Über die kommenden Jahre gehen die Experteneinschätzungen dann allerdings stark auseinander, von „implausibel" bis „wahrscheinlich", und der Bericht legt bewusst keine gesicherte Meinung vor, wo es keine gibt.[1]</w:t>
      </w:r>
    </w:p>
    <w:p>
      <w:pPr>
        <w:pStyle w:val="Fliesstext"/>
        <w:ind w:firstLine="283"/>
      </w:pPr>
      <w:r>
        <w:t>Das ist keine Entwarnung, und ich mache auch keine daraus. Derselbe Bericht führt sehr wohl Risiken auf, die mit Evidenz unterlegt sind: Universelle KI kann Cyberangriffe erleichtern und beschleunigen, mit demonstrierten Fähigkeiten bei Aufgaben geringer und mittlerer Komplexität. Im Bereich Biologie und Chemie zeigten neuere Systeme „einige Fähigkeit", Anleitungen und Fehlerbehebung zu bekannten Waffen zu liefern; 2025 haben mehrere Anbieter Modelle bewusst mit zusätzlichen Sicherheitsvorkehrungen veröffentlicht, weil Tests vor dem Start eine ernsthafte Hilfe für Laien nicht ausschließen konnten.[21] Das ist konkret und unangenehm. Es ist nur nicht die Geschichte, die erzählt wird.</w:t>
      </w:r>
    </w:p>
    <w:p>
      <w:pPr>
        <w:pStyle w:val="Fliesstext"/>
        <w:ind w:firstLine="283"/>
      </w:pPr>
      <w:r>
        <w:t>Ein zweiter Befund aus den Fortschreibungen, den ich gleich wieder aufgreife: Die Zahl der Unternehmen mit veröffentlichten Sicherheitsrahmenwerken für Spitzenmodelle hat sich seit Anfang 2025 mehr als verdoppelt, während erhebliche Lücken bleiben.[22] Das ist Fortschritt. Mich interessiert daran eine andere Frage: Wer schreibt diese Rahmenwerke?</w:t>
      </w:r>
    </w:p>
    <w:p>
      <w:pPr>
        <w:pStyle w:val="Fliesstext"/>
        <w:ind w:firstLine="283"/>
      </w:pPr>
      <w:r>
        <w:t>Das mit dem Kontrollverlust ist also die ehrlichste Auskunft, die es gibt: heute nein, morgen strittig. Damit kann ich arbeiten. Wer daraus eine Untergangsgewissheit macht, geht über die Evidenz hinaus — und wer daraus eine Entwarnung macht, auch.</w:t>
      </w:r>
    </w:p>
    <w:p>
      <w:pPr>
        <w:pStyle w:val="Fliesstext"/>
        <w:ind w:firstLine="283"/>
      </w:pPr>
      <w:r>
        <w:t>Meine Sorgen liegen woanders. Sie sind unspektakulärer, sie geben schlechtere Filme ab, und sie sind bereits im Gang. Es sind drei.</w:t>
      </w:r>
    </w:p>
    <w:p>
      <w:pPr>
        <w:pStyle w:val="Zwischen"/>
      </w:pPr>
      <w:r>
        <w:t>Erstens: Wer die Infrastruktur hat, hat mehr als die Technik</w:t>
      </w:r>
    </w:p>
    <w:p>
      <w:pPr>
        <w:pStyle w:val="Fliesstext"/>
      </w:pPr>
      <w:r>
        <w:t>Die Entwicklung, die ich strukturell für die gefährlichste halte, ist die Konzentration. Sehr wenige Organisationen bauen die großen Modelle, sehr wenige besitzen die Rechenzentren, in denen sie laufen, sehr wenige verfügen über die Datenmengen, aus denen sie entstehen. Gefährlicher als alles andere in diesem Kapitel ist das, weil es die Bedingung für alles andere ist. Wer entscheidet, was ein Modell darf, was es verweigert, was es kostet und wer es überhaupt bekommt, entscheidet nicht über ein Produkt. Er entscheidet über eine Infrastruktur.</w:t>
      </w:r>
    </w:p>
    <w:p>
      <w:pPr>
        <w:pStyle w:val="Fliesstext"/>
        <w:ind w:firstLine="283"/>
      </w:pPr>
      <w:r>
        <w:t>Damit an der Spitze überhaupt etwas entsteht, müssen vier Dinge zusammenkommen: das Wissen, wie man so ein System baut, und die Leute, die es können; Rechenleistung in einer Menge, die man nicht mietet wie einen Server, sondern plant wie ein Kraftwerk; Daten in einem Umfang, den man nicht mehr zusammenbekommt, wenn man erst morgen anfängt; und die physische Grundlage darunter, also Grundstücke, Kühlung, Netzanschluss, Strom. Jedes davon ist teuer. Alle vier zusammen hat fast niemand.</w:t>
      </w:r>
    </w:p>
    <w:p>
      <w:pPr>
        <w:pStyle w:val="Fliesstext"/>
        <w:ind w:firstLine="283"/>
      </w:pPr>
      <w:r>
        <w:t>Ich muss an dieser Stelle etwas offenlegen. Belastbare Marktanteilszahlen — wie viel Prozent der weltweiten Rechenleistung für KI auf wie viele Unternehmen entfallen — habe ich für dieses Buch nicht in einer Qualität recherchiert, die ich dir hier hinlegen würde. Also lege ich sie nicht hin. Was ich habe, sind Anhaltspunkte, und die reichen für die Größenordnung.</w:t>
      </w:r>
    </w:p>
    <w:p>
      <w:pPr>
        <w:pStyle w:val="Fliesstext"/>
        <w:ind w:firstLine="283"/>
      </w:pPr>
      <w:r>
        <w:t>Zum Ausmaß der Infrastruktur: Rechenzentren verbrauchten 2024 weltweit rund 415 Terawattstunden Strom, etwa 1,5 Prozent des globalen Verbrauchs, mit einem Wachstum von rund 12 Prozent pro Jahr seit 2017 — mehr als viermal so schnell wie der Gesamtstromverbrauch. Die Internationale Energieagentur rechnet in ihrem Basisszenario mit einer Verdopplung auf etwa 945 Terawattstunden bis 2030; der Strombedarf KI-optimierter Rechenzentren soll sich dabei mehr als vervierfachen.[2] Im achten Kapitel haben diese Zahlen die Umweltpanik entschärft, und dazu taugen sie auch: knapp drei Prozent des Weltstroms sind relevant, aber nicht der Untergang. Hier taugen sie für etwas anderes. Sie beschreiben, was gerade gebaut wird, und wer so etwas baut, hat Kapital in einer Größenordnung, die von sich aus konzentrierend wirkt. Eine Druckerpresse konnte sich eine Stadt leisten. Ein Umspannwerk konnte sich ein Konzern leisten. Einen Trainingslauf an der Spitze des Feldes können sich weltweit eine Handvoll Akteure leisten. Das ist meine Einschätzung, keine gemessene Größe — sie folgt aus dem, was da an Beton und Strom entsteht.</w:t>
      </w:r>
    </w:p>
    <w:p>
      <w:pPr>
        <w:pStyle w:val="Fliesstext"/>
        <w:ind w:firstLine="283"/>
      </w:pPr>
      <w:r>
        <w:t>Und der Ausbau beschleunigt. Der Stromverbrauch KI-fokussierter Rechenzentren stieg allein 2025 um rund 50 Prozent; für 2035 rechnet die Agentur mit rund 1.200 Terawattstunden. Die Zusatznachfrage decken in den kommenden Jahren knapp zur Hälfte Erneuerbare, dahinter Erdgas und Kohle, gegen Ende des Jahrzehnts gewinnt Kernkraft an Bedeutung.[23] Lies das einen Moment nicht als Umweltbilanz, sondern als Beschreibung eines Verhandlungstisches. Wer in dieser Größenordnung Strom braucht, redet nicht mit einem Vertriebsmitarbeiter, sondern mit Netzbetreibern, Kommunen und Regierungen, über Anschlusstermine, Leitungen und Genehmigungen. Das ist keine Kundenbeziehung. Das ist Infrastrukturpolitik, und auf der einen Seite des Tisches sitzt ein Unternehmen. Auch das ist meine Deutung, keine Messung.</w:t>
      </w:r>
    </w:p>
    <w:p>
      <w:pPr>
        <w:pStyle w:val="Fliesstext"/>
        <w:ind w:firstLine="283"/>
      </w:pPr>
      <w:r>
        <w:t xml:space="preserve">Ein ehrlicher Gegenpunkt gehört dazu: Die Energieeffizienz pro KI-Aufgabe verbessert sich nach Einschätzung derselben Agentur in beispiellosem Tempo.[23] Nur entkonzentriert das nichts. Es macht die </w:t>
      </w:r>
      <w:r>
        <w:rPr>
          <w:i/>
        </w:rPr>
        <w:t>Nutzung</w:t>
      </w:r>
      <w:r>
        <w:t xml:space="preserve"> billiger, während die Spitze weiterwandert. Am unteren Ende kannst du heute viel mehr machen als vor drei Jahren — die Frage, wem das obere Ende gehört, ist unverändert.</w:t>
      </w:r>
    </w:p>
    <w:p>
      <w:pPr>
        <w:pStyle w:val="Fliesstext"/>
        <w:ind w:firstLine="283"/>
      </w:pPr>
      <w:r>
        <w:t>Bei den Daten zeigt sich dieselbe Mechanik von einer anderen Seite. Diese Modelle entstehen aus großen, teils aus dem Netz gesammelten Textmengen, und die Rechtsfragen dazu werden gerade erst geklärt. Der Europäische Datenschutzausschuss hat Ende 2024 festgehalten, dass die Anonymität eines Modells im Einzelfall zu prüfen ist, dass berechtigtes Interesse als Rechtsgrundlage taugen kann, aber nur nach einem dreistufigen Test — und dass eine ursprünglich unrechtmäßige Datenverarbeitung die weitere Nutzung des Modells beeinträchtigen kann.[24] Parallel lief in Großbritannien die Urheberrechtskonsultation mit über 11.500 Antworten, an deren Ende die Regierung ihre bevorzugte Opt-out-Lösung fallen ließ.[14] Beides ist richtig so und heißt trotzdem: Wer heute einsteigen will, braucht neben Rechenzentren eine Rechtsabteilung. Meine Lesart, als Lesart markiert: Rechtsrisiko ist ein Fixkostenblock, und Fixkosten bevorzugen die Großen. Kein Argument gegen die Regeln — eines dafür, die Nebenwirkung mitzudenken.</w:t>
      </w:r>
    </w:p>
    <w:p>
      <w:pPr>
        <w:pStyle w:val="Fliesstext"/>
        <w:ind w:firstLine="283"/>
      </w:pPr>
      <w:r>
        <w:t>Der vierte Anhaltspunkt ist der interessanteste, weil er von einem Gesetzgeber kommt. Der europäische Rechtsrahmen folgt eigentlich einem klaren Prinzip: Nicht die Technik wird reguliert, sondern ihr Einsatz, gestaffelt nach Schadenspotenzial. Genau dieses Prinzip hat der Gesetzgeber an einer Stelle durchbrochen. Für Modelle mit allgemeinem Verwendungszweck hat er eine eigene Kategorie geschaffen, die nicht an einer Anwendung hängt, sondern an der Ebene darunter; ihre Pflichten gelten seit dem 2. August 2025.[3] Was darin im Einzelnen steht, habe ich nicht so tief recherchiert, dass ich es dir referieren würde. Dass es die Kategorie gibt, reicht für die Beobachtung: Man baut kein eigenes Stockwerk ins Gesetz, wenn dort tausend Anbieter stehen. Man baut es, wenn dort ein Nadelöhr ist. Meine Deutung, nicht der Befund.</w:t>
      </w:r>
    </w:p>
    <w:p>
      <w:pPr>
        <w:pStyle w:val="Fliesstext"/>
        <w:ind w:firstLine="283"/>
      </w:pPr>
      <w:r>
        <w:t>Und die Gegenseite dieses Nadelöhrs wächst rasant: Der Stanford AI Index beziffert den Anteil der Organisationen, die KI einsetzen, für 2024 auf rund 78 Prozent gegenüber 55 Prozent im Jahr davor.[4] Sehr viele hängen also sehr schnell an sehr wenigen. Im Berufsalltag sieht das unspektakulär aus: Ein Anbieter ändert die Preisliste oder stellt eine Modellversion ab, und in vierzig Unternehmen sitzen Leute in Terminen, die sie sich nicht ausgesucht haben.</w:t>
      </w:r>
    </w:p>
    <w:p>
      <w:pPr>
        <w:pStyle w:val="Fliesstext"/>
        <w:ind w:firstLine="283"/>
      </w:pPr>
      <w:r>
        <w:t>Warum mich das mehr beunruhigt als jede Deepfake-Schlagzeile, hat mit zwei Geschichten aus diesem Buch zu tun.</w:t>
      </w:r>
    </w:p>
    <w:p>
      <w:pPr>
        <w:pStyle w:val="Fliesstext"/>
        <w:ind w:firstLine="283"/>
      </w:pPr>
      <w:r>
        <w:t>Die erste steht in Kapitel 1. Der Buchdruck warf die Machtfrage nicht später auf, sondern sofort. Kaum liefen die Pressen, entstanden Zensurbehörden, wurden Druckprivilegien vergeben und wieder entzogen, führte die Kirche ihren Index der verbotenen Bücher.[5] Die Obrigkeit hatte begriffen, was die Presse war: kein Gerät, sondern ein Zugang.</w:t>
      </w:r>
    </w:p>
    <w:p>
      <w:pPr>
        <w:pStyle w:val="Fliesstext"/>
        <w:ind w:firstLine="283"/>
      </w:pPr>
      <w:r>
        <w:t>An dem Wort Druckprivileg lohnt es sich hängenzubleiben. Ein Privileg ist kein Verbot, sondern ein verliehenes Recht, etwas zu dürfen, das andere nicht dürfen — ein zugeteiltes Monopol. Verliehen hat es dieselbe Obrigkeit, die auch darüber entschied, was gedruckt werden durfte. Wirtschaftliche Erlaubnis und inhaltliche Kontrolle lagen in einer Hand, und dieser Hand musste niemand ein Argument liefern. Sie musste die Erlaubnis nur nicht erneuern. Wer den Zugang kontrolliert, kontrolliert, was gedacht werden kann, ohne je eine Debatte zu gewinnen.</w:t>
      </w:r>
    </w:p>
    <w:p>
      <w:pPr>
        <w:pStyle w:val="Fliesstext"/>
        <w:ind w:firstLine="283"/>
      </w:pPr>
      <w:r>
        <w:t>Die Antwort darauf hat Jahrhunderte gedauert und bestand aus zwei Erfindungen, die man selten zusammen denkt. Die eine begrenzte die Macht über den Zugang: Pressefreiheit, das Ende der Vorzensur. Die andere ordnete die Erträge: das Urheberrecht. Beide mussten gegen Leute durchgesetzt werden, denen der Zustand davor gut gefiel.</w:t>
      </w:r>
    </w:p>
    <w:p>
      <w:pPr>
        <w:pStyle w:val="Fliesstext"/>
        <w:ind w:firstLine="283"/>
      </w:pPr>
      <w:r>
        <w:t>Die zweite Geschichte steht in Kapitel 2. Thomas Edison hat im Stromkrieg die Angst vor Wechselstrom nicht bekämpft, sondern hergestellt und benutzt, bis hin zu öffentlichen Tier-Elektrokutionen und der ersten Hinrichtung auf dem elektrischen Stuhl 1890 mit der Technik des Konkurrenten.[6] Angst als Marktinstrument. Wer im Ernst glaubt, dieses Muster habe mit der Elektrifizierung geendet, hat in den letzten Jahren nicht zugehört, wenn Anbieter erklärten, ihre eigene Technologie sei so gefährlich, dass man sie unbedingt ihnen überlassen müsse — und niemandem sonst.</w:t>
      </w:r>
    </w:p>
    <w:p>
      <w:pPr>
        <w:pStyle w:val="Fliesstext"/>
        <w:ind w:firstLine="283"/>
      </w:pPr>
      <w:r>
        <w:t>Entscheidend ist an dieser Geschichte aber etwas anderes: Warum ist Edison damit nicht durchgekommen? Nicht, weil das Publikum die Kampagne durchschaut hätte, sondern weil es einen zweiten Anbieter mit genug Kapital gab — Westinghouse finanzierte sogar die Berufung des zum Tode verurteilten William Kemmler, weil sein Marktanteil daran hing.[6] Und weil es öffentliche Entscheidungspunkte gab: die Weltausstellung 1893, das Kraftwerk an den Niagarafällen ab 1895. Eine Angstkampagne verliert dort, wo ein Konkurrent widersprechen kann und öffentlich verglichen wird. Meine Wertung, mit unbequemer Kehrseite: Wo es den Konkurrenten nicht gibt, verliert sie nicht.</w:t>
      </w:r>
    </w:p>
    <w:p>
      <w:pPr>
        <w:pStyle w:val="Fliesstext"/>
        <w:ind w:firstLine="283"/>
      </w:pPr>
      <w:r>
        <w:t xml:space="preserve">Es gibt einen dokumentierten Fall, an dem sich die Struktur besichtigen lässt, und er hat eine Vorgeschichte. 2018 veröffentlichten Joy Buolamwini und Timnit Gebru die Studie </w:t>
      </w:r>
      <w:r>
        <w:rPr>
          <w:i/>
        </w:rPr>
        <w:t>Gender Shades</w:t>
      </w:r>
      <w:r>
        <w:t>, die drei kommerzielle Systeme zur Geschlechtsklassifikation testete. Die Fehlerrate lag bei dunkelhäutigen Frauen bei bis zu 34,7 Prozent, bei hellhäutigen Männern bei 0,8 Prozent; die Arbeit wies die Verzerrung der Trainingsdatensätze nach und wurde zum maßgeblichen Anstoß für die Debatte über repräsentative Daten.[25] Forschung, die einer ganzen Branche etwas beibrachte, was sie von selbst nicht gemessen hatte.</w:t>
      </w:r>
    </w:p>
    <w:p>
      <w:pPr>
        <w:pStyle w:val="Fliesstext"/>
        <w:ind w:firstLine="283"/>
      </w:pPr>
      <w:r>
        <w:t xml:space="preserve">Drei Jahre später erschien auf der Konferenz FAccT das Papier </w:t>
      </w:r>
      <w:r>
        <w:rPr>
          <w:i/>
        </w:rPr>
        <w:t>On the Dangers of Stochastic Parrots</w:t>
      </w:r>
      <w:r>
        <w:t xml:space="preserve"> von Emily Bender, Timnit Gebru, Angelina McMillan-Major und Margaret Mitchell, das große Sprachmodelle als „stochastische Papageien" beschrieb und auf Bias, Ressourcenkosten und die Verdrängung kritischer Forschung hinwies.[7] Der Streit um dieses Papier führte im Dezember 2020 zu Gebrus Abgang bei Google; Mitchell wurde rund zwei Monate später entlassen.[8] Über die Umstände streiten die Beteiligten bis heute. Nicht strittig ist: Die kritische Erforschung einer Technologie fand in dem Haus statt, das die Technologie baut und verkauft.</w:t>
      </w:r>
    </w:p>
    <w:p>
      <w:pPr>
        <w:pStyle w:val="Fliesstext"/>
        <w:ind w:firstLine="283"/>
      </w:pPr>
      <w:r>
        <w:t>Und jetzt nimm die verdoppelte Zahl der Sicherheitsrahmenwerke dazu.[22] Ich halte die nicht für Fassade, da steckt ernsthafte Arbeit drin. Es sind aber Selbstverpflichtungen, geschrieben in denselben Häusern, deren Produkte sie einhegen sollen, von Leuten, deren Gehalt aus demselben Topf kommt. Kein Prüfsiegel an einem Stecker funktioniert so. Genau das ist die Konzentration, von der ich rede. Sie äußert sich nicht als Weltherrschaft, sondern darin, wer die Fragen stellen darf, wer sie bezahlt und wer den Antwortenden kündigen kann.</w:t>
      </w:r>
    </w:p>
    <w:p>
      <w:pPr>
        <w:pStyle w:val="Zwischen"/>
      </w:pPr>
      <w:r>
        <w:t>Zweitens: Die Gewinne bündeln sich, die Kosten verteilen sich</w:t>
      </w:r>
    </w:p>
    <w:p>
      <w:pPr>
        <w:pStyle w:val="Fliesstext"/>
      </w:pPr>
      <w:r>
        <w:t>Meine zweite Sorge ist eine Verteilungssorge, und das heißt: eine politische Frage, keine technische. Das ist der ganze Punkt.</w:t>
      </w:r>
    </w:p>
    <w:p>
      <w:pPr>
        <w:pStyle w:val="Fliesstext"/>
        <w:ind w:firstLine="283"/>
      </w:pPr>
      <w:r>
        <w:t>Die Datenlage ist inzwischen ordentlich. Der ILO-Index von 2025 schätzt, dass etwa jeder vierte Beschäftigte weltweit in einem Beruf mit einer gewissen Exposition gegenüber generativer KI arbeitet, wobei die große Mehrheit dieser Jobs transformiert und nicht ersetzt wird. In der höchsten Expositionskategorie liegen 3,3 Prozent der weltweiten Beschäftigung — und dort zeigt sich ein deutlicher Unterschied: 4,7 Prozent bei Frauen gegenüber 2,4 Prozent bei Männern.[9] Diese Schieflage ist kein Nebeneffekt, sondern eine Ansage an die Bürojobs, in denen überproportional Frauen arbeiten.</w:t>
      </w:r>
    </w:p>
    <w:p>
      <w:pPr>
        <w:pStyle w:val="Fliesstext"/>
        <w:ind w:firstLine="283"/>
      </w:pPr>
      <w:r>
        <w:t>Eine verbreitete Annahme muss ich an dieser Stelle korrigieren, auch meine eigene frühere. Die Exposition ist nicht in den armen Ländern am höchsten, sondern in den reichen: 34 Prozent der Beschäftigung in Hocheinkommensländern gegenüber 11 Prozent in Niedrigeinkommensländern.[9] Der IWF kommt zu einem ähnlichen Bild, rund 40 Prozent der Jobs weltweit exponiert, in fortgeschrittenen Volkswirtschaften etwa 60 Prozent, in Niedrigeinkommensländern etwa 26 Prozent — und warnt trotzdem vor wachsender Ungleichheit.[10] Zu diesen 60 Prozent steht dort eine Aufschlüsselung, die man nicht überlesen sollte: Etwa die Hälfte läuft Gefahr, dass Arbeitsnachfrage und Löhne sinken; die andere Hälfte kann profitieren.[26]</w:t>
      </w:r>
    </w:p>
    <w:p>
      <w:pPr>
        <w:pStyle w:val="Fliesstext"/>
        <w:ind w:firstLine="283"/>
      </w:pPr>
      <w:r>
        <w:t>Damit löst sich der scheinbare Widerspruch auf, und die Auflösung ist der eigentliche Punkt. Exposition ist keine Bedrohungsanzeige, sondern eine Kontaktfläche. Wer exponiert ist, kann profitieren — wenn er Infrastruktur, Netze, Ausbildung und Zeit dazu hat. Wer nicht exponiert ist, weil es die Jobs gar nicht erst gibt, profitiert auch nicht. Die Warnung des IWF betrifft also nicht die Exposition, sondern die Teilhabefähigkeit. Die Schere geht nicht dort auf, wo die Technik zuschlägt, sondern dort, wo sie nicht ankommt.</w:t>
      </w:r>
    </w:p>
    <w:p>
      <w:pPr>
        <w:pStyle w:val="Fliesstext"/>
        <w:ind w:firstLine="283"/>
      </w:pPr>
      <w:r>
        <w:t>Und jetzt leg die Rechenzentrumszahlen von vorhin daneben. Diese Anlagen entstehen dort, wo Netzkapazität, Kapital und Genehmigungen zusammenkommen — nicht dort, wo der Bedarf am größten wäre. Das ist meine Schlussfolgerung aus dem, was die Energieagentur zur Standortwahl beschreibt. Wenn sie stimmt, verstärkt der Ausbau genau das Gefälle, um das der IWF sich sorgt.</w:t>
      </w:r>
    </w:p>
    <w:p>
      <w:pPr>
        <w:pStyle w:val="Fliesstext"/>
        <w:ind w:firstLine="283"/>
      </w:pPr>
      <w:r>
        <w:t xml:space="preserve">Innerhalb der reichen Länder gibt es einen zweiten Bruch, und der beunruhigt mich beruflich am meisten. Die Stanford-Auswertung </w:t>
      </w:r>
      <w:r>
        <w:rPr>
          <w:i/>
        </w:rPr>
        <w:t>Canaries in the Coal Mine</w:t>
      </w:r>
      <w:r>
        <w:t xml:space="preserve"> findet auf Basis von Lohndaten für über 25 Millionen Beschäftigte seit der Verbreitung generativer KI einen relativen Beschäftigungsrückgang von etwa 13 bis 16 Prozent bei den 22- bis 25-Jährigen in den am stärksten exponierten Berufen, während ältere Kohorten zulegten; der Effekt konzentriert sich auf automatisierende, nicht auf erweiternde Anwendungen.[11] Ein Land, ein Datensatz, ein kurzer Zeitraum — das habe ich im sechsten Kapitel dazugesagt und sage es wieder. Es trifft die Einstiegsstufe. Und die Einstiegsstufe ist die Stufe, auf der man lernt, was man später kann. Ich habe zwei Jahrzehnte damit verbracht, Menschen die stumpfen Aufgaben abzunehmen. Was ich zu lange übersehen habe: In manchen dieser stumpfen Aufgaben steckt die Ausbildung.</w:t>
      </w:r>
    </w:p>
    <w:p>
      <w:pPr>
        <w:pStyle w:val="Fliesstext"/>
        <w:ind w:firstLine="283"/>
      </w:pPr>
      <w:r>
        <w:t>Das Unangenehme daran ist, dass die Gesamtbilanz gleichzeitig ordentlich aussieht. Die OECD findet bislang wenig Belege für breite KI-bedingte Jobverluste, beziffert aber den Anteil der Beschäftigung im OECD-Raum in Berufen mit dem höchsten Automatisierungsrisiko auf 27 Prozent.[27] Und in Deutschland wuchs die Beschäftigung in Berufen mit hoher KI-Exposition zuletzt sogar stärker als in solchen mit geringer oder ohne Exposition, laut IAB um 5,9 gegenüber 2,5 Prozent und minus 1,7 Prozent.[28] Der Durchschnitt ist also nicht das Problem. Die Verteilung ist es. Eine Volkswirtschaft, in der die Beschäftigung wächst und die Einstiegsstufe schrumpft, hat keine Beschäftigungskrise. Sie hat eine Nachwuchskrise, und die merkt man erst in zehn Jahren.</w:t>
      </w:r>
    </w:p>
    <w:p>
      <w:pPr>
        <w:pStyle w:val="Fliesstext"/>
        <w:ind w:firstLine="283"/>
      </w:pPr>
      <w:r>
        <w:t>Erik Brynjolfsson hat für die dahinterliegende Weichenstellung einen Namen gefunden, die „Turing-Falle": Wo Systeme Menschen ersetzen statt sie zu erweitern, verlieren Arbeitende Verhandlungsmacht, und der geschaffene Wert konzentriert sich; wo sie erweitern, behalten Menschen einen Anteil daran. Seine Diagnose lautet, dass die Anreize derzeit falsch stehen.[12] Das ist eine ökonomische Position, keine Messung. Ich teile sie — und finde bemerkenswert, dass die Kanarienvogel-Studie desselben Autors den Rückgang genau dort findet, wo automatisiert und nicht erweitert wird. Zwei Papiere, dieselbe Weiche.</w:t>
      </w:r>
    </w:p>
    <w:p>
      <w:pPr>
        <w:pStyle w:val="Fliesstext"/>
        <w:ind w:firstLine="283"/>
      </w:pPr>
      <w:r>
        <w:t>Und damit sind wir zurück bei den Ludditen aus Kapitel 4. Die Strumpfwirker von 1811 waren keine Maschinenhasser. Sie zerstörten gezielt bestimmte Maschinen bestimmter Unternehmer und ließen andere stehen; ihr Streit ging um Löhne, um billige Massenware, die ihr Handwerk entwertete, und um die Umgehung des Lehrlingsrechts.[13] Der Konflikt war nie Mensch gegen Maschine. Er war eine Auseinandersetzung darüber, wer die Erträge der Maschine bekommt.</w:t>
      </w:r>
    </w:p>
    <w:p>
      <w:pPr>
        <w:pStyle w:val="Fliesstext"/>
        <w:ind w:firstLine="283"/>
      </w:pPr>
      <w:r>
        <w:t xml:space="preserve">Was mich an diesem Fall inzwischen mehr interessiert als die Bewegung selbst, ist die Antwort darauf. Der Staat verhandelte nicht, er legte nach: Am 20. März 1812 erhielt der </w:t>
      </w:r>
      <w:r>
        <w:rPr>
          <w:i/>
        </w:rPr>
        <w:t>Frame Breaking Act</w:t>
      </w:r>
      <w:r>
        <w:t xml:space="preserve"> die königliche Bestätigung und stellte das Zerstören von Strumpfstühlen unter Todesstrafe; Lord Byron hielt wenige Wochen zuvor seine Antrittsrede im Oberhaus dagegen und verlor.[29] Eine Verteilungsfrage, beantwortet mit dem Strafgesetzbuch. Das ist die schnellste bekannte Methode, aus einer legitimen Frage ein Verbrechen zu machen — und, wie Kapitel 4 zeigt, aus einem Berufsstand ein Schimpfwort. Die Löhne fielen trotzdem.</w:t>
      </w:r>
    </w:p>
    <w:p>
      <w:pPr>
        <w:pStyle w:val="Fliesstext"/>
        <w:ind w:firstLine="283"/>
      </w:pPr>
      <w:r>
        <w:t>Genau diese Frage steht heute wieder auf dem Tisch, in der Debatte um Vergütung beim Training[14] und immer dann, wenn ein Vorstand entscheidet, was mit einem Produktivitätsgewinn passiert. Solche Fragen haben keine technische Lösung. Sie haben Antworten, und die werden ausgehandelt oder erkämpft. Wer sie gar nicht erst verhandelt, bekommt sie später zurück, und dann in einer Form, die niemandem gefällt.</w:t>
      </w:r>
    </w:p>
    <w:p>
      <w:pPr>
        <w:pStyle w:val="Zwischen"/>
      </w:pPr>
      <w:r>
        <w:t>Drittens: Der Tag, an dem du aufhörst zu prüfen</w:t>
      </w:r>
    </w:p>
    <w:p>
      <w:pPr>
        <w:pStyle w:val="Fliesstext"/>
      </w:pPr>
      <w:r>
        <w:t>Die dritte Sorge ist meine persönlichste, und sie ist die einzige, gegen die du selbst sofort etwas tun kannst.</w:t>
      </w:r>
    </w:p>
    <w:p>
      <w:pPr>
        <w:pStyle w:val="Fliesstext"/>
        <w:ind w:firstLine="283"/>
      </w:pPr>
      <w:r>
        <w:t>Sie lautet nicht: Die KI wird zu klug. Sie lautet: Wir hören auf, nachzurechnen.</w:t>
      </w:r>
    </w:p>
    <w:p>
      <w:pPr>
        <w:pStyle w:val="Fliesstext"/>
        <w:ind w:firstLine="283"/>
      </w:pPr>
      <w:r>
        <w:t>Es gibt dazu einen Befund, den ich seit dem siebten Kapitel nicht mehr aus dem Kopf bekomme. Eine Untersuchung von Microsoft Research und der Carnegie Mellon University, vorgestellt auf der CHI 2025, befragte 319 Berufstätige zu 936 realen KI-Anwendungsfällen. Ergebnis: Je höher das Vertrauen in die KI, desto weniger kritisches Denken berichten die Befragten — und je höher das Vertrauen in die eigenen Fähigkeiten, desto mehr.[15] Ergänzend, mit deutlich mehr Vorsicht zu lesen, die EEG-Studie des MIT Media Lab, die beim Schreiben mit Sprachmodell die schwächste neuronale Konnektivität maß und dafür den Begriff „cognitive debt" prägte; die Stichprobe ist klein, es ist ein Preprint, und es gibt methodische Kritik daran.[16]</w:t>
      </w:r>
    </w:p>
    <w:p>
      <w:pPr>
        <w:pStyle w:val="Fliesstext"/>
        <w:ind w:firstLine="283"/>
      </w:pPr>
      <w:r>
        <w:t>Der eine Befund ist solide, der andere ein Hinweis. Zusammen beschreiben sie etwas, das ich an mir selbst beobachte. Ich baue mir abends mit Claude Code kleine Werkzeuge für meinen Alltag, und mein Prüfverhalten verschiebt sich. Am Anfang liest man jede Zeile. Nach dem zwanzigsten Mal, in dem es funktioniert hat, liest man quer. Nach dem fünfzigsten übernimmt man. Das ist keine Faulheit, sondern ein vernünftiger Umgang mit begrenzter Aufmerksamkeit — und genau deshalb passiert es einem, ohne dass man es entscheidet. Es gibt keinen Tag, an dem du beschließt, nicht mehr hinzusehen. Nur einen, an dem du es das letzte Mal getan hast, und den merkst du nicht.</w:t>
      </w:r>
    </w:p>
    <w:p>
      <w:pPr>
        <w:pStyle w:val="Fliesstext"/>
        <w:ind w:firstLine="283"/>
      </w:pPr>
      <w:r>
        <w:t>Im Betrieb sieht dasselbe anders aus, und dort ist es teurer. Eine Vorlage entsteht mit Unterstützung eines Modells, geht durch drei Hände und landet in einer Entscheidung. Jede dieser Hände liest sie, findet sie sauber formuliert und geht davon aus, dass jemand anderes die Zahlen geprüft hat. Das nennt man dann Vier-Augen-Prinzip. Es sind null Augen, und der Grund ist nicht Schlamperei, sondern eine falsche Annahme über die anderen. Früher war ein sauber gebautes Dokument ein schwacher Hinweis darauf, dass sich jemand Mühe gegeben hatte. Dieser Hinweis ist nicht schwächer geworden, er ist weg — und unsere Prüfgewohnheiten hängen hinterher. Meine Erfahrung, keine Studienlage.</w:t>
      </w:r>
    </w:p>
    <w:p>
      <w:pPr>
        <w:pStyle w:val="Fliesstext"/>
        <w:ind w:firstLine="283"/>
      </w:pPr>
      <w:r>
        <w:t>In der öffentlichen Debatte schlägt es noch einmal anders durch. Jeder kann inzwischen zu jedem Thema binnen Minuten eine geschliffene Argumentation vorlegen, mit Gliederung, Gegenargument und Schlussfolgerung. Ein Teil davon ist Demokratisierung — Menschen, die sich vorher nicht getraut haben, etwas zu formulieren, reden mit. Der andere Teil ist, dass Formulierungsstärke aufgehört hat, etwas über Durchdringung auszusagen. Wenn jede Position gleich gut vorgetragen wird, entscheidet nicht mehr die Qualität des Arguments, sondern wer lauter ist. Das ist eine Wertung, und ich halte sie für die unterschätzteste Nebenwirkung dieser Technik.</w:t>
      </w:r>
    </w:p>
    <w:p>
      <w:pPr>
        <w:pStyle w:val="Fliesstext"/>
        <w:ind w:firstLine="283"/>
      </w:pPr>
      <w:r>
        <w:t xml:space="preserve">Und jetzt der Bogen ganz zurück an den Anfang. Der König Thamus wirft in Platons </w:t>
      </w:r>
      <w:r>
        <w:rPr>
          <w:i/>
        </w:rPr>
        <w:t>Phaidros</w:t>
      </w:r>
      <w:r>
        <w:t xml:space="preserve"> der Schrift vor, sie mache die Menschen nicht weise, sondern nur scheinbar weise: Sie würden vieles gehört haben, ohne es gelernt zu haben.[17] Zweitausendvierhundert Jahre später sitzt jemand in einem Meeting und referiert souverän einen Sachverhalt, den er vor zehn Minuten hat zusammenfassen lassen. Ich habe dir in Kapitel 1 gesagt, dass Thamus nicht komplett danebenlag, und ich habe dir gesagt, dass wir jedes Mal etwas verlieren und die Frage lautet, was wir dafür bekommen.</w:t>
      </w:r>
    </w:p>
    <w:p>
      <w:pPr>
        <w:pStyle w:val="Fliesstext"/>
        <w:ind w:firstLine="283"/>
      </w:pPr>
      <w:r>
        <w:t>Hier ist meine Antwort für diesen Fall, und es ist eine Wertung, kein Befund: Bei der Schrift und beim Buchdruck war der Tausch eindeutig gut, weil wir Gedächtnisleistung gegen Zugang zu Wissen getauscht haben. Beim eigenen Urteil ist der Tausch nicht eindeutig, weil das Urteil das Werkzeug ist, mit dem man alle anderen Tauschgeschäfte bewertet. Wer es abgibt, kann nicht mehr feststellen, ob er einen guten Tausch gemacht hat.</w:t>
      </w:r>
    </w:p>
    <w:p>
      <w:pPr>
        <w:pStyle w:val="Fliesstext"/>
        <w:ind w:firstLine="283"/>
      </w:pPr>
      <w:r>
        <w:t>Thamus' Sorge galt dem Gedächtnis, und das Gedächtnis konnte man auslagern, ohne die Fähigkeit zu verlieren, das Ausgelagerte zu prüfen. Man ging in die Bibliothek und schlug nach. Beim Urteil gibt es diese zweite Instanz nicht. Es ist selbst die zweite Instanz.</w:t>
      </w:r>
    </w:p>
    <w:p>
      <w:pPr>
        <w:pStyle w:val="Fliesstext"/>
        <w:ind w:firstLine="283"/>
      </w:pPr>
      <w:r>
        <w:t>Deshalb stand Kapitel 11 vor diesem hier und nicht umgekehrt. Gegen die Konzentration von Rechenleistung kannst du am Dienstagnachmittag nichts ausrichten. Gegen die Verteilungsfrage auch nicht allein. Gegen die dritte Gefahr schon: indem du prüfst, gelegentlich ohne das Werkzeug arbeitest, um zu merken, ob du es noch kannst, und dir angewöhnst, bei allem, was dir wichtig ist, eine Quelle sehen zu wollen. Und indem du in einer Runde, in der alle nicken, einmal fragst, wer die Zahl nachgerechnet hat. Vertrauen ist eine Fähigkeit, habe ich geschrieben. Fähigkeiten verschwinden, wenn man sie nicht benutzt.</w:t>
      </w:r>
    </w:p>
    <w:p>
      <w:pPr>
        <w:pStyle w:val="Zwischen"/>
      </w:pPr>
      <w:r>
        <w:t>Die Ablenkung, die alle drei tarnt</w:t>
      </w:r>
    </w:p>
    <w:p>
      <w:pPr>
        <w:pStyle w:val="Fliesstext"/>
      </w:pPr>
      <w:r>
        <w:t>Es gibt noch etwas, das kein eigenes Risiko ist, aber die drei anderen zuverlässig unsichtbar macht.</w:t>
      </w:r>
    </w:p>
    <w:p>
      <w:pPr>
        <w:pStyle w:val="Fliesstext"/>
        <w:ind w:firstLine="283"/>
      </w:pPr>
      <w:r>
        <w:t>Die Autorinnen des Papiers über die stochastischen Papageien haben argumentiert, dass die Fixierung auf immer größere Modelle Forschung verdrängt, die sich mit den bereits eingetretenen Schäden befasst.[7] Zusammen mit dem, was in Kapitel 9 über das Lesen von Prognosen steht, halte ich das für das stärkste Argument der Debatte, und ich mache es mir zu eigen: Solange öffentlich über die Auslöschung der Menschheit in dreißig Jahren gestritten wird, streitet niemand darüber, wem die Rechenzentren gehören, wer beim Berufseinstieg keine Stelle mehr findet und was passiert, wenn eine Behörde eine Entscheidung nicht mehr erklären kann. Eine Debatte über die ferne Zukunft, geführt zu Lasten der Gegenwart. Ob das Absicht ist oder Bequemlichkeit, weiß ich nicht und behaupte es auch nicht. Die Wirkung ist dieselbe.</w:t>
      </w:r>
    </w:p>
    <w:p>
      <w:pPr>
        <w:pStyle w:val="Fliesstext"/>
        <w:ind w:firstLine="283"/>
      </w:pPr>
      <w:r>
        <w:t>Nebenbei erklärt es, warum die Untergangsdebatte für alle Beteiligten so bequem ist. Sie verlangt von niemandem etwas Konkretes. Über eine Wettbewerbsaufsicht, eine Ausbildungsquote oder eine Prüfstelle muss man abstimmen. Über das Ende der Menschheit kann man reden.</w:t>
      </w:r>
    </w:p>
    <w:p>
      <w:pPr>
        <w:pStyle w:val="Zwischen"/>
      </w:pPr>
      <w:r>
        <w:t>Nicht verbieten, nicht schönreden, einhegen</w:t>
      </w:r>
    </w:p>
    <w:p>
      <w:pPr>
        <w:pStyle w:val="Fliesstext"/>
      </w:pPr>
      <w:r>
        <w:t>Damit hätte ich dich jetzt drei Seiten lang geärgert, und das wäre billig, wenn ich hier aufhörte. Das Leitprinzip aus dem ersten Kapitel gilt auch für meine eigenen Ängste: nicht verbieten, nicht schönreden, einhegen.</w:t>
      </w:r>
    </w:p>
    <w:p>
      <w:pPr>
        <w:pStyle w:val="Fliesstext"/>
        <w:ind w:firstLine="283"/>
      </w:pPr>
      <w:r>
        <w:rPr>
          <w:b/>
        </w:rPr>
        <w:t>Was du tun kannst,</w:t>
      </w:r>
      <w:r>
        <w:t xml:space="preserve"> hatte Kapitel 11 ausführlich, deshalb hier nur der Kern: das Werkzeug benutzen, damit du urteilen kannst statt zu ahnen — Skepsis ist ein Urteil über etwas, das man kennt, Angst ein Gefühl über etwas, das man nicht kennt. Prüfen, was zählt. Nicht alles auf einen Anbieter setzen. Und den eigenen Kindern nicht das Werkzeug verbieten, sondern das Prüfen beibringen.</w:t>
      </w:r>
    </w:p>
    <w:p>
      <w:pPr>
        <w:pStyle w:val="Fliesstext"/>
        <w:ind w:firstLine="283"/>
      </w:pPr>
      <w:r>
        <w:rPr>
          <w:b/>
        </w:rPr>
        <w:t>Was Unternehmen tun können,</w:t>
      </w:r>
      <w:r>
        <w:t xml:space="preserve"> dazu rede ich aus der Praxis, weil das mein Beruf ist. Erstens: Betroffene früh einbeziehen. Nicht in einem Kommunikationstermin nach der Entscheidung, sondern in der Analyse davor. Die Leute, deren Prozess du automatisierst, wissen als Einzige, welcher Teil ihrer Arbeit das eigentliche Handwerk war — und in meiner Erfahrung ist das fast nie der Teil, den die Prozessdokumentation für den wichtigen hält. Zweitens: Verantwortlichkeiten klären, bevor das System live geht. Für jede Entscheidung, die ein Modell vorbereitet, muss ein Mensch mit Namen benennbar sein, der sie verantwortet — und der braucht dreierlei, das man ihm gern vergisst mitzugeben: Zeit zum Prüfen, Kompetenz zum Prüfen und das Recht, nein zu sagen, ohne dafür bestraft zu werden. Fehlt eines davon, hast du keine Kontrollinstanz, sondern einen Haftungsträger. Drittens: Prüfbarkeit und Abschaltbarkeit einbauen. Protokollieren, was das System entschieden hat und auf welcher Grundlage; und einen Weg vorsehen, es abzuschalten, ohne dass der Betrieb stillsteht. Das ist Collingridge in Ingenieurssprache — revidierbar bauen, solange man noch kann.[18]</w:t>
      </w:r>
    </w:p>
    <w:p>
      <w:pPr>
        <w:pStyle w:val="Fliesstext"/>
        <w:ind w:firstLine="283"/>
      </w:pPr>
      <w:r>
        <w:t>Viertens, und diesen Punkt habe ich mir zu spät zurechtgelegt: Frag in jedem Automatisierungsvorhaben, wer hier eigentlich noch etwas lernt. Verschwinden dabei die Aufgaben, an denen bisher die Neuen ihr Handwerk gelernt haben, automatisierst du nicht nur einen Prozess, sondern deine eigene Nachwuchssicherung. Das ist keine moralische Ermahnung, das ist Personalplanung. Im einzelnen Unternehmen sieht der Kanarienvogel-Effekt aus wie eine Abteilung, in der in fünf Jahren nur noch Erfahrene sitzen, die niemand ersetzen kann.</w:t>
      </w:r>
    </w:p>
    <w:p>
      <w:pPr>
        <w:pStyle w:val="Fliesstext"/>
        <w:ind w:firstLine="283"/>
      </w:pPr>
      <w:r>
        <w:t>Fünftens, der unbequeme Punkt: Wenn Automatisierung Produktivität hebt, ist die Verteilung des Gewinns eine Entscheidung und keine Naturkonstante. Ob er nur nach oben und außen fließt oder auch in Weiterbildung, Arbeitszeit und Einstiegsstellen, entscheidet ein Mensch in einem Meeting. Meine Meinung: Wer nur nach oben verteilt, produziert genau den Widerstand, über den er sich anschließend beklagt.</w:t>
      </w:r>
    </w:p>
    <w:p>
      <w:pPr>
        <w:pStyle w:val="Fliesstext"/>
        <w:ind w:firstLine="283"/>
      </w:pPr>
      <w:r>
        <w:rPr>
          <w:b/>
        </w:rPr>
        <w:t>Was Gesellschaft und Politik tun können.</w:t>
      </w:r>
      <w:r>
        <w:t xml:space="preserve"> Der europäische Rechtsrahmen ist trotz aller Kritik der ernsthafteste Versuch, das Problem risikobasiert statt pauschal anzugehen: verbotene Praktiken seit Februar 2025, Pflichten für Modelle mit allgemeinem Verwendungszweck seit August 2025, der Großteil der Hochrisiko-Regeln ab August 2026, volle Anwendbarkeit 2027, Bußgelder bis zu 35 Millionen Euro oder sieben Prozent des weltweiten Jahresumsatzes.[3] Wo ich ihn für zu schwerfällig halte, steht in Kapitel 8, und dabei bleibe ich. Aber die Grundidee — nicht die Technik regulieren, sondern ihren Einsatz nach Schadenspotenzial — ist richtig, und die gestaffelten Fristen sind selbst ein Stück Collingridge: Raum zum Nachbessern, statt alles auf einen Stichtag zu legen.</w:t>
      </w:r>
    </w:p>
    <w:p>
      <w:pPr>
        <w:pStyle w:val="Fliesstext"/>
        <w:ind w:firstLine="283"/>
      </w:pPr>
      <w:r>
        <w:t>Gegen die Konzentration hilft das allerdings kaum, und hier wird es zu meiner Forderung, nicht zu einem Befund: Das Instrument gegen Machtkonzentration ist das Wettbewerbsrecht, nicht das Technikrecht. Dazu gehört ein zweites, unglamouröses Instrument, das der Staat schon in der Hand hält: die eigene Beschaffung. Wer öffentlich einkauft, kann Austauschbarkeit zur Bedingung machen — offene Schnittstellen, exportierbare Daten, keine Verfahren, die genau ein Anbieter am Leben hält. Das ist kein Eingriff in den Markt, sondern ein Kunde, der sich nicht abhängig macht.</w:t>
      </w:r>
    </w:p>
    <w:p>
      <w:pPr>
        <w:pStyle w:val="Fliesstext"/>
        <w:ind w:firstLine="283"/>
      </w:pPr>
      <w:r>
        <w:t>Dazu kommt Bildung, nicht in der Form, in der sie meistens gefordert wird. Es geht nicht um Kurse zur Bedienung dieser Werkzeuge; die Bedienung ist der leichte Teil und in zwei Jahren ohnehin anders. Es geht um das alte Handwerk: Quellen prüfen, Statistiken lesen, ein Argument auseinandernehmen. Die Antwort auf die Bücherflut in Kapitel 1 lautete nicht „weniger drucken", sondern Register, Kataloge, Quellenkritik. Das war Bildung, keine Technik.</w:t>
      </w:r>
    </w:p>
    <w:p>
      <w:pPr>
        <w:pStyle w:val="Fliesstext"/>
        <w:ind w:firstLine="283"/>
      </w:pPr>
      <w:r>
        <w:t>Und der Mut, Verteilungsfragen als Verteilungsfragen zu behandeln. Dazu gibt es inzwischen Empirie statt nur Meinung: Die große amerikanische Grundeinkommensstudie mit 1.000 Teilnehmenden über drei Jahre fand mehr Handlungsfähigkeit — Gründungen, Bildung, Vorsorge, medizinische Versorgung — bei nur geringem Effekt auf die Arbeitszeit.[19] Das beweist nicht, dass wir ein Grundeinkommen brauchen; die These „KI zerstört die Arbeit" ist damit nicht belegt. Es beweist, dass man über Verteilung mit Daten reden kann statt mit Reflexen.</w:t>
      </w:r>
    </w:p>
    <w:p>
      <w:pPr>
        <w:pStyle w:val="Fliesstext"/>
        <w:ind w:firstLine="283"/>
      </w:pPr>
      <w:r>
        <w:t>Eines fehlt in dieser Liste noch, und es entspricht meiner dritten Frage. Wer prüft nach — nicht als Einzelner, sondern als Institution? Dafür gibt es eine erprobte Antwort. Die USA hatten von 1974 bis 1995 ein Office of Technology Assessment, das den Kongress unabhängig beriet und rund 750 Studien vorlegte, bis es Budgetkürzungen zum Opfer fiel; in Deutschland arbeitet seit 1990 das Büro für Technikfolgen-Abschätzung beim Bundestag.[30] Meine Forderung, klar als solche markiert: So etwas braucht Geld, Personal und Zugang zu den Systemen, über die es urteilen soll. Ein Parlament, das eine Technologie regulieren will, deren Wirkung es nur aus den Unterlagen der Anbieter kennt, reguliert nicht. Es unterschreibt.</w:t>
      </w:r>
    </w:p>
    <w:p>
      <w:pPr>
        <w:pStyle w:val="Fliesstext"/>
        <w:ind w:firstLine="283"/>
      </w:pPr>
      <w:r>
        <w:t>Und der Zeitpunkt? Collingridge hat ihn beschrieben: zu früh weiß man nichts, zu spät kann man nichts.[18] Wir sind in dem kurzen Abschnitt dazwischen. Was dieses Fenster schließt, ist selten ein Gesetz. Es sind Prozesse, die irgendwann so tief an einem Anbieter hängen, dass ein Wechsel kein Beschluss mehr ist, sondern ein Zweijahresprojekt. Der Abschnitt ist nicht offen für immer.</w:t>
      </w:r>
    </w:p>
    <w:p>
      <w:pPr>
        <w:pStyle w:val="Zwischen"/>
      </w:pPr>
      <w:r>
        <w:t>Und trotzdem</w:t>
      </w:r>
    </w:p>
    <w:p>
      <w:pPr>
        <w:pStyle w:val="Fliesstext"/>
      </w:pPr>
      <w:r>
        <w:t>Ich bin Optimist. Das ändert dieses Kapitel nicht.</w:t>
      </w:r>
    </w:p>
    <w:p>
      <w:pPr>
        <w:pStyle w:val="Fliesstext"/>
        <w:ind w:firstLine="283"/>
      </w:pPr>
      <w:r>
        <w:t>Aber ich bin ein Optimist mit einer Fußnote, und die Fußnote ist der Grund für dieses ganze Buch: Die guten Ausgänge kamen nie von allein. Nach dem Buchdruck wuchsen Register, Kataloge, Quellenkritik, Urheberrecht, Pressefreiheit — jedes Stück davon erdacht, erstritten, oft gegen Widerstand durchgesetzt. Nach der Elektrifizierung kamen Normen, Prüfsiegel, Netzregulierung, ohne die niemand von uns eine Steckdose berühren würde. Die Bilanz zur KI-Arbeitswelt sieht heute gar nicht schlecht aus; die OECD findet bislang wenig Belege für breite Jobverluste, und zwei Drittel derjenigen, die bereits mit KI arbeiten, empfinden ihre Arbeit als weniger monoton oder gefährlich.[20] Das kann so bleiben. Es bleibt nur nicht so, weil es von selbst so bleibt.</w:t>
      </w:r>
    </w:p>
    <w:p>
      <w:pPr>
        <w:pStyle w:val="Fliesstext"/>
        <w:ind w:firstLine="283"/>
      </w:pPr>
      <w:r>
        <w:t>Ein Unterschied zu Gutenberg stimmt mich zuversichtlicher, als dieses Kapitel bisher klingt. Register und Quellenkritik brauchten Generationen, weil niemand wusste, dass so etwas nötig sein würde. Wir wissen es. Wir haben die Muster, wir haben die Daten, und wir reden über Fristen in Jahren statt in Jahrhunderten. Keine Garantie — aber ein Vorsprung, den keine Gesellschaft vor uns hatte.</w:t>
      </w:r>
    </w:p>
    <w:p>
      <w:pPr>
        <w:pStyle w:val="Fliesstext"/>
        <w:ind w:firstLine="283"/>
      </w:pPr>
      <w:r>
        <w:t>Die Kollegin im Workshop hat also eine bessere Frage gestellt, als ihr klar war. Ich fürchte nicht die Maschine. Ich fürchte, dass wir über der Maschine vergessen, die drei Fragen zu stellen, die bei jeder großen Technik über den Ausgang entschieden haben: Wem gehört sie? Wer zahlt für sie? Und wer prüft sie noch nach?</w:t>
      </w:r>
    </w:p>
    <w:p>
      <w:pPr>
        <w:pStyle w:val="Fliesstext"/>
        <w:ind w:firstLine="283"/>
      </w:pPr>
      <w:r>
        <w:t>Wenn wir diese drei Fragen stellen, wird die künstliche Intelligenz genau das, was der Buchdruck, der Strom und das Telefon geworden sind — so selbstverständlich, dass unsere Enkel nicht glauben werden, dass jemand sich davor gefürchtet hat. Wie dieser nächste Alltag aussehen könnte, und was er von uns verlangt, damit er langweilig wird: darum geht es auf den letzten Seiten.</w:t>
      </w:r>
    </w:p>
    <w:p>
      <w:r>
        <w:br w:type="page"/>
      </w:r>
    </w:p>
    <w:p>
      <w:pPr>
        <w:pStyle w:val="KapitelNummer"/>
      </w:pPr>
      <w:r>
        <w:rPr>
          <w:i/>
        </w:rPr>
        <w:t>Schluss</w:t>
      </w:r>
    </w:p>
    <w:p>
      <w:pPr>
        <w:pStyle w:val="KapitelTitel"/>
      </w:pPr>
      <w:r>
        <w:t>Der nächste Alltag</w:t>
      </w:r>
    </w:p>
    <w:p>
      <w:pPr>
        <w:pStyle w:val="Fliesstext"/>
      </w:pPr>
      <w:r>
        <w:t>Bei uns im Flur hängt ein Lichtschalter, ungefähr auf Schulterhöhe, weißer Kunststoff, leicht speckig an der Stelle, wo seit Jahren derselbe Daumen draufdrückt. Wenn ich abends nach Hause komme, drücke ich ihn, ohne hinzusehen. Es wird hell. Das ist das ganze Ereignis.</w:t>
      </w:r>
    </w:p>
    <w:p>
      <w:pPr>
        <w:pStyle w:val="Fliesstext"/>
        <w:ind w:firstLine="283"/>
      </w:pPr>
      <w:r>
        <w:t>Neulich bin ich stehen geblieben und habe angefangen zu zählen, was in diesem Handgriff steckt.</w:t>
      </w:r>
    </w:p>
    <w:p>
      <w:pPr>
        <w:pStyle w:val="Fliesstext"/>
        <w:ind w:firstLine="283"/>
      </w:pPr>
      <w:r>
        <w:t>Hinter der Wand liegt ein Kabel mit einem bestimmten Querschnitt, weil eine Norm vorschreibt, wie dick ein Kabel für diese Last zu sein hat. Die Adern haben Farben, damit ein Elektriker in dreißig Jahren weiß, was er vor sich hat, ohne raten zu müssen. Diese Farben stehen in keinem Naturgesetz. Sie stehen in einem Papier, über das sich Leute in einem Gremium einigen mussten, und ich stelle mir vor, dass diese Einigung gedauert hat, weil es keine offensichtlich richtige Antwort gab und weil die falsche Antwort irgendwann jemanden umbringen würde.</w:t>
      </w:r>
    </w:p>
    <w:p>
      <w:pPr>
        <w:pStyle w:val="Fliesstext"/>
        <w:ind w:firstLine="283"/>
      </w:pPr>
      <w:r>
        <w:t>Zwischen dem Draht und meinem Daumen liegen ein paar Zehntelmillimeter Kunststoff. Dass die halten, was sie versprechen, ist kein Glück. Dahinter stehen Prüfverfahren, die jemand erst einmal definieren musste: wie oft man ein Kabel biegen können muss, bei welcher Temperatur die Isolierung nachgibt, wie lange sie einer Spannung standhält, die im Betrieb nie anliegt.</w:t>
      </w:r>
    </w:p>
    <w:p>
      <w:pPr>
        <w:pStyle w:val="Fliesstext"/>
        <w:ind w:firstLine="283"/>
      </w:pPr>
      <w:r>
        <w:t>Im Keller sitzt ein Kasten mit Sicherungen, und darin sitzt ein Schutzschalter, dessen einzige Aufgabe darin besteht, in Millisekunden abzuschalten, falls der Strom einen Weg nimmt, den er nicht nehmen soll — zum Beispiel durch mich. Dieser Schalter tut in seinem ganzen Leben normalerweise nichts. Er wird eingebaut, geprüft, abgenommen und dann jahrzehntelang vergessen. Bezahlt hat ihn jemand für den einen Moment, den es hoffentlich nie gibt.</w:t>
      </w:r>
    </w:p>
    <w:p>
      <w:pPr>
        <w:pStyle w:val="Fliesstext"/>
        <w:ind w:firstLine="283"/>
      </w:pPr>
      <w:r>
        <w:t>Auf dem Stecker der Stehlampe klebt ein Prüfzeichen. Hinter dem Prüfzeichen steht ein Labor, hinter dem Labor eine Vorschrift, hinter der Vorschrift ein Gesetzgeber. Es gibt einen Hersteller, der haftet, wenn das Ding brennt. Es gibt eine Versicherung, die dann zahlt. Es gibt ein Gericht, das entscheidet, wer recht hat. Und es gibt einen Handwerker, der das alles verbaut hat und dafür eine Prüfung abgelegt hat, in der er unter anderem lernen musste, was passiert, wenn man es falsch macht.</w:t>
      </w:r>
    </w:p>
    <w:p>
      <w:pPr>
        <w:pStyle w:val="Fliesstext"/>
        <w:ind w:firstLine="283"/>
      </w:pPr>
      <w:r>
        <w:t>Und dann kommt die Schicht, die man am leichtesten übersieht. Kaum eine dieser Regeln ist am Reißbrett entstanden, die meisten sind Antworten. Irgendwo hat es gebrannt, irgendwo ist jemand gestorben, irgendwo hat ein Gericht entschieden, wer zahlt — und daraus wurde ein Satz in einem Regelwerk, den heute niemand mehr liest, weil er einfach befolgt wird. Das ist meine Deutung, kein Archivbefund. Aber ich kenne keine Sicherheitsvorschrift, die aus reiner Vorfreude geschrieben wurde.</w:t>
      </w:r>
    </w:p>
    <w:p>
      <w:pPr>
        <w:pStyle w:val="Fliesstext"/>
        <w:ind w:firstLine="283"/>
      </w:pPr>
      <w:r>
        <w:t>Nichts davon ist Physik. Die Physik war der leichte Teil. Elektronen wandern schon durch Leiter, seit es Leiter gibt, ganz ohne uns. Das andere, dieser ganze unsichtbare Apparat aus Normen, Farben, Prüfzeichen, Ausbildungen und Haftungsregeln, ist reine Menschenarbeit. Jahrzehnte davon, verteilt über Gremien, Prüflabore, Gerichtssäle, Berufsschulen und Baustellen. Ich habe irgendwann aufgehört zu zählen.</w:t>
      </w:r>
    </w:p>
    <w:p>
      <w:pPr>
        <w:pStyle w:val="Fliesstext"/>
        <w:ind w:firstLine="283"/>
      </w:pPr>
      <w:r>
        <w:t>Und der ganze Aufwand hat genau ein Ziel: dass ich abends im Dunkeln draufhauen kann, ohne nachzudenken.</w:t>
      </w:r>
    </w:p>
    <w:p>
      <w:pPr>
        <w:pStyle w:val="Zwischen"/>
      </w:pPr>
      <w:r>
        <w:t>Langeweile ist eine Leistung</w:t>
      </w:r>
    </w:p>
    <w:p>
      <w:pPr>
        <w:pStyle w:val="Fliesstext"/>
      </w:pPr>
      <w:r>
        <w:t>Wir reden über Alltag, als sei er der Ruhezustand, in den die Dinge von selbst zurückfallen, wenn die Aufregung vorbei ist. Als müsste man nur lange genug warten, dann wird das Neue schon normal. Ich halte das für den größten Denkfehler, den man aus fünfhundert Jahren Technikgeschichte ziehen kann, und er liegt gefährlich nah an dem, was dieses Buch erzählt.</w:t>
      </w:r>
    </w:p>
    <w:p>
      <w:pPr>
        <w:pStyle w:val="Fliesstext"/>
        <w:ind w:firstLine="283"/>
      </w:pPr>
      <w:r>
        <w:t>Der Strom in meiner Wand ist nicht harmlos geworden, weil die Leute sich an ihn gewöhnt haben. Er hat Menschen umgebracht, bevor er langweilig wurde. Im Kapitel über den Stromkrieg hast du gelesen, wie zynisch mit dieser Tatsache Politik gemacht wurde: Edison ließ öffentlich Tiere töten, um dem Wechselstrom seines Konkurrenten das Etikett des Mörders anzuhängen, und am 6. August 1890 starb in Auburn der erste Mensch auf einem elektrischen Stuhl, betrieben mit genau diesem Wechselstrom.[1] Die Angst vor Elektrizität war nicht albern. Sie war in einer Zeit ohne Isolierstandards und ohne Schutzschalter schlicht angemessen.</w:t>
      </w:r>
    </w:p>
    <w:p>
      <w:pPr>
        <w:pStyle w:val="Fliesstext"/>
        <w:ind w:firstLine="283"/>
      </w:pPr>
      <w:r>
        <w:t>Nicht jede Sorge von damals war allerdings von derselben Sorte. 1878 schrieb Robert Louis Stevenson eine kleine Verteidigung der Gaslaterne, in der ihm das neue elektrische Licht als grell und anstößig erschien, als etwas, das man den Augen nicht antun sollte; die durchleuchtete Nacht war eine kulturelle Beunruhigung für sich.[2] In der Einleitung habe ich drei Sorten von Technikangst unterschieden: die erfundene, die geschürte und die berechtigte. Mein Lichtschalter enthält alle drei. Stevensons Einwand war Geschmack, und Geschmack vergeht, ohne dass jemand etwas dagegen bauen muss. Edisons Kampagne war Geschäft. Nur die dritte Sorte hat etwas hinterlassen, das heute noch da ist. Sie sitzt bei mir im Keller in einem grauen Kasten.</w:t>
      </w:r>
    </w:p>
    <w:p>
      <w:pPr>
        <w:pStyle w:val="Fliesstext"/>
        <w:ind w:firstLine="283"/>
      </w:pPr>
      <w:r>
        <w:t>Der Strom wurde nicht dadurch zahm, dass die Angst verflog. Die Angst verflog, weil er zahm gemacht wurde. Und zwar von Leuten, die währenddessen Angst hatten.</w:t>
      </w:r>
    </w:p>
    <w:p>
      <w:pPr>
        <w:pStyle w:val="Fliesstext"/>
        <w:ind w:firstLine="283"/>
      </w:pPr>
      <w:r>
        <w:t>Beim Auto dasselbe Muster, nur schlechter gelaunt. Die erste Antwort des britischen Gesetzgebers auf motorisierte Fahrzeuge war eine Vorschrift, über die heute jeder lacht: Ein Mann musste dem Fahrzeug zu Fuß vorausgehen und eine rote Fahne tragen. Die Fahne fiel 1878 weg, die Begleitperson blieb noch, und erst 1896 wurde das Tempolimit auf immerhin knapp 23 Stundenkilometer angehoben.[3] Man kann das für die Karikatur einer überängstlichen Behörde halten. Man kann es auch als das lesen, was es war: ein erster, ungeschickter Versuch, eine tödliche Maschine mit dem Fußgängerverkehr zu versöhnen. Die Fahne war die falsche Antwort. Aber die Frage stimmte.</w:t>
      </w:r>
    </w:p>
    <w:p>
      <w:pPr>
        <w:pStyle w:val="Fliesstext"/>
        <w:ind w:firstLine="283"/>
      </w:pPr>
      <w:r>
        <w:t xml:space="preserve">Und die Frage hatte einen Gegenstand. In den amerikanischen Städten gab es ein eigenes Wort für die Fahrer, die durch die Straßen jagten: </w:t>
      </w:r>
      <w:r>
        <w:rPr>
          <w:i/>
        </w:rPr>
        <w:t>scorchers</w:t>
      </w:r>
      <w:r>
        <w:t>. Und es gab Erfinder, die das Problem an der falschen Stelle lösen wollten — Uriah Smith schlug 1899 ein Fahrzeug vor, dem vorn ein hölzerner Pferdekopf aufgesetzt war, damit die echten Pferde nicht scheuten.[4] Man kann darüber lachen und sollte nicht übersehen, wie ernst es gemeint war: Da versuchte jemand, zwei unverträgliche Verkehrssysteme zu versöhnen, und griff zum einzigen Mittel, das ihm einfiel — Tarnung.</w:t>
      </w:r>
    </w:p>
    <w:p>
      <w:pPr>
        <w:pStyle w:val="Fliesstext"/>
        <w:ind w:firstLine="283"/>
      </w:pPr>
      <w:r>
        <w:t>Die Fahne und der Pferdekopf haben etwas gemeinsam. Beide behandeln das Fahrzeug. Keiner behandelt die Straße. Die richtigen Antworten kamen später, sie betrafen die Umgebung statt das Gerät, und sie sind heute so selbstverständlich, dass wir sie nicht mehr als Antworten erkennen. Führerschein. Zulassung. Kennzeichen. Ampel. Zebrastreifen. Gurt. Bremsprüfung. Haftpflichtversicherung. Fahrbahnmarkierung.</w:t>
      </w:r>
    </w:p>
    <w:p>
      <w:pPr>
        <w:pStyle w:val="Fliesstext"/>
        <w:ind w:firstLine="283"/>
      </w:pPr>
      <w:r>
        <w:t>Es lohnt sich zu übersetzen, was diese Wörter bedeuten. Ein Nummernschild heißt: Diese Maschine ist einer Person zuordenbar, immer, auch wenn sie wegfährt. Eine Pflichtversicherung heißt: Der Schaden bleibt nicht am Opfer hängen, nur weil der Verursacher arm ist. Eine Fahrprüfung heißt: Wir haben entschieden, diese Maschine nicht jedem in die Hand zu geben, der sie bezahlen kann. Am Gurt sieht man es am kürzesten — ein Band, ein Schloss, eine Aufrollmechanik; das Technische daran ist in einem Nachmittag erklärt, alles Schwierige daran war sozial. Jedes einzelne dieser Dinge war einmal neu, wurde diskutiert, kostete Geld und ärgerte irgendwen. Zusammen sorgen sie dafür, dass du dein Kind heute morgens allein zur Schule laufen lässt, durch eine Stadt voller Zweitonnen-Geschosse, und dabei nicht das Gefühl hast, etwas Verrücktes zu tun.</w:t>
      </w:r>
    </w:p>
    <w:p>
      <w:pPr>
        <w:pStyle w:val="Fliesstext"/>
        <w:ind w:firstLine="283"/>
      </w:pPr>
      <w:r>
        <w:t>Und beim Buchdruck war es nicht anders, wie du im ersten Kapitel gesehen hast. Register und Inhaltsverzeichnisse, Seitenzahlen, Titelblätter, Bibliografien, Zitierregeln, Quellenkritik, Verlagsruf, Bibliotheken, Urheberrecht, Presserecht, irgendwann der wissenschaftliche Begutachtungsbetrieb. Nichts davon war eine Eigenschaft der Druckerpresse. Alles davon war die Antwort auf sie.</w:t>
      </w:r>
    </w:p>
    <w:p>
      <w:pPr>
        <w:pStyle w:val="Fliesstext"/>
        <w:ind w:firstLine="283"/>
      </w:pPr>
      <w:r>
        <w:t>Nimm nur die Fußnote. Sie sieht aus wie ein Formalismus für Pedanten. Tatsächlich ist sie ein Gerät: Sie zwingt den Schreibenden, offenzulegen, woher er etwas hat, und sie erlaubt dem Lesenden, ihn zu widerlegen, ohne ihn fragen zu müssen. Die Endnoten in diesem Buch sind der Grund, warum du mir nicht glauben musst. Das ist keine Nettigkeit von mir. Das ist eine Kulturtechnik, die jemand erfinden musste, weil es irgendwann zu viele Bücher gab, um allen zu vertrauen.</w:t>
      </w:r>
    </w:p>
    <w:p>
      <w:pPr>
        <w:pStyle w:val="Fliesstext"/>
        <w:ind w:firstLine="283"/>
      </w:pPr>
      <w:r>
        <w:t>Ich will diesen Gedanken so scharf formulieren, wie ich kann, weil er das Einzige ist, was ich dir aus diesem Buch wirklich mitgeben möchte:</w:t>
      </w:r>
    </w:p>
    <w:p>
      <w:pPr>
        <w:pStyle w:val="Fliesstext"/>
        <w:ind w:firstLine="283"/>
      </w:pPr>
      <w:r>
        <w:t>Banalität ist kein Naturzustand. Banalität ist ein Bauwerk.</w:t>
      </w:r>
    </w:p>
    <w:p>
      <w:pPr>
        <w:pStyle w:val="Fliesstext"/>
        <w:ind w:firstLine="283"/>
      </w:pPr>
      <w:r>
        <w:t>Und wie jedes Bauwerk hat es eine Bauzeit. Während der Bauzeit steht es noch nicht. Das Unangenehme an unserer Lage ist nicht, dass niemand weiß, wie das Haus am Ende aussieht. Das Unangenehme ist, dass wir währenddessen darin wohnen.</w:t>
      </w:r>
    </w:p>
    <w:p>
      <w:pPr>
        <w:pStyle w:val="Zwischen"/>
      </w:pPr>
      <w:r>
        <w:t>Trithemius hat verloren und gewonnen</w:t>
      </w:r>
    </w:p>
    <w:p>
      <w:pPr>
        <w:pStyle w:val="Fliesstext"/>
      </w:pPr>
      <w:r>
        <w:t>Damit komme ich noch einmal zurück zu dem Mann, mit dem dieses Buch angefangen hat.</w:t>
      </w:r>
    </w:p>
    <w:p>
      <w:pPr>
        <w:pStyle w:val="Fliesstext"/>
        <w:ind w:firstLine="283"/>
      </w:pPr>
      <w:r>
        <w:t>Johannes Trithemius, Abt zu Sponheim, schrieb 1492 gegen den Buchdruck an und ließ die Schrift dann drucken.[5] Wir haben das Paradox ausgekostet, und es ist auch ein gutes Paradox. Aber der Spott ist die halbe Geschichte, und beim Schreiben dieses Buches ist mir die andere Hälfte immer wichtiger geworden.</w:t>
      </w:r>
    </w:p>
    <w:p>
      <w:pPr>
        <w:pStyle w:val="Fliesstext"/>
        <w:ind w:firstLine="283"/>
      </w:pPr>
      <w:r>
        <w:t>Trithemius hatte Angst um das Denken. Er fürchtete, die Maschine nehme dem Menschen die Mühe ab und mit der Mühe das Verstehen. In der Sache hat er verloren, so klar, wie man nur verlieren kann. Der Druck hat uns nicht dumm gemacht, er hat Alphabetisierung, Wissenschaft und Aufklärung überhaupt erst möglich gemacht.</w:t>
      </w:r>
    </w:p>
    <w:p>
      <w:pPr>
        <w:pStyle w:val="Fliesstext"/>
        <w:ind w:firstLine="283"/>
      </w:pPr>
      <w:r>
        <w:t>Nur: Beschützt wurde das Denken trotzdem. Nicht von ihm und nicht mit seinen Mitteln, sondern von Generationen, die Quellenkritik erfunden haben, Fußnoten, Bibliothekskataloge, das Handwerk des Prüfens. Die Antwort auf seine Sorge war nicht der Verzicht auf die Presse. Die Antwort war eine neue Kulturtechnik. Sein Ziel hat gewonnen, sein Weg dorthin war falsch.</w:t>
      </w:r>
    </w:p>
    <w:p>
      <w:pPr>
        <w:pStyle w:val="Fliesstext"/>
        <w:ind w:firstLine="283"/>
      </w:pPr>
      <w:r>
        <w:t>Ich glaube, das ist die freundlichste und zugleich anspruchsvollste Lesart, die man einem Technikkritiker anbieten kann. Deine Sorge ist ernst zu nehmen. Deine Lösung — anhalten, zurückdrehen, verbieten — ist es meistens nicht. Wer heute sagt, KI schade dem eigenständigen Denken, hat einen Punkt, und in Kapitel sieben hast du die Daten dazu gesehen, die mir selbst nicht gefallen. Aber die Konsequenz daraus ist nicht, das Werkzeug wegzulegen. Die Konsequenz ist, herauszufinden, wie die Fußnote des einundzwanzigsten Jahrhunderts aussieht.</w:t>
      </w:r>
    </w:p>
    <w:p>
      <w:pPr>
        <w:pStyle w:val="Fliesstext"/>
        <w:ind w:firstLine="283"/>
      </w:pPr>
      <w:r>
        <w:t>Ich weiß nicht, wie sie aussieht, ich habe nur Vermutungen: ein Herkunftsnachweis, der an einer Datei klebt und nicht abfällt, wenn man sie kopiert. Die Angewohnheit, bei jeder Zahl zu fragen, aus welchem System sie gefallen ist. Vielleicht etwas so Unspektakuläres wie ein Feld in einem Formular, in das ein Mensch seinen Namen schreibt, weil er die Sache gegengezeichnet hat. Die Fußnote hat auch niemand als große Erfindung angekündigt.</w:t>
      </w:r>
    </w:p>
    <w:p>
      <w:pPr>
        <w:pStyle w:val="Zwischen"/>
      </w:pPr>
      <w:r>
        <w:t>Die Angst war der Antrieb</w:t>
      </w:r>
    </w:p>
    <w:p>
      <w:pPr>
        <w:pStyle w:val="Fliesstext"/>
      </w:pPr>
      <w:r>
        <w:t>Es gibt an dieser Stelle einen Einwand, den ich mir selbst mache. Wenn Angst am Ende immer unbegründet aussieht, wozu dann überhaupt Angst?</w:t>
      </w:r>
    </w:p>
    <w:p>
      <w:pPr>
        <w:pStyle w:val="Fliesstext"/>
        <w:ind w:firstLine="283"/>
      </w:pPr>
      <w:r>
        <w:t>Die Antwort ist unbequem für alle, die aus diesem Buch eine Entwarnung machen wollen. Ohne die Angst hätte niemand die Schutzmechanismen gebaut.</w:t>
      </w:r>
    </w:p>
    <w:p>
      <w:pPr>
        <w:pStyle w:val="Fliesstext"/>
        <w:ind w:firstLine="283"/>
      </w:pPr>
      <w:r>
        <w:t>Nimm den Fall aus dem fünften Kapitel. Als Kodak Ende des neunzehnten Jahrhunderts die Kamera in jede Hand legte, war die Aufregung enorm, und aus heutiger Sicht wirkt manches davon hysterisch. Aus dieser Aufregung heraus schrieben Samuel Warren und Louis Brandeis 1890 einen Aufsatz, der das moderne Recht auf Privatsphäre begründete und die „instantaneous photographs" ausdrücklich als Anlass nannte.[6] Ohne die Kamerapanik kein „right to be let alone". Die Angst hat nicht gestört. Die Angst hat geliefert.</w:t>
      </w:r>
    </w:p>
    <w:p>
      <w:pPr>
        <w:pStyle w:val="Fliesstext"/>
        <w:ind w:firstLine="283"/>
      </w:pPr>
      <w:r>
        <w:t>Genauso beim Strom. Wer keine Furcht vor tödlichen Spannungen hat, baut keinen Fehlerstromschutzschalter. Wer den Verkehrstoten gleichgültig gegenübersteht, erfindet keinen Gurt. Die Sorge ist der Rohstoff, aus dem Schutz gemacht wird, und eine Gesellschaft, die vor gar nichts Angst hat, ist keine mutige Gesellschaft, sondern eine unvorsichtige.</w:t>
      </w:r>
    </w:p>
    <w:p>
      <w:pPr>
        <w:pStyle w:val="Fliesstext"/>
        <w:ind w:firstLine="283"/>
      </w:pPr>
      <w:r>
        <w:t>Nur — und das ist der Unterschied, um den sich die zwölf Kapitel vor diesem gedreht haben — die Angst liefert nur, wenn sie in Arbeit übergeht. Angst, die im Kreis läuft, produziert nichts außer Erschöpfung. Angst, die sich in Empörung entlädt, produziert Klicks. Angst, die sich an einen Schreibtisch setzt und fragt „wie verhindern wir das konkret", produziert Sicherungskästen, Prüfsiegel und Gesetze. Zwischen der ersten und der dritten Sorte liegt keine Charakterfrage. Da liegt eine Frage der Richtung.</w:t>
      </w:r>
    </w:p>
    <w:p>
      <w:pPr>
        <w:pStyle w:val="Zwischen"/>
      </w:pPr>
      <w:r>
        <w:t>Die zweite Frage meiner Kollegin</w:t>
      </w:r>
    </w:p>
    <w:p>
      <w:pPr>
        <w:pStyle w:val="Fliesstext"/>
      </w:pPr>
      <w:r>
        <w:t>Ich habe dir ganz am Anfang von der Kollegin erzählt, deren Stundenbuchungen mein erster Bot übernommen hat. Zwei Sätze in zehn Sekunden: „Gott sei Dank." Und dann, leiser: „Und was mache ich jetzt?"</w:t>
      </w:r>
    </w:p>
    <w:p>
      <w:pPr>
        <w:pStyle w:val="Fliesstext"/>
        <w:ind w:firstLine="283"/>
      </w:pPr>
      <w:r>
        <w:t>Über Jahre habe ich den zweiten Satz als die Angstfrage gelesen. Als das dunkle Echo auf die Erleichterung. Inzwischen sehe ich das anders, und ich glaube, das ist die Erkenntnis, die dieses Buch für mich selbst hatte.</w:t>
      </w:r>
    </w:p>
    <w:p>
      <w:pPr>
        <w:pStyle w:val="Fliesstext"/>
        <w:ind w:firstLine="283"/>
      </w:pPr>
      <w:r>
        <w:t>„Und was mache ich jetzt?" ist keine Angstfrage. Es ist eine Gestaltungsfrage, die sich nur wie eine Angstfrage anhört, weil sie leise gestellt wird.</w:t>
      </w:r>
    </w:p>
    <w:p>
      <w:pPr>
        <w:pStyle w:val="Fliesstext"/>
        <w:ind w:firstLine="283"/>
      </w:pPr>
      <w:r>
        <w:t>Wer fragt, was er jetzt macht, hat innerlich schon akzeptiert, dass das Alte weg ist, und ist beim nächsten Schritt. Das ist mehr, als die meisten Debattenbeiträge zum Thema KI leisten. Die eigentliche Angstfrage lautet nämlich anders. Sie lautet: „Wird man mich brauchen?" Und die ist deshalb so lähmend, weil sie die Antwort an jemand anderen delegiert. Da entscheiden die anderen, ob man gebraucht wird. „Was mache ich jetzt" entscheidest du.</w:t>
      </w:r>
    </w:p>
    <w:p>
      <w:pPr>
        <w:pStyle w:val="Fliesstext"/>
        <w:ind w:firstLine="283"/>
      </w:pPr>
      <w:r>
        <w:t>Das ist keine Wortklauberei, die beiden Fragen führen zu unterschiedlichen Nachmittagen. Die eine wartet auf ein Signal von oben und liest Andeutungen in Mails hinein. Die andere probiert etwas aus und weiß freitags mehr als montags.</w:t>
      </w:r>
    </w:p>
    <w:p>
      <w:pPr>
        <w:pStyle w:val="Fliesstext"/>
        <w:ind w:firstLine="283"/>
      </w:pPr>
      <w:r>
        <w:t>Meine Kollegin hat, wie du weißt, ihren Job behalten und macht heute Dinge, für die vorher nie Zeit war. Ich will daraus keine Garantie basteln. In Kapitel sechs hast du die Zahlen gesehen, auch die unangenehmen, und niemand kann dir versprechen, dass jede Verschiebung so glimpflich ausgeht wie diese. Aber ich habe in fünfzehn Jahren Automatisierungsarbeit noch nie erlebt, dass jemandem die zweite Frage geschadet hätte. Geschadet hat immer nur, sie gar nicht erst zu stellen.</w:t>
      </w:r>
    </w:p>
    <w:p>
      <w:pPr>
        <w:pStyle w:val="Zwischen"/>
      </w:pPr>
      <w:r>
        <w:t>Es reicht nicht, einzusteigen</w:t>
      </w:r>
    </w:p>
    <w:p>
      <w:pPr>
        <w:pStyle w:val="Fliesstext"/>
      </w:pPr>
      <w:r>
        <w:t>Am Ende der Einleitung habe ich geschrieben: Die Lok fährt los, ob wir Angst haben oder nicht, und die Frage sei bloß, ob wir am Bahnsteig stehen bleiben oder einsteigen. Ich finde den Satz immer noch richtig. Ich finde ihn inzwischen auch faul.</w:t>
      </w:r>
    </w:p>
    <w:p>
      <w:pPr>
        <w:pStyle w:val="Fliesstext"/>
        <w:ind w:firstLine="283"/>
      </w:pPr>
      <w:r>
        <w:t>Denn Einsteigen ist die bequemste Form der Beteiligung. Man sitzt, es ruckelt kurz, dann fährt man mit. Nur: Ein Zug ist nicht deshalb ein sicheres Verkehrsmittel, weil viele Leute eingestiegen sind. Er ist es, weil jemand Bremsen entwickelt hat, die auch dann greifen, wenn der Zug reißt. Weil jemand Signale gesetzt und ein System erdacht hat, das verhindert, dass zwei Züge denselben Abschnitt befahren. Weil jemand Fahrpläne schreibt, Schranken wartet, Gleise prüft und entscheidet, wo die Strecke überhaupt langgeht — und wo eben nicht, weil dort Menschen wohnen.</w:t>
      </w:r>
    </w:p>
    <w:p>
      <w:pPr>
        <w:pStyle w:val="Fliesstext"/>
        <w:ind w:firstLine="283"/>
      </w:pPr>
      <w:r>
        <w:t xml:space="preserve">Auch diese Bremsen haben eine Angstgeschichte. Die bayerische Ärztewarnung aus der Einleitung ist höchstwahrscheinlich eine Legende. Was es wirklich gab, war eine ernsthafte medizinische Auseinandersetzung über die Folgen von Eisenbahnunfällen. Der Londoner Chirurg John Eric Erichsen beschrieb 1866 Nervenschäden nach solchen Unfällen; unter dem Namen </w:t>
      </w:r>
      <w:r>
        <w:rPr>
          <w:i/>
        </w:rPr>
        <w:t>railway spine</w:t>
      </w:r>
      <w:r>
        <w:t xml:space="preserve"> wurde daraus eine Diagnose, über die jahrzehntelang gestritten wurde und die sich am Ende nicht gehalten hat.[7] Die Diagnose war falsch. Die Unfälle waren echt. Und die Bremsen sind nicht entstanden, weil jemand die Eisenbahn schön fand.</w:t>
      </w:r>
    </w:p>
    <w:p>
      <w:pPr>
        <w:pStyle w:val="Fliesstext"/>
        <w:ind w:firstLine="283"/>
      </w:pPr>
      <w:r>
        <w:t>Die interessanten Leute in dieser Geschichte sind nicht die Passagiere. Es sind die, die die Bremsen gebaut haben.</w:t>
      </w:r>
    </w:p>
    <w:p>
      <w:pPr>
        <w:pStyle w:val="Fliesstext"/>
        <w:ind w:firstLine="283"/>
      </w:pPr>
      <w:r>
        <w:t>Bei der KI wird gerade an genau diesen Dingen gearbeitet, und das meiste davon ist unspektakulär bis langweilig. Die Europäische Union hat mit der KI-Verordnung einen Rahmen gesetzt, der seit August 2024 in Kraft ist und dessen Pflichten gestaffelt bis 2027 greifen.[8] Über die Qualität dieses Gesetzes kann man streiten, und in Kapitel acht habe ich das getan. Aber es ist ein Bremsversuch, und Bremsversuche sind besser als Bremslosigkeit, auch wenn der erste Entwurf quietscht wie eine rote Fahne vor dem Auto.</w:t>
      </w:r>
    </w:p>
    <w:p>
      <w:pPr>
        <w:pStyle w:val="Fliesstext"/>
        <w:ind w:firstLine="283"/>
      </w:pPr>
      <w:r>
        <w:t>Der größere Teil der Arbeit passiert allerdings nicht in Brüssel. Er passiert in Teams, die festlegen, welche Entscheidung ein Modell treffen darf und welche ein Mensch gegenzeichnen muss. In Schulen, die klären, wofür ein Chatbot erlaubt ist und wofür nicht. In Betriebsräten, die aushandeln, was mit den frei werdenden Stunden geschieht. In Redaktionen, die Herkunftsnachweise einführen. An deinem Küchentisch, wenn du deinem Kind erklärst, warum ein Video echt aussehen kann und trotzdem gelogen ist. Das sind die Register und Fußnoten unserer Zeit. Sie werden gerade geschrieben, ziemlich unordentlich, von sehr vielen Leuten gleichzeitig, und du bist einer davon, ob du willst oder nicht.</w:t>
      </w:r>
    </w:p>
    <w:p>
      <w:pPr>
        <w:pStyle w:val="Zwischen"/>
      </w:pPr>
      <w:r>
        <w:t>Warum mir das persönlich wichtig ist</w:t>
      </w:r>
    </w:p>
    <w:p>
      <w:pPr>
        <w:pStyle w:val="Fliesstext"/>
      </w:pPr>
      <w:r>
        <w:t>Ich bin Optimist. Das habe ich in diesem Buch nicht versteckt, und du hast an mehreren Stellen gesehen, wie ich gegen meine eigene Begeisterung anschreiben musste, weil die Daten nicht mitspielten.</w:t>
      </w:r>
    </w:p>
    <w:p>
      <w:pPr>
        <w:pStyle w:val="Fliesstext"/>
        <w:ind w:firstLine="283"/>
      </w:pPr>
      <w:r>
        <w:t>Aber ich bin ein arbeitender Optimist. Meine Zuversicht ist keine Prognose, sie ist eine Arbeitshaltung. Ich glaube nicht, dass es gut wird. Ich glaube, dass es gut werden kann, wenn genug Leute sich hinsetzen und es gut machen.</w:t>
      </w:r>
    </w:p>
    <w:p>
      <w:pPr>
        <w:pStyle w:val="Fliesstext"/>
        <w:ind w:firstLine="283"/>
      </w:pPr>
      <w:r>
        <w:t>Das hat mit meiner Herkunft zu tun. Mein Großvater kam als Gastarbeiter hierher, mein Vater wurde mit vierzehn nachgeholt, ohne ein Wort Deutsch, und wurde Schlosser. Meine Mutter war siebzehn, als ich zur Welt kam, allein in einem Land, dessen Sprache ihr nach fünfunddreißig Jahren noch schwerfällt. In dieser Familie hat niemand darauf gewartet, dass die Verhältnisse sich von selbst freundlich sortieren. Jeder ist seines Glückes Schmied, sage ich gern, und ich habe lange gebraucht, um zu merken, dass in diesem Satz das wichtigste Wort „Schmied" ist. Ein Schmied braucht eine Esse, einen Hammer und jemanden, der ihm zeigt, wie man den Hammer hält. Ohne Werkzeug ist der Spruch nur eine Zumutung an Leute, die ohnehin schon zu wenig haben.</w:t>
      </w:r>
    </w:p>
    <w:p>
      <w:pPr>
        <w:pStyle w:val="Fliesstext"/>
        <w:ind w:firstLine="283"/>
      </w:pPr>
      <w:r>
        <w:t>Mein Vater hat den Spruch nie gesagt. Er hat einfach das Handwerk gelernt, das zu lernen war, in einer Sprache, die er noch nicht konnte.</w:t>
      </w:r>
    </w:p>
    <w:p>
      <w:pPr>
        <w:pStyle w:val="Fliesstext"/>
        <w:ind w:firstLine="283"/>
      </w:pPr>
      <w:r>
        <w:t>Technik ist auch so ein Werkzeug, und sie ist eines der zugänglichsten, die es je gab. Ich habe mit sieben Jahren Webseiten gebaut, weil ein Computer im Haus stand und niemand mich davon abgehalten hat. Später, in der Ausbildung zum Informatikkaufmann, kamen die ersten Automatisierungen dazu, mit VBA und Access — keine Systeme, kleine Dinger, die mir meine eigene Arbeit erleichtert haben. Niemand hat mir das beigebracht, niemand hat mich darum gebeten; es hat mich schlicht genervt, dieselben Zahlen zweimal einzutippen. Alles, was ich heute beruflich kann, hängt an einer Kette solcher genervten Nachmittage. Dass ich mir abends inzwischen Programme bauen kann, ohne dafür noch programmieren zu müssen wie damals, ist ein historisch ziemlich einmaliger Zustand. Wer sich darauf einlässt, verschiebt seinen Handlungsspielraum, und das gilt am meisten für die, die keinen Startvorteil mitbekommen haben.</w:t>
      </w:r>
    </w:p>
    <w:p>
      <w:pPr>
        <w:pStyle w:val="Fliesstext"/>
        <w:ind w:firstLine="283"/>
      </w:pPr>
      <w:r>
        <w:t>Meine Frau und ich arbeiten ehrenamtlich mit Jugendlichen. Ich mag die Rolle des Mentors, ziemlich sicher deshalb, weil ich selbst keinen hatte und genau weiß, was mir gefehlt hat. Es fehlte mir nicht an Information; Information gab es auch damals reichlich. Es fehlte jemand, der einmal sagt: Was du da machst, ist keine Spielerei, das ist ein Beruf.</w:t>
      </w:r>
    </w:p>
    <w:p>
      <w:pPr>
        <w:pStyle w:val="Fliesstext"/>
        <w:ind w:firstLine="283"/>
      </w:pPr>
      <w:r>
        <w:t>Was ich diesen jungen Leuten sage, ist nicht „lern KI, sonst wirst du abgehängt". Das ist eine Drohung, und Drohungen erziehen zu Angst, nicht zu Können. Sie erzeugen außerdem die Haltung, die am wenigsten trägt: dass man sich mit einer Sache beschäftigt, damit einem nichts passiert. Dabei bleibt niemand lange. Was ich sage, ist: Bau dir was. Irgendwas Kleines, das dir selbst nützt. Dann merkst du in zwei Wochen mehr über diese Werkzeuge, ihre Stärken und ihre Lügen, als in zwei Jahren Debatte darüber. Und dann zeig es jemandem — nicht wegen des Lobs, sondern weil du beim Erklären merkst, welchen Teil du wirklich verstanden hast.</w:t>
      </w:r>
    </w:p>
    <w:p>
      <w:pPr>
        <w:pStyle w:val="Fliesstext"/>
        <w:ind w:firstLine="283"/>
      </w:pPr>
      <w:r>
        <w:t>Denn genau da kippt es. Angst ist ein Gefühl über etwas, das man nicht kennt. Kompetenz ist das, was daraus wird, wenn man es anfasst. Angst, die nichts zu tun bekommt, wird zu Vermeidung. Angst, die etwas zu tun bekommt, wird zu Sorgfalt. Ich hätte gern eine Gesellschaft voller sorgfältiger Leute; eine furchtlose wäre mir unheimlich.</w:t>
      </w:r>
    </w:p>
    <w:p>
      <w:pPr>
        <w:pStyle w:val="Fliesstext"/>
        <w:ind w:firstLine="283"/>
      </w:pPr>
      <w:r>
        <w:t>Ich wünsche mir also nicht, dass du deine Angst verlierst. Ich wünsche mir, dass du sie umbaust.</w:t>
      </w:r>
    </w:p>
    <w:p>
      <w:pPr>
        <w:pStyle w:val="Zwischen"/>
      </w:pPr>
      <w:r>
        <w:t>Woran man es merken wird</w:t>
      </w:r>
    </w:p>
    <w:p>
      <w:pPr>
        <w:pStyle w:val="Fliesstext"/>
      </w:pPr>
      <w:r>
        <w:t>Eine Prognose bekommst du von mir nicht. In Kapitel neun habe ich zu ausführlich erklärt, warum man Vorhersagen mit spitzen Fingern anfasst, als dass ich hier eine hinlegen dürfte. Eine Frage darf ich stellen, und ich finde sie ohnehin nützlicher: Woran würdest du in zwanzig Jahren merken, dass es gut gelaufen ist?</w:t>
      </w:r>
    </w:p>
    <w:p>
      <w:pPr>
        <w:pStyle w:val="Fliesstext"/>
        <w:ind w:firstLine="283"/>
      </w:pPr>
      <w:r>
        <w:t>Meine eigene Antwort ist unspektakulär, und das ist Absicht.</w:t>
      </w:r>
    </w:p>
    <w:p>
      <w:pPr>
        <w:pStyle w:val="Fliesstext"/>
        <w:ind w:firstLine="283"/>
      </w:pPr>
      <w:r>
        <w:t>Daran, dass niemand mehr „mit KI" auf eine Verpackung schreibt, weil es so wenig Verkaufsargument hergibt wie „mit Strom". Daran, dass in einer Schulordnung ein nüchterner Absatz dazu steht, über den keine Konferenz mehr zwei Stunden diskutiert. Daran, dass unter einem Bescheid steht, wer ihn verantwortet, und dass diese Angabe stimmt. Daran, dass eine Auszubildende im ersten Jahr Aufgaben bekommt, an denen sie etwas lernt, und nicht nur die Reste, die das System übrig gelassen hat.</w:t>
      </w:r>
    </w:p>
    <w:p>
      <w:pPr>
        <w:pStyle w:val="Fliesstext"/>
        <w:ind w:firstLine="283"/>
      </w:pPr>
      <w:r>
        <w:t>Und daran, dass ein Kind irgendwann fragt, warum wir früher eigentlich so ein Theater darum gemacht haben. In genau dem Ton, in dem meine Generation gefragt hat, warum vor Autos einmal ein Mann mit einer roten Fahne herlaufen musste.</w:t>
      </w:r>
    </w:p>
    <w:p>
      <w:pPr>
        <w:pStyle w:val="Fliesstext"/>
        <w:ind w:firstLine="283"/>
      </w:pPr>
      <w:r>
        <w:t>Das wäre die Ziellinie. Nicht Begeisterung. Langeweile.</w:t>
      </w:r>
    </w:p>
    <w:p>
      <w:pPr>
        <w:pStyle w:val="Fliesstext"/>
        <w:ind w:firstLine="283"/>
      </w:pPr>
      <w:r>
        <w:t>Ob es dazu kommt, weiß ich nicht. Ich weiß nur, woran es hängt: an ziemlich vielen Leuten, die jeweils eine ziemlich kleine Entscheidung treffen.</w:t>
      </w:r>
    </w:p>
    <w:p>
      <w:pPr>
        <w:pStyle w:val="Zwischen"/>
      </w:pPr>
      <w:r>
        <w:t>Zum Schluss</w:t>
      </w:r>
    </w:p>
    <w:p>
      <w:pPr>
        <w:pStyle w:val="Fliesstext"/>
      </w:pPr>
      <w:r>
        <w:t>Der nächste Alltag ist noch nicht gebaut. Er wird aus Regeln bestehen, die noch niemand geschrieben hat, aus Gewohnheiten, die sich noch niemand angewöhnt hat, und aus vielen kleinen Entscheidungen, die morgen früh irgendwo an einem Schreibtisch getroffen werden. Vielleicht an deinem.</w:t>
      </w:r>
    </w:p>
    <w:p>
      <w:pPr>
        <w:pStyle w:val="Fliesstext"/>
        <w:ind w:firstLine="283"/>
      </w:pPr>
      <w:r>
        <w:t>Vertrauen ist dabei keine Stimmung, die dich überkommt, wenn die Nachrichten mal freundlicher sind. Es ist eine Entscheidung, die du triffst, bevor du sicher sein kannst, und danach ist es Arbeit.</w:t>
      </w:r>
    </w:p>
    <w:p>
      <w:pPr>
        <w:pStyle w:val="Fliesstext"/>
        <w:ind w:firstLine="283"/>
      </w:pPr>
      <w:r>
        <w:t>Erst kam die Angst. Der Alltag kommt nicht von allein. Bauen wir ihn.</w:t>
      </w:r>
    </w:p>
    <w:p>
      <w:pPr>
        <w:pStyle w:val="Zwischen"/>
      </w:pPr>
      <w:r>
        <w:t>Quellen zum Schluss</w:t>
      </w:r>
    </w:p>
    <w:p>
      <w:pPr>
        <w:pStyle w:val="Fliesstext"/>
      </w:pPr>
      <w:r>
        <w:rPr>
          <w:i/>
        </w:rPr>
        <w:t>(Endnoten kapitelweise nummeriert, in Reihenfolge des Auftretens im Text; Mapping auf `QUELLEN.md`.)</w:t>
      </w:r>
    </w:p>
    <w:p>
      <w:pPr>
        <w:pStyle w:val="Fliesstext"/>
        <w:ind w:firstLine="283"/>
      </w:pPr>
      <w:r>
        <w:t>[1] Zum „Stromkrieg": Edisons Angstkampagne gegen den Wechselstrom, die öffentlichen Tier-Elektrokutionen und der elektrische Stuhl; William Kemmler, erste Hinrichtung am 6. August 1890 in Auburn (Wechselstrom). → QUELLEN.md Nr. 9, 11. — Ausführlich in Kapitel 2 belegt.</w:t>
      </w:r>
    </w:p>
    <w:p>
      <w:pPr>
        <w:pStyle w:val="Fliesstext"/>
        <w:ind w:firstLine="283"/>
      </w:pPr>
      <w:r>
        <w:t xml:space="preserve">[2] ▲ Robert Louis Stevenson: </w:t>
      </w:r>
      <w:r>
        <w:rPr>
          <w:i/>
        </w:rPr>
        <w:t>A Plea for Gas Lamps</w:t>
      </w:r>
      <w:r>
        <w:t xml:space="preserve">, 1878 (in </w:t>
      </w:r>
      <w:r>
        <w:rPr>
          <w:i/>
        </w:rPr>
        <w:t>Virginibus Puerisque</w:t>
      </w:r>
      <w:r>
        <w:t xml:space="preserve">, 1881) — elektrisches Licht als grell, augenschädlich und anstößig. Zur Kulturgeschichte der Beleuchtungsangst ergänzend Laura E. Ludtke: </w:t>
      </w:r>
      <w:r>
        <w:rPr>
          <w:i/>
        </w:rPr>
        <w:t>Sleep, disruption and the „nightmare of total illumination"</w:t>
      </w:r>
      <w:r>
        <w:t xml:space="preserve">, Interface Focus 10(3):20190130, 2020. → QUELLEN.md Nr. 12, 13. — Ausführlich in Kapitel 2 behandelt. </w:t>
      </w:r>
      <w:r>
        <w:rPr>
          <w:b/>
        </w:rPr>
        <w:t>Im Text Paraphrase, kein Wortzitat; Wortlaut vor Drucklegung am Volltext festlegen.</w:t>
      </w:r>
    </w:p>
    <w:p>
      <w:pPr>
        <w:pStyle w:val="Fliesstext"/>
        <w:ind w:firstLine="283"/>
      </w:pPr>
      <w:r>
        <w:t xml:space="preserve">[3] ▲ </w:t>
      </w:r>
      <w:r>
        <w:rPr>
          <w:i/>
        </w:rPr>
        <w:t>Locomotive Acts</w:t>
      </w:r>
      <w:r>
        <w:t xml:space="preserve"> (Großbritannien): „Red Flag Act" 1865 mit vorausgehender Begleitperson und roter Fahne; Streichung der Fahne 1878; Anhebung der zulässigen Geschwindigkeit auf 14 mph (≈ 22,5 km/h) durch den </w:t>
      </w:r>
      <w:r>
        <w:rPr>
          <w:i/>
        </w:rPr>
        <w:t>Locomotives on Highways Act</w:t>
      </w:r>
      <w:r>
        <w:t xml:space="preserve"> 1896. → QUELLEN.md Nr. 18. </w:t>
      </w:r>
      <w:r>
        <w:rPr>
          <w:b/>
        </w:rPr>
        <w:t>Datums- und Tempoangaben vor Drucklegung am Gesetzestext gegenlesen.</w:t>
      </w:r>
    </w:p>
    <w:p>
      <w:pPr>
        <w:pStyle w:val="Fliesstext"/>
        <w:ind w:firstLine="283"/>
      </w:pPr>
      <w:r>
        <w:t xml:space="preserve">[4] ▲ Saturday Evening Post: </w:t>
      </w:r>
      <w:r>
        <w:rPr>
          <w:i/>
        </w:rPr>
        <w:t>Get A Horse! America's Skepticism Toward the First Automobiles</w:t>
      </w:r>
      <w:r>
        <w:t xml:space="preserve">, 2017 — zeitgenössischer Schmähbegriff „scorchers"; Uriah Smiths Entwurf „Horsey Horseless" (1899) mit aufgesetztem hölzernem Pferdekopf. → QUELLEN.md Nr. 17. — Ausführlich in Kapitel 3 behandelt. </w:t>
      </w:r>
      <w:r>
        <w:rPr>
          <w:b/>
        </w:rPr>
        <w:t>Sekundärquelle; Jahr und Zuschreibung vor Drucklegung an zeitgenössischem Material prüfen.</w:t>
      </w:r>
    </w:p>
    <w:p>
      <w:pPr>
        <w:pStyle w:val="Fliesstext"/>
        <w:ind w:firstLine="283"/>
      </w:pPr>
      <w:r>
        <w:t xml:space="preserve">[5] Johannes Trithemius: </w:t>
      </w:r>
      <w:r>
        <w:rPr>
          <w:i/>
        </w:rPr>
        <w:t>De laude scriptorum</w:t>
      </w:r>
      <w:r>
        <w:t xml:space="preserve"> („Lob der Schreiber"), verfasst 1492, gedruckt 1494 bei Peter von Friedberg in Mainz. → QUELLEN.md Nr. 1, 3. — Ausführlich in Kapitel 1 belegt.</w:t>
      </w:r>
    </w:p>
    <w:p>
      <w:pPr>
        <w:pStyle w:val="Fliesstext"/>
        <w:ind w:firstLine="283"/>
      </w:pPr>
      <w:r>
        <w:t xml:space="preserve">[6] Samuel D. Warren &amp; Louis D. Brandeis: </w:t>
      </w:r>
      <w:r>
        <w:rPr>
          <w:i/>
        </w:rPr>
        <w:t>The Right to Privacy.</w:t>
      </w:r>
      <w:r>
        <w:t xml:space="preserve"> 4 Harvard Law Review 193 (1890) — „instantaneous photographs" als ausdrücklicher Anlass; „right to be let alone". → QUELLEN.md Nr. 43, ergänzend 113. — Ausführlich in Kapitel 5 belegt. </w:t>
      </w:r>
      <w:r>
        <w:rPr>
          <w:b/>
        </w:rPr>
        <w:t>Wortlaut der Zitate vor Drucklegung am Volltext festlegen.</w:t>
      </w:r>
    </w:p>
    <w:p>
      <w:pPr>
        <w:pStyle w:val="Fliesstext"/>
        <w:ind w:firstLine="283"/>
      </w:pPr>
      <w:r>
        <w:t xml:space="preserve">[7] ▲ John Eric Erichsen: </w:t>
      </w:r>
      <w:r>
        <w:rPr>
          <w:i/>
        </w:rPr>
        <w:t>On Railway and Other Injuries of the Nervous System</w:t>
      </w:r>
      <w:r>
        <w:t xml:space="preserve">, 1866; zum Aufstieg und Verschwinden der Diagnose </w:t>
      </w:r>
      <w:r>
        <w:rPr>
          <w:i/>
        </w:rPr>
        <w:t>railway spine</w:t>
      </w:r>
      <w:r>
        <w:t xml:space="preserve">: Spitzer/Mull u. a., </w:t>
      </w:r>
      <w:r>
        <w:rPr>
          <w:i/>
        </w:rPr>
        <w:t>The rise and fall of Erichsen's disease (railroad spine)</w:t>
      </w:r>
      <w:r>
        <w:t xml:space="preserve">, Spinal Cord/Paraplegia 1996. → QUELLEN.md Nr. 7, 8; zum Legendenstatus der bayerischen Ärztewarnung Nr. 5, 6. </w:t>
      </w:r>
      <w:r>
        <w:rPr>
          <w:b/>
        </w:rPr>
        <w:t>Autoren- und Bandangabe der Aufarbeitung von 1996 vor Drucklegung prüfen.</w:t>
      </w:r>
    </w:p>
    <w:p>
      <w:pPr>
        <w:pStyle w:val="Fliesstext"/>
        <w:ind w:firstLine="283"/>
      </w:pPr>
      <w:r>
        <w:t>[8] Verordnung (EU) 2024/1689 (KI-Verordnung / AI Act): in Kraft seit 1. August 2024; Verbote ab 2. Februar 2025, Pflichten für KI-Modelle mit allgemeinem Verwendungszweck ab 2. August 2025, Hochrisiko-Pflichten ab 2. August 2026, vollständige Anwendbarkeit ab 2. August 2027. → QUELLEN.md Nr. 84. — Ausführlich in Kapitel 8 behandelt.</w:t>
      </w:r>
    </w:p>
    <w:p>
      <w:pPr>
        <w:pStyle w:val="Fliesstext"/>
        <w:ind w:firstLine="283"/>
      </w:pPr>
      <w:r>
        <w:rPr>
          <w:i/>
        </w:rPr>
        <w:t>Nicht belegt und daher als persönliche Erfahrung, Deutung oder Haltung des Autors gekennzeichnet:</w:t>
      </w:r>
      <w:r>
        <w:t xml:space="preserve"> die Flur- und Lichtschalter-Szene samt der Deutung, dass Sicherheitsregeln überwiegend Reaktionen auf eingetretene Schäden sind; die Einordnung des Gurts als vor allem soziales Problem; die Einschätzung zur zweiten Frage der Kollegin; die Vermutungen zur „Fußnote des einundzwanzigsten Jahrhunderts"; die biografischen Angaben zu Familie, Ausbildung und Ehrenamt; die Liste der Anzeichen dafür, dass „es gut gelaufen ist"; sämtliche Wertungen zur weiteren Entwicklung der KI.</w:t>
      </w:r>
    </w:p>
    <w:p>
      <w:r>
        <w:br w:type="page"/>
      </w:r>
    </w:p>
    <w:p>
      <w:pPr>
        <w:pStyle w:val="KapitelTitel"/>
      </w:pPr>
      <w:r>
        <w:t>Anmerkungen</w:t>
      </w:r>
    </w:p>
    <w:p>
      <w:pPr>
        <w:pStyle w:val="Klein"/>
      </w:pPr>
      <w:r>
        <w:rPr>
          <w:i/>
        </w:rPr>
        <w:t>Die Nummerierung läuft kapitelweise. Mit ▲ markierte Belege sind vor Drucklegung am Volltext gegenzulesen; die vollständige Prüfliste liegt in der Projektdokumentation.</w:t>
      </w:r>
    </w:p>
    <w:p>
      <w:pPr>
        <w:pStyle w:val="Zwischen"/>
      </w:pPr>
      <w:r>
        <w:t>Einleitung — Wovor hast du eigentlich Angst?</w:t>
      </w:r>
    </w:p>
    <w:p>
      <w:pPr>
        <w:pStyle w:val="Anmerkung"/>
      </w:pPr>
      <w:r>
        <w:t xml:space="preserve">[1] Johannes Trithemius: </w:t>
      </w:r>
      <w:r>
        <w:rPr>
          <w:i/>
        </w:rPr>
        <w:t>De Laude Scriptorum (Lob der Schreiber)</w:t>
      </w:r>
      <w:r>
        <w:t>. 1492 (gedruckt). Vgl. krit. Ausgabe hrsg. Klaus Arnold, Übers. R. Behrendt, 1974; History of Information. → QUELLEN.md Nr. 1, 3. ▲ Wortlaut vor Druck verifizieren.</w:t>
      </w:r>
    </w:p>
    <w:p>
      <w:pPr>
        <w:pStyle w:val="Anmerkung"/>
      </w:pPr>
      <w:r>
        <w:t xml:space="preserve">[2] Erasmus von Rotterdam: Klage über die „Bücherflut" (Adagium </w:t>
      </w:r>
      <w:r>
        <w:rPr>
          <w:i/>
        </w:rPr>
        <w:t>Festina lente</w:t>
      </w:r>
      <w:r>
        <w:t>, 1525/26). → QUELLEN.md Nr. 4. ▲ vor Druck am Original absichern.</w:t>
      </w:r>
    </w:p>
    <w:p>
      <w:pPr>
        <w:pStyle w:val="Anmerkung"/>
      </w:pPr>
      <w:r>
        <w:t xml:space="preserve">[3] Zur „bayerischen Ärztewarnung" als wahrscheinliche Legende, zum Archiv-Negativbefund und zum Treitschke-Ursprung: </w:t>
      </w:r>
      <w:r>
        <w:rPr>
          <w:i/>
        </w:rPr>
        <w:t>Eisenbahnkrankheit</w:t>
      </w:r>
      <w:r>
        <w:t xml:space="preserve"> (Überblick m. Forschungsstand); W. K. Mück (kein Obermedizinalkollegium um 1835 nachweisbar). → QUELLEN.md Nr. 5, 6.</w:t>
      </w:r>
    </w:p>
    <w:p>
      <w:pPr>
        <w:pStyle w:val="Anmerkung"/>
      </w:pPr>
      <w:r>
        <w:t xml:space="preserve">[4] Amy Orben: </w:t>
      </w:r>
      <w:r>
        <w:rPr>
          <w:i/>
        </w:rPr>
        <w:t>The Sisyphean Cycle of Technology Panics</w:t>
      </w:r>
      <w:r>
        <w:t>. Perspectives on Psychological Science 15(5), 2020, DOI 10.1177/1745691620919372. → QUELLEN.md Nr. 54.</w:t>
      </w:r>
    </w:p>
    <w:p>
      <w:pPr>
        <w:pStyle w:val="Anmerkung"/>
      </w:pPr>
      <w:r>
        <w:t xml:space="preserve">[5] Samuel D. Warren &amp; Louis D. Brandeis: </w:t>
      </w:r>
      <w:r>
        <w:rPr>
          <w:i/>
        </w:rPr>
        <w:t>The Right to Privacy</w:t>
      </w:r>
      <w:r>
        <w:t>. 4 Harvard Law Review 193 (1890). → QUELLEN.md Nr. 43.</w:t>
      </w:r>
    </w:p>
    <w:p>
      <w:pPr>
        <w:pStyle w:val="Anmerkung"/>
      </w:pPr>
      <w:r>
        <w:t>[6] Elektronische Mediennutzung &amp; Schlafqualität (Meta-Analyse). → QUELLEN.md Nr. 41.</w:t>
      </w:r>
    </w:p>
    <w:p>
      <w:pPr>
        <w:pStyle w:val="Anmerkung"/>
      </w:pPr>
      <w:r>
        <w:t>[7] Zum „Stromkrieg": Edisons AC-Angstkampagne, Harold P. Brown, öffentliche Tier-Elektrokutionen, Begriff „to be Westinghoused"; technische Überlegenheit und Durchsetzung des Wechselstroms. → QUELLEN.md Nr. 9, 10.</w:t>
      </w:r>
    </w:p>
    <w:p>
      <w:pPr>
        <w:pStyle w:val="Anmerkung"/>
      </w:pPr>
      <w:r>
        <w:t>[8] Erste Hinrichtung auf dem elektrischen Stuhl: William Kemmler, 6.8.1890, Auburn (New York), Wechselstrom. → QUELLEN.md Nr. 11.</w:t>
      </w:r>
    </w:p>
    <w:p>
      <w:pPr>
        <w:pStyle w:val="Anmerkung"/>
      </w:pPr>
      <w:r>
        <w:t xml:space="preserve">[9] Robert Louis Stevenson: </w:t>
      </w:r>
      <w:r>
        <w:rPr>
          <w:i/>
        </w:rPr>
        <w:t>A Plea for Gas Lamps</w:t>
      </w:r>
      <w:r>
        <w:t xml:space="preserve">. 1878, in </w:t>
      </w:r>
      <w:r>
        <w:rPr>
          <w:i/>
        </w:rPr>
        <w:t>Virginibus Puerisque</w:t>
      </w:r>
      <w:r>
        <w:t>, 1881 („horrible, unearthly, obnoxious to the human eye"). → QUELLEN.md Nr. 12. ▲ Deutsche Übersetzung der zitierten Wendungen vor Drucklegung festlegen; im Text bewusst Paraphrase.</w:t>
      </w:r>
    </w:p>
    <w:p>
      <w:pPr>
        <w:pStyle w:val="Anmerkung"/>
      </w:pPr>
      <w:r>
        <w:t xml:space="preserve">[10] </w:t>
      </w:r>
      <w:r>
        <w:rPr>
          <w:i/>
        </w:rPr>
        <w:t>Locomotive Acts</w:t>
      </w:r>
      <w:r>
        <w:t xml:space="preserve"> (Großbritannien): Red Flag Act 1865; Wegfall der roten Fahne 1878; Anhebung der Tempolimits 1896. → QUELLEN.md Nr. 18. ▲ Datierungen vor Drucklegung final prüfen.</w:t>
      </w:r>
    </w:p>
    <w:p>
      <w:pPr>
        <w:pStyle w:val="Anmerkung"/>
      </w:pPr>
      <w:r>
        <w:t xml:space="preserve">[11] Goldman Sachs Research (Briggs/Kodnani): </w:t>
      </w:r>
      <w:r>
        <w:rPr>
          <w:i/>
        </w:rPr>
        <w:t>Generative AI Could Raise Global GDP by 7%</w:t>
      </w:r>
      <w:r>
        <w:t>. 2023. [Prognose] → QUELLEN.md Nr. 96.</w:t>
      </w:r>
    </w:p>
    <w:p>
      <w:pPr>
        <w:pStyle w:val="Anmerkung"/>
      </w:pPr>
      <w:r>
        <w:t xml:space="preserve">[12] Daron Acemoglu: </w:t>
      </w:r>
      <w:r>
        <w:rPr>
          <w:i/>
        </w:rPr>
        <w:t>The Simple Macroeconomics of AI</w:t>
      </w:r>
      <w:r>
        <w:t>. NBER Working Paper 32487, April 2024 (≤ 0,66 % TFP über zehn Jahre). [Prognose] → QUELLEN.md Nr. 110.</w:t>
      </w:r>
    </w:p>
    <w:p>
      <w:pPr>
        <w:pStyle w:val="Anmerkung"/>
      </w:pPr>
      <w:r>
        <w:t xml:space="preserve">[13] IEA: </w:t>
      </w:r>
      <w:r>
        <w:rPr>
          <w:i/>
        </w:rPr>
        <w:t>Energy and AI</w:t>
      </w:r>
      <w:r>
        <w:t>. April 2025 (Rechenzentren 2024: rund 415 TWh, ca. 1,5 % des weltweiten Stromverbrauchs). → QUELLEN.md Nr. 86.</w:t>
      </w:r>
    </w:p>
    <w:p>
      <w:pPr>
        <w:pStyle w:val="Anmerkung"/>
      </w:pPr>
      <w:r>
        <w:t xml:space="preserve">[14] Gegenläufige Produktivitätsbefunde: Brynjolfsson/Li/Raymond, </w:t>
      </w:r>
      <w:r>
        <w:rPr>
          <w:i/>
        </w:rPr>
        <w:t>Generative AI at Work</w:t>
      </w:r>
      <w:r>
        <w:t xml:space="preserve">, QJE 140(2), 2025 (~15 %); Peng et al., </w:t>
      </w:r>
      <w:r>
        <w:rPr>
          <w:i/>
        </w:rPr>
        <w:t>GitHub Copilot</w:t>
      </w:r>
      <w:r>
        <w:t xml:space="preserve">, arXiv:2302.06590, 2023 — gegenüber METR: </w:t>
      </w:r>
      <w:r>
        <w:rPr>
          <w:i/>
        </w:rPr>
        <w:t>Measuring the Impact of Early-2025 AI on Experienced Open-Source Developer Productivity</w:t>
      </w:r>
      <w:r>
        <w:t>, arXiv:2507.09089, 2025 (19 % langsamer bei gegenteiliger Selbsteinschätzung). → QUELLEN.md Nr. 55, 56, 64.</w:t>
      </w:r>
    </w:p>
    <w:p>
      <w:pPr>
        <w:pStyle w:val="Anmerkung"/>
      </w:pPr>
      <w:r>
        <w:t xml:space="preserve">[15] Clifford Stoll: </w:t>
      </w:r>
      <w:r>
        <w:rPr>
          <w:i/>
        </w:rPr>
        <w:t>Why the Web Won't Be Nirvana</w:t>
      </w:r>
      <w:r>
        <w:t>. Newsweek, 1995. → QUELLEN.md Nr. 35. ▲ Wortlaut/Datum vor Drucklegung am Originalartikel prüfen.</w:t>
      </w:r>
    </w:p>
    <w:p>
      <w:pPr>
        <w:pStyle w:val="Zwischen"/>
      </w:pPr>
      <w:r>
        <w:t>Kapitel 1 — Die Angst ist älter als die Maschine</w:t>
      </w:r>
    </w:p>
    <w:p>
      <w:pPr>
        <w:pStyle w:val="Anmerkung"/>
      </w:pPr>
      <w:r>
        <w:t xml:space="preserve">[1] Johannes Trithemius: </w:t>
      </w:r>
      <w:r>
        <w:rPr>
          <w:i/>
        </w:rPr>
        <w:t>De laude scriptorum</w:t>
      </w:r>
      <w:r>
        <w:t xml:space="preserve"> („Lob der Schreiber"), verfasst 1492, gedruckt 1494 bei Peter von Friedberg, Mainz. Argumente (Müßiggang, Qualität, Haltbarkeit) und Druck-Paradox nach: Wikipedia (en) </w:t>
      </w:r>
      <w:r>
        <w:rPr>
          <w:i/>
        </w:rPr>
        <w:t>De laude scriptorum / Johannes Trithemius</w:t>
      </w:r>
      <w:r>
        <w:t xml:space="preserve">; History of Information, </w:t>
      </w:r>
      <w:r>
        <w:rPr>
          <w:i/>
        </w:rPr>
        <w:t>Trithemius Favors Vellum over Paper</w:t>
      </w:r>
      <w:r>
        <w:t>. → QUELLEN.md Nr. 1.</w:t>
      </w:r>
    </w:p>
    <w:p>
      <w:pPr>
        <w:pStyle w:val="Anmerkung"/>
      </w:pPr>
      <w:r>
        <w:t xml:space="preserve">[2] purplemotes.net: </w:t>
      </w:r>
      <w:r>
        <w:rPr>
          <w:i/>
        </w:rPr>
        <w:t>Trithemius on printing, scribes, and reason</w:t>
      </w:r>
      <w:r>
        <w:t>, 2012. — Ergänzend zur Eigennutzung des Drucks durch Trithemius. → QUELLEN.md Nr. 2.</w:t>
      </w:r>
    </w:p>
    <w:p>
      <w:pPr>
        <w:pStyle w:val="Anmerkung"/>
      </w:pPr>
      <w:r>
        <w:t xml:space="preserve">[3] ▲ Johannes Trithemius: </w:t>
      </w:r>
      <w:r>
        <w:rPr>
          <w:i/>
        </w:rPr>
        <w:t>In Praise of Scribes (De Laude Scriptorum)</w:t>
      </w:r>
      <w:r>
        <w:t xml:space="preserve">, hrsg. Klaus Arnold, Übers. Roland Behrendt, Coronado Press, Lawrence/Kansas 1974; dt. krit. Ausgabe Arnold, Würzburg 1973. → QUELLEN.md Nr. 3. </w:t>
      </w:r>
      <w:r>
        <w:rPr>
          <w:b/>
        </w:rPr>
        <w:t>Wortlaut der Paraphrasen vor Drucklegung an der Edition gegenlesen.</w:t>
      </w:r>
    </w:p>
    <w:p>
      <w:pPr>
        <w:pStyle w:val="Anmerkung"/>
      </w:pPr>
      <w:r>
        <w:t xml:space="preserve">[4] ▲ Platon: </w:t>
      </w:r>
      <w:r>
        <w:rPr>
          <w:i/>
        </w:rPr>
        <w:t>Phaidros</w:t>
      </w:r>
      <w:r>
        <w:t xml:space="preserve"> 274c–275b (Theuth-und-Thamus-Mythos; Schrift erzeuge Vergessen, „scheinbar weise statt weise"). → QUELLEN.md Nr. 111. </w:t>
      </w:r>
      <w:r>
        <w:rPr>
          <w:b/>
        </w:rPr>
        <w:t>Deutsche Übersetzung/Stellenangabe vor Drucklegung festlegen (Schleiermacher o. neuere Ausgabe).</w:t>
      </w:r>
    </w:p>
    <w:p>
      <w:pPr>
        <w:pStyle w:val="Anmerkung"/>
      </w:pPr>
      <w:r>
        <w:t xml:space="preserve">[5] ▲ Erasmus von Rotterdam: „Schwärme neuer Bücher", Adagium </w:t>
      </w:r>
      <w:r>
        <w:rPr>
          <w:i/>
        </w:rPr>
        <w:t>Festina lente</w:t>
      </w:r>
      <w:r>
        <w:t xml:space="preserve">, </w:t>
      </w:r>
      <w:r>
        <w:rPr>
          <w:i/>
        </w:rPr>
        <w:t>Adagia</w:t>
      </w:r>
      <w:r>
        <w:t xml:space="preserve">-Ausgabe 1525/26. → QUELLEN.md Nr. 4. </w:t>
      </w:r>
      <w:r>
        <w:rPr>
          <w:b/>
        </w:rPr>
        <w:t>Wortlaut verifizieren.</w:t>
      </w:r>
    </w:p>
    <w:p>
      <w:pPr>
        <w:pStyle w:val="Anmerkung"/>
      </w:pPr>
      <w:r>
        <w:t xml:space="preserve">[6] ▲ Heinrich Kramer (Institoris): </w:t>
      </w:r>
      <w:r>
        <w:rPr>
          <w:i/>
        </w:rPr>
        <w:t>Malleus Maleficarum</w:t>
      </w:r>
      <w:r>
        <w:t xml:space="preserve"> („Hexenhammer"), Erstdruck 1486/87; zahlreiche gedruckte Auflagen als Verbreitungsfaktor. → QUELLEN.md Nr. 112. </w:t>
      </w:r>
      <w:r>
        <w:rPr>
          <w:b/>
        </w:rPr>
        <w:t>Auflagenzahl und Wirkungsgrad an Standardliteratur absichern; Forschungsstreit über das Gewicht des Einzelwerks im Text bereits kenntlich gemacht.</w:t>
      </w:r>
    </w:p>
    <w:p>
      <w:pPr>
        <w:pStyle w:val="Anmerkung"/>
      </w:pPr>
      <w:r>
        <w:t xml:space="preserve">[7] ▲ Zur Inkunabelzeit: Gutenberg-Bibel (42 Zeilen), Mainz um 1454/55; Ausbreitung des Drucks (u. a. Köln und Subiaco 1465, Venedig 1469, Paris 1470, Krakau 1473, Westminster/Caxton 1476); Druckorte bis 1500; Zahl der verzeichneten Inkunabel-Ausgaben und Spannbreite der Auflagenschätzungen. → QUELLEN.md Nr. 119. </w:t>
      </w:r>
      <w:r>
        <w:rPr>
          <w:b/>
        </w:rPr>
        <w:t>Alle Jahres-, Städte- und Mengenangaben am Incunabula Short Title Catalogue gegenlesen; Auflagenschätzung im Text bewusst als Spanne geführt.</w:t>
      </w:r>
    </w:p>
    <w:p>
      <w:pPr>
        <w:pStyle w:val="Anmerkung"/>
      </w:pPr>
      <w:r>
        <w:t>[8] ▲ Zur Werkstatt: Arbeitsgang einer frühen Offizin (Setzkasten, Winkelhaken, Form, Lederballen mit Hundehaar, angefeuchtetes Papier, zwei Züge pro Bogen), Leistung einer Handpresse, Größenordnung der Offizin Anton Kobergers in Nürnberg (</w:t>
      </w:r>
      <w:r>
        <w:rPr>
          <w:i/>
        </w:rPr>
        <w:t>Schedelsche Weltchronik</w:t>
      </w:r>
      <w:r>
        <w:t xml:space="preserve">, 1493). → QUELLEN.md Nr. 120. </w:t>
      </w:r>
      <w:r>
        <w:rPr>
          <w:b/>
        </w:rPr>
        <w:t>Rekonstruktion nach Bildquellen und Handbüchern; Stundenleistung und Kobergers Betriebsgröße absichern.</w:t>
      </w:r>
    </w:p>
    <w:p>
      <w:pPr>
        <w:pStyle w:val="Anmerkung"/>
      </w:pPr>
      <w:r>
        <w:t xml:space="preserve">[9] ▲ Zur Biografie: Johannes Trithemius, geb. 1462 in Trittenheim, ab 1483 Abt von Sponheim, 1506 Weggang nach Würzburg (St. Jakob), gest. 1516; Ausbau der Klosterbibliothek von wenigen Dutzend auf rund zweitausend Bände. → QUELLEN.md Nr. 121. </w:t>
      </w:r>
      <w:r>
        <w:rPr>
          <w:b/>
        </w:rPr>
        <w:t>Bibliotheksumfang und Datierungen an der Arnold-Literatur prüfen.</w:t>
      </w:r>
    </w:p>
    <w:p>
      <w:pPr>
        <w:pStyle w:val="Anmerkung"/>
      </w:pPr>
      <w:r>
        <w:t xml:space="preserve">[10] ▲ Johannes Trithemius: </w:t>
      </w:r>
      <w:r>
        <w:rPr>
          <w:i/>
        </w:rPr>
        <w:t>Liber de scriptoribus ecclesiasticis</w:t>
      </w:r>
      <w:r>
        <w:t xml:space="preserve">, Basel 1494 — frühe gedruckte Bibliografie. → QUELLEN.md Nr. 122. </w:t>
      </w:r>
      <w:r>
        <w:rPr>
          <w:b/>
        </w:rPr>
        <w:t>Druckort, Drucker und Umfang verifizieren.</w:t>
      </w:r>
    </w:p>
    <w:p>
      <w:pPr>
        <w:pStyle w:val="Anmerkung"/>
      </w:pPr>
      <w:r>
        <w:t xml:space="preserve">[11] ▲ Johannes Trithemius: </w:t>
      </w:r>
      <w:r>
        <w:rPr>
          <w:i/>
        </w:rPr>
        <w:t>Steganographia</w:t>
      </w:r>
      <w:r>
        <w:t xml:space="preserve">, um 1499 verfasst, Erstdruck 1606, kurz darauf indiziert. → QUELLEN.md Nr. 123. </w:t>
      </w:r>
      <w:r>
        <w:rPr>
          <w:b/>
        </w:rPr>
        <w:t>Druck- und Indizierungsjahr verifizieren.</w:t>
      </w:r>
    </w:p>
    <w:p>
      <w:pPr>
        <w:pStyle w:val="Anmerkung"/>
      </w:pPr>
      <w:r>
        <w:t xml:space="preserve">[12] ▲ Platon: </w:t>
      </w:r>
      <w:r>
        <w:rPr>
          <w:i/>
        </w:rPr>
        <w:t>Phaidros</w:t>
      </w:r>
      <w:r>
        <w:t xml:space="preserve"> — Rahmenhandlung (Ilissos, Platane) sowie 275c–276a: Schrift als Gemälde, das auf Fragen schweigt; der Text kann seine Leser nicht wählen und sich nicht verteidigen; die „lebendige" Rede in der Seele. → QUELLEN.md Nr. 111 (erweitert). </w:t>
      </w:r>
      <w:r>
        <w:rPr>
          <w:b/>
        </w:rPr>
        <w:t>Stellenangaben und Übersetzung festlegen; im Text durchgehend Paraphrase, kein Wortzitat.</w:t>
      </w:r>
    </w:p>
    <w:p>
      <w:pPr>
        <w:pStyle w:val="Anmerkung"/>
      </w:pPr>
      <w:r>
        <w:t xml:space="preserve">[13] ▲ Platon (zugeschrieben): </w:t>
      </w:r>
      <w:r>
        <w:rPr>
          <w:i/>
        </w:rPr>
        <w:t>Siebter Brief</w:t>
      </w:r>
      <w:r>
        <w:t xml:space="preserve"> 341c–d — von den letzten Dingen gebe es keine Schrift. Echtheit in der Forschung umstritten; im Text ausdrücklich als umstritten gekennzeichnet. → QUELLEN.md Nr. 124.</w:t>
      </w:r>
    </w:p>
    <w:p>
      <w:pPr>
        <w:pStyle w:val="Anmerkung"/>
      </w:pPr>
      <w:r>
        <w:t xml:space="preserve">[14] ▲ Aldus Manutius und Erasmus: aldinische Offizin in Venedig ab 1494/95, Oktavformat, Kursive ab 1501 (Schnitt Francesco Griffo), Signet Delphin und Anker für </w:t>
      </w:r>
      <w:r>
        <w:rPr>
          <w:i/>
        </w:rPr>
        <w:t>festina lente</w:t>
      </w:r>
      <w:r>
        <w:t xml:space="preserve">; Erasmus' Aufenthalt in Venedig 1508 und die dort gedruckte erweiterte </w:t>
      </w:r>
      <w:r>
        <w:rPr>
          <w:i/>
        </w:rPr>
        <w:t>Adagia</w:t>
      </w:r>
      <w:r>
        <w:t xml:space="preserve">-Ausgabe; Wachstum der </w:t>
      </w:r>
      <w:r>
        <w:rPr>
          <w:i/>
        </w:rPr>
        <w:t>Adagia</w:t>
      </w:r>
      <w:r>
        <w:t xml:space="preserve">; aldinische Warnung vor Lyoner Nachdrucken. → QUELLEN.md Nr. 125, ergänzend Nr. 4. </w:t>
      </w:r>
      <w:r>
        <w:rPr>
          <w:b/>
        </w:rPr>
        <w:t>Datierungen und Fälschungswarnung verifizieren.</w:t>
      </w:r>
    </w:p>
    <w:p>
      <w:pPr>
        <w:pStyle w:val="Anmerkung"/>
      </w:pPr>
      <w:r>
        <w:t xml:space="preserve">[15] Ann Blair: </w:t>
      </w:r>
      <w:r>
        <w:rPr>
          <w:i/>
        </w:rPr>
        <w:t>Too Much to Know. Managing Scholarly Information before the Modern Age</w:t>
      </w:r>
      <w:r>
        <w:t>. Yale University Press, New Haven 2010. — Standardwerk zur frühneuzeitlichen Informationsfülle und ihren Hilfsmitteln (Register, Florilegien, Kompendien). → QUELLEN.md Nr. 126.</w:t>
      </w:r>
    </w:p>
    <w:p>
      <w:pPr>
        <w:pStyle w:val="Anmerkung"/>
      </w:pPr>
      <w:r>
        <w:t xml:space="preserve">[16] ▲ Conrad Gessner: </w:t>
      </w:r>
      <w:r>
        <w:rPr>
          <w:i/>
        </w:rPr>
        <w:t>Bibliotheca universalis</w:t>
      </w:r>
      <w:r>
        <w:t xml:space="preserve">, Zürich 1545 — Versuch eines Gesamtverzeichnisses der lateinischen, griechischen und hebräischen Literatur. → QUELLEN.md Nr. 127. </w:t>
      </w:r>
      <w:r>
        <w:rPr>
          <w:b/>
        </w:rPr>
        <w:t>Umfangsangaben vor Drucklegung prüfen.</w:t>
      </w:r>
    </w:p>
    <w:p>
      <w:pPr>
        <w:pStyle w:val="Anmerkung"/>
      </w:pPr>
      <w:r>
        <w:t xml:space="preserve">[17] ▲ Gedruckte Messkataloge der Frankfurter Buchmesse ab 1564 (Georg Willer, Augsburg). → QUELLEN.md Nr. 128. </w:t>
      </w:r>
      <w:r>
        <w:rPr>
          <w:b/>
        </w:rPr>
        <w:t>Jahr und Urheber verifizieren.</w:t>
      </w:r>
    </w:p>
    <w:p>
      <w:pPr>
        <w:pStyle w:val="Anmerkung"/>
      </w:pPr>
      <w:r>
        <w:t xml:space="preserve">[18] ▲ </w:t>
      </w:r>
      <w:r>
        <w:rPr>
          <w:i/>
        </w:rPr>
        <w:t>Journal des sçavans</w:t>
      </w:r>
      <w:r>
        <w:t xml:space="preserve"> (Paris, Januar 1665) und </w:t>
      </w:r>
      <w:r>
        <w:rPr>
          <w:i/>
        </w:rPr>
        <w:t>Philosophical Transactions of the Royal Society</w:t>
      </w:r>
      <w:r>
        <w:t xml:space="preserve"> (London, ab 6. März 1665, hrsg. Henry Oldenburg) als erste wissenschaftliche Zeitschriften; systematische Begutachtung erst später. → QUELLEN.md Nr. 129. </w:t>
      </w:r>
      <w:r>
        <w:rPr>
          <w:b/>
        </w:rPr>
        <w:t>Daten verifizieren; Aussage zur Begutachtung bewusst unbestimmt gehalten.</w:t>
      </w:r>
    </w:p>
    <w:p>
      <w:pPr>
        <w:pStyle w:val="Anmerkung"/>
      </w:pPr>
      <w:r>
        <w:t xml:space="preserve">[19] Elizabeth L. Eisenstein: </w:t>
      </w:r>
      <w:r>
        <w:rPr>
          <w:i/>
        </w:rPr>
        <w:t>The Printing Press as an Agent of Change</w:t>
      </w:r>
      <w:r>
        <w:t xml:space="preserve">. Cambridge University Press 1979; dagegen Adrian Johns: </w:t>
      </w:r>
      <w:r>
        <w:rPr>
          <w:i/>
        </w:rPr>
        <w:t>The Nature of the Book. Print and Knowledge in the Making</w:t>
      </w:r>
      <w:r>
        <w:t>. University of Chicago Press 1998. — Forschungsstreit über „fixity"/Standardisierung als Eigenschaft des Drucks; im Text als Streit kenntlich gemacht. → QUELLEN.md Nr. 130.</w:t>
      </w:r>
    </w:p>
    <w:p>
      <w:pPr>
        <w:pStyle w:val="Anmerkung"/>
      </w:pPr>
      <w:r>
        <w:t xml:space="preserve">[20] ▲ Andrew Pettegree: </w:t>
      </w:r>
      <w:r>
        <w:rPr>
          <w:i/>
        </w:rPr>
        <w:t>Brand Luther</w:t>
      </w:r>
      <w:r>
        <w:t xml:space="preserve">. Penguin, New York 2015. — Wittenberg als Druckort, Luthers Nutzung der Flugschrift, Anteil seiner Schriften an der deutschen Druckproduktion nach 1518, Septembertestament 1522 und Nachdruck im Dezember. → QUELLEN.md Nr. 131. </w:t>
      </w:r>
      <w:r>
        <w:rPr>
          <w:b/>
        </w:rPr>
        <w:t>Anteils- und Auflagenangaben an Pettegree gegenlesen; im Text bewusst ohne Prozentzahl formuliert.</w:t>
      </w:r>
    </w:p>
    <w:p>
      <w:pPr>
        <w:pStyle w:val="Anmerkung"/>
      </w:pPr>
      <w:r>
        <w:t xml:space="preserve">[21] ▲ Nikolaus Kopernikus: </w:t>
      </w:r>
      <w:r>
        <w:rPr>
          <w:i/>
        </w:rPr>
        <w:t>De revolutionibus orbium coelestium</w:t>
      </w:r>
      <w:r>
        <w:t xml:space="preserve">, Nürnberg 1543; Andreas Vesalius: </w:t>
      </w:r>
      <w:r>
        <w:rPr>
          <w:i/>
        </w:rPr>
        <w:t>De humani corporis fabrica</w:t>
      </w:r>
      <w:r>
        <w:t xml:space="preserve">, Basel 1543. → QUELLEN.md Nr. 132. </w:t>
      </w:r>
      <w:r>
        <w:rPr>
          <w:b/>
        </w:rPr>
        <w:t>Drucker und Erscheinungsdaten verifizieren.</w:t>
      </w:r>
    </w:p>
    <w:p>
      <w:pPr>
        <w:pStyle w:val="Anmerkung"/>
      </w:pPr>
      <w:r>
        <w:t xml:space="preserve">[22] ▲ Zum </w:t>
      </w:r>
      <w:r>
        <w:rPr>
          <w:i/>
        </w:rPr>
        <w:t>Malleus Maleficarum</w:t>
      </w:r>
      <w:r>
        <w:t xml:space="preserve"> im Detail: Erstdruck Speyer 1486/87; Voranstellung der Bulle </w:t>
      </w:r>
      <w:r>
        <w:rPr>
          <w:i/>
        </w:rPr>
        <w:t>Summis desiderantes affectibus</w:t>
      </w:r>
      <w:r>
        <w:t xml:space="preserve"> (1484); umstrittene Approbation der Kölner theologischen Fakultät; Kramers Scheitern in Innsbruck 1485; Auflagengeschichte in zwei Wellen. → QUELLEN.md Nr. 133. </w:t>
      </w:r>
      <w:r>
        <w:rPr>
          <w:b/>
        </w:rPr>
        <w:t>Druckerangabe, Auflagenverteilung und der Manipulationsvorwurf zur Kölner Approbation an der Standardliteratur (Behringer, Levack, Mackay) absichern.</w:t>
      </w:r>
    </w:p>
    <w:p>
      <w:pPr>
        <w:pStyle w:val="Anmerkung"/>
      </w:pPr>
      <w:r>
        <w:t xml:space="preserve">[23] ▲ Zur Chronologie und Größenordnung der europäischen Hexenverfolgung: Höhepunkt etwa 1560–1630; Schätzungen der Hinrichtungszahlen meist zwischen 40.000 und 60.000. → QUELLEN.md Nr. 134. </w:t>
      </w:r>
      <w:r>
        <w:rPr>
          <w:b/>
        </w:rPr>
        <w:t>Forschungsschätzungen mit erheblicher Streuung, im Text als solche geführt; an Behringer/Levack festmachen.</w:t>
      </w:r>
    </w:p>
    <w:p>
      <w:pPr>
        <w:pStyle w:val="Anmerkung"/>
      </w:pPr>
      <w:r>
        <w:t xml:space="preserve">[24] ▲ Johann Weyer: </w:t>
      </w:r>
      <w:r>
        <w:rPr>
          <w:i/>
        </w:rPr>
        <w:t>De praestigiis daemonum</w:t>
      </w:r>
      <w:r>
        <w:t xml:space="preserve">, Basel 1563; Friedrich Spee: </w:t>
      </w:r>
      <w:r>
        <w:rPr>
          <w:i/>
        </w:rPr>
        <w:t>Cautio Criminalis</w:t>
      </w:r>
      <w:r>
        <w:t xml:space="preserve">, Rinteln 1631 (anonym erschienen). — Gedruckte Gegenschriften zur Hexenverfolgung. → QUELLEN.md Nr. 135. </w:t>
      </w:r>
      <w:r>
        <w:rPr>
          <w:b/>
        </w:rPr>
        <w:t>Erscheinungsorte und -jahre verifizieren.</w:t>
      </w:r>
    </w:p>
    <w:p>
      <w:pPr>
        <w:pStyle w:val="Anmerkung"/>
      </w:pPr>
      <w:r>
        <w:t xml:space="preserve">[25] ▲ Zur Zensurgeschichte: Zensuredikt des Mainzer Erzbischofs Berthold von Henneberg 1485/86; Bulle </w:t>
      </w:r>
      <w:r>
        <w:rPr>
          <w:i/>
        </w:rPr>
        <w:t>Inter multiplices</w:t>
      </w:r>
      <w:r>
        <w:t xml:space="preserve"> Alexanders VI. 1501 (Vorabgenehmigung für die deutschen Kirchenprovinzen); Fünftes Laterankonzil 1515 (allgemeine Vorzensur); römischer </w:t>
      </w:r>
      <w:r>
        <w:rPr>
          <w:i/>
        </w:rPr>
        <w:t>Index Librorum Prohibitorum</w:t>
      </w:r>
      <w:r>
        <w:t xml:space="preserve"> 1559 unter Paul IV., tridentinische Fassung 1564, Abschaffung 1966; Privileg der Stationers' Company 1557; John Milton: </w:t>
      </w:r>
      <w:r>
        <w:rPr>
          <w:i/>
        </w:rPr>
        <w:t>Areopagitica</w:t>
      </w:r>
      <w:r>
        <w:t xml:space="preserve">, London 1644, ohne Lizenz gedruckt. → QUELLEN.md Nr. 136. </w:t>
      </w:r>
      <w:r>
        <w:rPr>
          <w:b/>
        </w:rPr>
        <w:t>Sämtliche Jahresangaben und die Zuordnung der Bullen vor Drucklegung einzeln prüfen.</w:t>
      </w:r>
    </w:p>
    <w:p>
      <w:pPr>
        <w:pStyle w:val="Anmerkung"/>
      </w:pPr>
      <w:r>
        <w:t xml:space="preserve">[26] ▲ Zu Privilegien und Urheberrecht: venezianisches Druckprivileg für Johannes von Speyer 1469 und venezianisches Patentgesetz 1474; englisches </w:t>
      </w:r>
      <w:r>
        <w:rPr>
          <w:i/>
        </w:rPr>
        <w:t>Statute of Anne</w:t>
      </w:r>
      <w:r>
        <w:t xml:space="preserve"> 1710 als erstes modernes Urheberrechtsgesetz. → QUELLEN.md Nr. 137. </w:t>
      </w:r>
      <w:r>
        <w:rPr>
          <w:b/>
        </w:rPr>
        <w:t>Jahresangaben verifizieren.</w:t>
      </w:r>
    </w:p>
    <w:p>
      <w:pPr>
        <w:pStyle w:val="Anmerkung"/>
      </w:pPr>
      <w:r>
        <w:rPr>
          <w:i/>
        </w:rPr>
        <w:t>Nicht belegt und daher im Text ausdrücklich als persönliche Erfahrung bzw. Meinung des Autors gekennzeichnet:</w:t>
      </w:r>
      <w:r>
        <w:t xml:space="preserve"> die Workshop-Szene, die Wiki-Episode, die Beobachtung zu Kritikern, die zu Nutzern werden, sowie die Einschätzungen zum Ausgang des Eisenstein-Johns-Streits und zu Trithemius' hypothetischer späterer Haltung.</w:t>
      </w:r>
    </w:p>
    <w:p>
      <w:pPr>
        <w:pStyle w:val="Zwischen"/>
      </w:pPr>
      <w:r>
        <w:t>Kapitel 2 — Tempo, Strom und der Tod des Abendlands</w:t>
      </w:r>
    </w:p>
    <w:p>
      <w:pPr>
        <w:pStyle w:val="Anmerkung"/>
      </w:pPr>
      <w:r>
        <w:t xml:space="preserve">[1] Zur „bayerischen Ärztewarnung" als wahrscheinliche Legende: </w:t>
      </w:r>
      <w:r>
        <w:rPr>
          <w:i/>
        </w:rPr>
        <w:t>Eisenbahnkrankheit</w:t>
      </w:r>
      <w:r>
        <w:t xml:space="preserve"> (Forschungsstand: keine Archivbelege; kein „Obermedizinalkollegium" in Bayern um 1835 nachweisbar; Ursprung auf eine Polemik Heinrich von Treitschkes in </w:t>
      </w:r>
      <w:r>
        <w:rPr>
          <w:i/>
        </w:rPr>
        <w:t>Deutsche Geschichte im neunzehnten Jahrhundert</w:t>
      </w:r>
      <w:r>
        <w:t xml:space="preserve">, Bände ab 1879, zurückgeführt; Echtheitszweifel bereits um 1920; Reisegeschwindigkeit der frühen Bahn in der Größenordnung von 30 km/h). → QUELLEN.md Nr. 5. </w:t>
      </w:r>
      <w:r>
        <w:rPr>
          <w:b/>
        </w:rPr>
        <w:t>Die Deutung von Treitschkes politischem Motiv (Kontrastbild zum „rückständigen" Vormärz-Deutschland) ist im Text ausdrücklich als meine Lesart gekennzeichnet; belegt ist nur, dass die Spur der Legende bei ihm beginnt.</w:t>
      </w:r>
    </w:p>
    <w:p>
      <w:pPr>
        <w:pStyle w:val="Anmerkung"/>
      </w:pPr>
      <w:r>
        <w:t xml:space="preserve">[2] Wolfgang Kurt Mück: </w:t>
      </w:r>
      <w:r>
        <w:rPr>
          <w:i/>
        </w:rPr>
        <w:t>Deutschlands erste Eisenbahn mit Dampfkraft. Die kgl. priv. Ludwigs-Eisenbahn zwischen Nürnberg und Fürth.</w:t>
      </w:r>
      <w:r>
        <w:t xml:space="preserve"> Diss. 1967, 2. Aufl. 1985. — Historiker hinter dem Archiv-Negativbefund; Eröffnung der Ludwigsbahn 7.12.1835. → QUELLEN.md Nr. 6.</w:t>
      </w:r>
    </w:p>
    <w:p>
      <w:pPr>
        <w:pStyle w:val="Anmerkung"/>
      </w:pPr>
      <w:r>
        <w:t xml:space="preserve">[3] John Eric Erichsen: </w:t>
      </w:r>
      <w:r>
        <w:rPr>
          <w:i/>
        </w:rPr>
        <w:t>On Railway and Other Injuries of the Nervous System</w:t>
      </w:r>
      <w:r>
        <w:t xml:space="preserve">, 1866 („concussion of the spine", „railway spine"/„Erichsen's disease", Schwesterbegriff „railway brain", „nervous shock"); Herbert Pages psychisch-funktionale Gegendeutung; medico-legaler Kontext der Schadenersatzklagen gegen Eisenbahngesellschaften. → QUELLEN.md Nr. 7. </w:t>
      </w:r>
      <w:r>
        <w:rPr>
          <w:b/>
        </w:rPr>
        <w:t>Die Sprechstundenszene ist im Text ausdrücklich als Rekonstruktion aus der beschriebenen Symptomatik gekennzeichnet, nicht als überlieferter Einzelfall. Die Interessenlage beider Prozessparteien ist als meine Lesart markiert.</w:t>
      </w:r>
    </w:p>
    <w:p>
      <w:pPr>
        <w:pStyle w:val="Anmerkung"/>
      </w:pPr>
      <w:r>
        <w:t xml:space="preserve">[4] ▲ Spitzer/Mull u. a.: </w:t>
      </w:r>
      <w:r>
        <w:rPr>
          <w:i/>
        </w:rPr>
        <w:t>The rise and fall of Erichsen's disease (railroad spine)</w:t>
      </w:r>
      <w:r>
        <w:t xml:space="preserve">. Spinal Cord/Paraplegia, 1996. → QUELLEN.md Nr. 8. </w:t>
      </w:r>
      <w:r>
        <w:rPr>
          <w:b/>
        </w:rPr>
        <w:t>Autorenliste und Bandangabe vor Drucklegung an der PubMed-Seite final verifizieren.</w:t>
      </w:r>
    </w:p>
    <w:p>
      <w:pPr>
        <w:pStyle w:val="Anmerkung"/>
      </w:pPr>
      <w:r>
        <w:t xml:space="preserve">[5] Zum „Stromkrieg": Edisons Angstkampagne gegen Wechselstrom zum Schutz seines Gleichstromgeschäfts, Harold P. Brown und die öffentlichen Tier-Elektrokutionen, der Begriff „to be Westinghoused", Empfehlung von Wechselstrom für den elektrischen Stuhl, Wendepunkt Weltausstellung Chicago 1893. → QUELLEN.md Nr. 9. </w:t>
      </w:r>
      <w:r>
        <w:rPr>
          <w:b/>
        </w:rPr>
        <w:t>Einzelheiten der Vorführungen sind im Text bewusst ausgespart, da die Beleglage sie nicht im Detail deckt.</w:t>
      </w:r>
    </w:p>
    <w:p>
      <w:pPr>
        <w:pStyle w:val="Anmerkung"/>
      </w:pPr>
      <w:r>
        <w:t>[6] William Kemmler, erste Hinrichtung auf dem elektrischen Stuhl am 6.8.1890 in Auburn (Wechselstrom), qualvoller und mehrfach wiederholter Vorgang; Westinghouse finanzierte Kemmlers Berufung (Anwalt W. Bourke Cockran). → QUELLEN.md Nr. 11.</w:t>
      </w:r>
    </w:p>
    <w:p>
      <w:pPr>
        <w:pStyle w:val="Anmerkung"/>
      </w:pPr>
      <w:r>
        <w:t xml:space="preserve">[7] U.S. Department of Energy: </w:t>
      </w:r>
      <w:r>
        <w:rPr>
          <w:i/>
        </w:rPr>
        <w:t>The War of the Currents: AC vs. DC Power</w:t>
      </w:r>
      <w:r>
        <w:t xml:space="preserve">. — Technische Überlegenheit des Wechselstroms (Übertragung über Distanz), Durchsetzung als Standard, Niagara Falls ab 1895. → QUELLEN.md Nr. 10. </w:t>
      </w:r>
      <w:r>
        <w:rPr>
          <w:b/>
        </w:rPr>
        <w:t>Die Erklärung, warum Edisons Kampagne scheiterte (Alltagserfahrung schlägt Angstbild), ist im Text als meine Deutung gekennzeichnet.</w:t>
      </w:r>
    </w:p>
    <w:p>
      <w:pPr>
        <w:pStyle w:val="Anmerkung"/>
      </w:pPr>
      <w:r>
        <w:t xml:space="preserve">[8] Robert Louis Stevenson: </w:t>
      </w:r>
      <w:r>
        <w:rPr>
          <w:i/>
        </w:rPr>
        <w:t>A Plea for Gas Lamps</w:t>
      </w:r>
      <w:r>
        <w:t xml:space="preserve">, 1878 (in </w:t>
      </w:r>
      <w:r>
        <w:rPr>
          <w:i/>
        </w:rPr>
        <w:t>Virginibus Puerisque</w:t>
      </w:r>
      <w:r>
        <w:t xml:space="preserve">, 1881, Kap. 12). Primärtext: elektrisches Licht als „horrible, unearthly, obnoxious to the human eye"; Licht, das „nur auf Morde und Verbrechen oder in den Gängen von Irrenanstalten scheinen sollte"; ästhetische, hygienische und moralische Einwände zugleich. → QUELLEN.md Nr. 12. </w:t>
      </w:r>
      <w:r>
        <w:rPr>
          <w:b/>
        </w:rPr>
        <w:t>Deutsche Wiedergabe des Zitats ist meine Übersetzung; englischer Wortlaut vor Drucklegung am Volltext gegenlesen.</w:t>
      </w:r>
    </w:p>
    <w:p>
      <w:pPr>
        <w:pStyle w:val="Anmerkung"/>
      </w:pPr>
      <w:r>
        <w:t xml:space="preserve">[9] ▲ Laura E. Ludtke: </w:t>
      </w:r>
      <w:r>
        <w:rPr>
          <w:i/>
        </w:rPr>
        <w:t>Sleep, disruption and the 'nightmare of total illumination' in late nineteenth and early twentieth-century dystopian fiction</w:t>
      </w:r>
      <w:r>
        <w:t>. Interface Focus 10(3):20190130, The Royal Society, 2020. → QUELLEN.md Nr. 13.</w:t>
      </w:r>
    </w:p>
    <w:p>
      <w:pPr>
        <w:pStyle w:val="Anmerkung"/>
      </w:pPr>
      <w:r>
        <w:t xml:space="preserve">[10] ▲ Harriet Davis (USA, 1890): Bitte um Polizeischutz, weil Strom aus leeren Lampenfassungen „auslaufe" und sie vergifte. → QUELLEN.md Nr. 138. </w:t>
      </w:r>
      <w:r>
        <w:rPr>
          <w:b/>
        </w:rPr>
        <w:t>Populärhistorische Sekundärquelle; vor Drucklegung an einem zeitgenössischen Beleg absichern oder die Anekdote streichen. Die Erklärung über das Gas-Modell im Kopf der Zeitgenossen ist im Text ausdrücklich als meine Vermutung gekennzeichnet.</w:t>
      </w:r>
    </w:p>
    <w:p>
      <w:pPr>
        <w:pStyle w:val="Anmerkung"/>
      </w:pPr>
      <w:r>
        <w:t xml:space="preserve">[11] ▲ Zeitgenössische Debatte über die Augenschädlichkeit des elektrischen Lichts (Blendung, Flimmern, Anpassung der Pupille bei Bogen- und Glühlicht), kontrovers geführt in medizinischen Periodika der Zeit. → QUELLEN.md Nr. 139. </w:t>
      </w:r>
      <w:r>
        <w:rPr>
          <w:b/>
        </w:rPr>
        <w:t>Vor Drucklegung an einem konkreten zeitgenössischen Fachbeitrag festmachen.</w:t>
      </w:r>
    </w:p>
    <w:p>
      <w:pPr>
        <w:pStyle w:val="Anmerkung"/>
      </w:pPr>
      <w:r>
        <w:t xml:space="preserve">[12] izgmf.de: </w:t>
      </w:r>
      <w:r>
        <w:rPr>
          <w:i/>
        </w:rPr>
        <w:t>Legende von der Eisenbahnkrankheit</w:t>
      </w:r>
      <w:r>
        <w:t xml:space="preserve"> (Archiv 2007). — Legendenstatus der Bahnwarnung und ihre Verwendung als Analogie in späteren Technikdebatten, namentlich der deutschen Mobilfunkdiskussion. → QUELLEN.md Nr. 140. </w:t>
      </w:r>
      <w:r>
        <w:rPr>
          <w:b/>
        </w:rPr>
        <w:t>Interessengeleitete Website (Mobilfunkdebatte); nur ergänzend zu Nr. 5 verwendet, nicht als Beleg für den Mythos-Status selbst.</w:t>
      </w:r>
    </w:p>
    <w:p>
      <w:pPr>
        <w:pStyle w:val="Anmerkung"/>
      </w:pPr>
      <w:r>
        <w:rPr>
          <w:i/>
        </w:rPr>
        <w:t>Nicht belegt und daher im Text ausdrücklich als persönliche Erfahrung bzw. Vermutung des Autors gekennzeichnet:</w:t>
      </w:r>
      <w:r>
        <w:t xml:space="preserve"> die Folien-Anekdote, die Beobachtungen zur Funktionsweise und Wanderung der Legende, die Episode mit den namenlosen Fehlerbildern in frühen Automatisierungsprojekten, die RPA-Gerücht-Episode sowie die Einschätzungen zu Stevenson und zur Motivlage in der heutigen KI-Debatte.</w:t>
      </w:r>
    </w:p>
    <w:p>
      <w:pPr>
        <w:pStyle w:val="Zwischen"/>
      </w:pPr>
      <w:r>
        <w:t>Kapitel 3 — „Das Telefon wird die Familie zerstören"</w:t>
      </w:r>
    </w:p>
    <w:p>
      <w:pPr>
        <w:pStyle w:val="Anmerkung"/>
      </w:pPr>
      <w:r>
        <w:t xml:space="preserve">[1] Telefon als Eindringling in den häuslichen Privatraum; </w:t>
      </w:r>
      <w:r>
        <w:rPr>
          <w:i/>
        </w:rPr>
        <w:t>party lines</w:t>
      </w:r>
      <w:r>
        <w:t xml:space="preserve"> als reale Grundlage der Abhörsorge; „Inflation sozialer Verfügbarkeit". Technology's Stories (Society for the History of Technology): </w:t>
      </w:r>
      <w:r>
        <w:rPr>
          <w:i/>
        </w:rPr>
        <w:t>Fear, Curiosity and New Social Rules: Representations of Early Telephone Use in Latin America, 1880–1935</w:t>
      </w:r>
      <w:r>
        <w:t xml:space="preserve">; Elon University, </w:t>
      </w:r>
      <w:r>
        <w:rPr>
          <w:i/>
        </w:rPr>
        <w:t>Imagining the Internet — 1870s–1940s: Telephone</w:t>
      </w:r>
      <w:r>
        <w:t xml:space="preserve">. → QUELLEN.md Nr. 14, 118. </w:t>
      </w:r>
      <w:r>
        <w:rPr>
          <w:b/>
        </w:rPr>
        <w:t>Die Flur-Szene ist eine Rekonstruktion aus den belegten Betriebsbedingungen (ein Apparat je Haushalt, Handvermittlung, Gemeinschaftsleitung), im Text als Vorstellung kenntlich gemacht.</w:t>
      </w:r>
    </w:p>
    <w:p>
      <w:pPr>
        <w:pStyle w:val="Anmerkung"/>
      </w:pPr>
      <w:r>
        <w:t xml:space="preserve">[2] Wiederkehrende Sorge, neue Kommunikationstechnik (Telefon, später Texting) verdränge die persönliche Begegnung. Smithsonian Magazine: </w:t>
      </w:r>
      <w:r>
        <w:rPr>
          <w:i/>
        </w:rPr>
        <w:t>Texting Isn't the First New Technology Thought to Impair Social Skills</w:t>
      </w:r>
      <w:r>
        <w:t>. → QUELLEN.md Nr. 15.</w:t>
      </w:r>
    </w:p>
    <w:p>
      <w:pPr>
        <w:pStyle w:val="Anmerkung"/>
      </w:pPr>
      <w:r>
        <w:t xml:space="preserve">[3] ▲ George M. Beard: </w:t>
      </w:r>
      <w:r>
        <w:rPr>
          <w:i/>
        </w:rPr>
        <w:t>American Nervousness</w:t>
      </w:r>
      <w:r>
        <w:t xml:space="preserve"> (1881); Telegraf und Telefon als Mitursachen der Neurasthenie. → QUELLEN.md Nr. 16. </w:t>
      </w:r>
      <w:r>
        <w:rPr>
          <w:b/>
        </w:rPr>
        <w:t>Nur über Querbeleg gesichert; vor Drucklegung an der Standardliteratur zu Beard absichern.</w:t>
      </w:r>
    </w:p>
    <w:p>
      <w:pPr>
        <w:pStyle w:val="Anmerkung"/>
      </w:pPr>
      <w:r>
        <w:t xml:space="preserve">[4] ▲ Das Telefon als unkontrollierter Kommunikationskanal für Frauen und die Wahrnehmung als Sittenproblem. → QUELLEN.md Nr. 14, 118. </w:t>
      </w:r>
      <w:r>
        <w:rPr>
          <w:b/>
        </w:rPr>
        <w:t>Im Recherche-Dossier A2 ohne Einzelnachweis geführt; vor Drucklegung eigenständig belegen oder die Passage streichen.</w:t>
      </w:r>
    </w:p>
    <w:p>
      <w:pPr>
        <w:pStyle w:val="Anmerkung"/>
      </w:pPr>
      <w:r>
        <w:t xml:space="preserve">[5] „Get a horse!", erschreckte Pferde, „scorchers", die Predigt gegen die „auto madness", die Farmers' Anti-Automobile Society of Pennsylvania sowie Uriah Smiths „Horsey Horseless" (1899). Saturday Evening Post: </w:t>
      </w:r>
      <w:r>
        <w:rPr>
          <w:i/>
        </w:rPr>
        <w:t>Get A Horse! America's Skepticism Toward the First Automobiles</w:t>
      </w:r>
      <w:r>
        <w:t xml:space="preserve"> (2017); Paleofuture: </w:t>
      </w:r>
      <w:r>
        <w:rPr>
          <w:i/>
        </w:rPr>
        <w:t>How People in the 1900s Tried to Make Cars Less Scary For Horses</w:t>
      </w:r>
      <w:r>
        <w:t xml:space="preserve"> (2013). → QUELLEN.md Nr. 17. </w:t>
      </w:r>
      <w:r>
        <w:rPr>
          <w:b/>
        </w:rPr>
        <w:t>Die Anekdote zur Farmers' Anti-Automobile Society ist im Text ausdrücklich als zeittypische Polemik mit unsicherer Primärbeleglage gekennzeichnet.</w:t>
      </w:r>
    </w:p>
    <w:p>
      <w:pPr>
        <w:pStyle w:val="Anmerkung"/>
      </w:pPr>
      <w:r>
        <w:t xml:space="preserve">[6] ▲ </w:t>
      </w:r>
      <w:r>
        <w:rPr>
          <w:i/>
        </w:rPr>
        <w:t>Locomotives Act 1865</w:t>
      </w:r>
      <w:r>
        <w:t xml:space="preserve"> („Red Flag Act"): 4 mph über Land, 2 mph in Ortschaften, dreiköpfige Besatzung, roter Fahnenträger 60 Yards voraus; </w:t>
      </w:r>
      <w:r>
        <w:rPr>
          <w:i/>
        </w:rPr>
        <w:t>Highways and Locomotives (Amendment) Act 1878</w:t>
      </w:r>
      <w:r>
        <w:t xml:space="preserve">: Fahne gestrichen, Vorlauf mind. 20 Yards; </w:t>
      </w:r>
      <w:r>
        <w:rPr>
          <w:i/>
        </w:rPr>
        <w:t>Locomotives on Highways Act 1896</w:t>
      </w:r>
      <w:r>
        <w:t xml:space="preserve">: 14 mph, Ende der Vorläuferpflicht für leichte Fahrzeuge, „Emancipation Run" London–Brighton am 14.11.1896; Interessenlage von Eisenbahn und Kutschgewerbe im Parlament. → QUELLEN.md Nr. 18, 122. </w:t>
      </w:r>
      <w:r>
        <w:rPr>
          <w:b/>
        </w:rPr>
        <w:t>Vor Drucklegung an den Gesetzestexten verifizieren. Datierungshinweis: Der Begriff „Red Flag Act" wird gelegentlich auf die Vorgängerregelung von 1861 bezogen; im Text ist bewusst auf 1865 abgestellt. Die Landstraßen-Szene zu Beginn des Abschnitts ist eine Rekonstruktion aus dem Wortlaut der Vorschrift.</w:t>
      </w:r>
    </w:p>
    <w:p>
      <w:pPr>
        <w:pStyle w:val="Anmerkung"/>
      </w:pPr>
      <w:r>
        <w:t xml:space="preserve">[7] Mekka 1511 (Khair Beg / Khāʾir Beg al-Miʿmār), Aufhebung binnen Wochen; religiös-rechtliche Einordnungsdebatte des 16. Jahrhunderts (Kaffee analog zum verbotenen Wein); Sultan Murad IV. ab 1633 gegen die Istanbuler Kaffeehäuser, Auslaufen des Banns nach seinem Tod 1640. Atlas Obscura: </w:t>
      </w:r>
      <w:r>
        <w:rPr>
          <w:i/>
        </w:rPr>
        <w:t>In Istanbul, Drinking Coffee in Public Was Once Punishable by Death</w:t>
      </w:r>
      <w:r>
        <w:t xml:space="preserve">; Medievalists.net: </w:t>
      </w:r>
      <w:r>
        <w:rPr>
          <w:i/>
        </w:rPr>
        <w:t>Brewing Controversy: How Coffee Sparked Fierce Debate in the 16th Century</w:t>
      </w:r>
      <w:r>
        <w:t xml:space="preserve"> (2025). → QUELLEN.md Nr. 19, 123. </w:t>
      </w:r>
      <w:r>
        <w:rPr>
          <w:b/>
        </w:rPr>
        <w:t>Die drastische Murad-Anekdote ist im Text ausdrücklich als Folklore gekennzeichnet.</w:t>
      </w:r>
    </w:p>
    <w:p>
      <w:pPr>
        <w:pStyle w:val="Anmerkung"/>
      </w:pPr>
      <w:r>
        <w:t xml:space="preserve">[8] ▲ Karl II.: </w:t>
      </w:r>
      <w:r>
        <w:rPr>
          <w:i/>
        </w:rPr>
        <w:t>By the King. A Proclamation for the Suppression of Coffee-Houses</w:t>
      </w:r>
      <w:r>
        <w:t xml:space="preserve">, 29.12.1675 (EEBO, University of Michigan Library Digital Collections). Wortlaut „very evil and dangerous effects", „diverse False, Malicious and Scandalous Reports", „Defamation of His Majesties Government"; geplantes Inkrafttreten 10.1.1676, Rücknahme am 8.1.1676 unter dem Druck der eigenen Minister. → QUELLEN.md Nr. 20, 124. </w:t>
      </w:r>
      <w:r>
        <w:rPr>
          <w:b/>
        </w:rPr>
        <w:t>Wortlaut vor Drucklegung am EEBO-Volltext verifizieren. Die „Rückwärtslesung" der Proklamation ist im Text als Deutung des Autors formuliert.</w:t>
      </w:r>
    </w:p>
    <w:p>
      <w:pPr>
        <w:pStyle w:val="Anmerkung"/>
      </w:pPr>
      <w:r>
        <w:t xml:space="preserve">[9] </w:t>
      </w:r>
      <w:r>
        <w:rPr>
          <w:i/>
        </w:rPr>
        <w:t>The Womens Petition Against Coffee</w:t>
      </w:r>
      <w:r>
        <w:t xml:space="preserve"> (London 1674) und </w:t>
      </w:r>
      <w:r>
        <w:rPr>
          <w:i/>
        </w:rPr>
        <w:t>The Mens Answer to the Womens Petition</w:t>
      </w:r>
      <w:r>
        <w:t>; Einordnung als politische Satire, Historiker Steve Pincus: wohl weder von Frauen verfasst noch Fraueninteressen vertretend, sondern Teil einer Kampagne gegen die Kaffeehäuser als Orte politischer Unruhe. Res Obscura (B. Breen); Smithsonian Magazine (Smart News). → QUELLEN.md Nr. 21.</w:t>
      </w:r>
    </w:p>
    <w:p>
      <w:pPr>
        <w:pStyle w:val="Anmerkung"/>
      </w:pPr>
      <w:r>
        <w:t xml:space="preserve">[10] ▲ Friedrich II. von Preußen: staatliches Röstmonopol 1781, etwa 400 „Kaffeeriecher" (häufig Kriegsinvaliden), ein Viertel der Strafgelder als Anteil des Riechers, Bier-Argument, Aufhebung 1787. → QUELLEN.md Nr. 22. </w:t>
      </w:r>
      <w:r>
        <w:rPr>
          <w:b/>
        </w:rPr>
        <w:t>An deutscher Standardliteratur zu Friedrichs Wirtschaftspolitik absichern.</w:t>
      </w:r>
    </w:p>
    <w:p>
      <w:pPr>
        <w:pStyle w:val="Anmerkung"/>
      </w:pPr>
      <w:r>
        <w:t xml:space="preserve">[11] Sidonie Matsner Gruenberg (Child Study Association of America), Klage von 1931; Vorwurf, das Radio mache Kinder zu „neurasthenics"; zugleich dünne empirische Beleglage der „Thriller"-Debatte. Dennis, P. M.: </w:t>
      </w:r>
      <w:r>
        <w:rPr>
          <w:i/>
        </w:rPr>
        <w:t>Chills and thrills: Does radio harm our children? The controversy over program violence during the age of radio</w:t>
      </w:r>
      <w:r>
        <w:t xml:space="preserve">, Journal of the History of the Behavioral Sciences 34(1), 1998, S. 33 ff.; KSL/AP: </w:t>
      </w:r>
      <w:r>
        <w:rPr>
          <w:i/>
        </w:rPr>
        <w:t>From 1930s radio to Snapchat: Parents fret through the ages</w:t>
      </w:r>
      <w:r>
        <w:t xml:space="preserve">. → QUELLEN.md Nr. 23, 126. ▲ </w:t>
      </w:r>
      <w:r>
        <w:rPr>
          <w:b/>
        </w:rPr>
        <w:t>Das Gruenberg-Zitat ist im Text nur sinngemäß wiedergegeben; englischer Wortlaut vor Drucklegung am Original prüfen. Die Deutung, Gruenberg beschreibe eine Medieneigenschaft statt eines Inhalts, ist als Lesart des Autors formuliert.</w:t>
      </w:r>
    </w:p>
    <w:p>
      <w:pPr>
        <w:pStyle w:val="Anmerkung"/>
      </w:pPr>
      <w:r>
        <w:t xml:space="preserve">[12] ▲ „Kritisches Hören" als frühe Medienkompetenz-Bewegung, 1933–1949. </w:t>
      </w:r>
      <w:r>
        <w:rPr>
          <w:i/>
        </w:rPr>
        <w:t>Resonance: The Journal of Sound and Culture</w:t>
      </w:r>
      <w:r>
        <w:t xml:space="preserve"> 3(3), S. 309: </w:t>
      </w:r>
      <w:r>
        <w:rPr>
          <w:i/>
        </w:rPr>
        <w:t>„Developing Critical Listening": Educational Radio and Early Media Literacy, 1933–1949</w:t>
      </w:r>
      <w:r>
        <w:t>, University of California Press. → QUELLEN.md Nr. 117.</w:t>
      </w:r>
    </w:p>
    <w:p>
      <w:pPr>
        <w:pStyle w:val="Anmerkung"/>
      </w:pPr>
      <w:r>
        <w:t xml:space="preserve">[13] ▲ Jefferson Pooley &amp; Michael J. Socolow: </w:t>
      </w:r>
      <w:r>
        <w:rPr>
          <w:i/>
        </w:rPr>
        <w:t>The Myth of the War of the Worlds Panic</w:t>
      </w:r>
      <w:r>
        <w:t xml:space="preserve">, Slate 2013, sowie der zugehörige Fachbeitrag. C. E. Hooper-Umfrage in der Sendenacht des 30.10.1938: rund 5.000 angerufene Haushalte, nur etwa 2 % beim CBS-Programm; Auswertung von Polizeiprotokollen und CBS-Vermittlungsdaten; keine verifizierten Selbstmorde; Aufbauschung durch die Presse aus Konkurrenzinteresse gegenüber dem Radio (Werbeetats, Aufsicht); jahrzehntelange Fortschreibung in Lehrbüchern und Populärkultur. Ergänzend: The Chronicle of Higher Education, </w:t>
      </w:r>
      <w:r>
        <w:rPr>
          <w:i/>
        </w:rPr>
        <w:t>The Hyped Panic Over 'War of the Worlds'</w:t>
      </w:r>
      <w:r>
        <w:t>. → QUELLEN.md Nr. 24, 125.</w:t>
      </w:r>
    </w:p>
    <w:p>
      <w:pPr>
        <w:pStyle w:val="Anmerkung"/>
      </w:pPr>
      <w:r>
        <w:t xml:space="preserve">[14] Hadley Cantril: </w:t>
      </w:r>
      <w:r>
        <w:rPr>
          <w:i/>
        </w:rPr>
        <w:t>The Invasion from Mars: A Study in the Psychology of Panic</w:t>
      </w:r>
      <w:r>
        <w:t xml:space="preserve">, Princeton University Press 1940 — Schätzung von rund 6 Mio. Hörern, davon ~1,7 Mio. „glaubend" und ~1,2 Mio. „verängstigt". Heute als methodisch fragwürdig und deutlich überhöht eingestuft, teils mehr als doppelt so hoch wie andere zeitgenössische Schätzungen; im Text ausdrücklich als Ursprung des Mythos und nicht als bestätigte Zahl geführt. → QUELLEN.md Nr. 25. </w:t>
      </w:r>
      <w:r>
        <w:rPr>
          <w:b/>
        </w:rPr>
        <w:t>Belegt sind Titel, Untertitel, Zahlen und deren heutige Einstufung. Die Erklärung, warum die Zahlen so hoch ausfielen (Panik als Prämisse der Fragestellung), ist im Text als Deutung des Autors markiert und keine Aussage der Fachliteratur.</w:t>
      </w:r>
    </w:p>
    <w:p>
      <w:pPr>
        <w:pStyle w:val="Anmerkung"/>
      </w:pPr>
      <w:r>
        <w:t xml:space="preserve">[15] Herkunft und Konnotation des Begriffs „idiot box" in den 1950er/60er Jahren; Sorge vor der Verwandlung aktiver Bürger in passive Konsumenten. Journalism University: </w:t>
      </w:r>
      <w:r>
        <w:rPr>
          <w:i/>
        </w:rPr>
        <w:t>Redefining the Idiot Box: Television's Intellectual and Cultural Impact</w:t>
      </w:r>
      <w:r>
        <w:t>. → QUELLEN.md Nr. 115.</w:t>
      </w:r>
    </w:p>
    <w:p>
      <w:pPr>
        <w:pStyle w:val="Anmerkung"/>
      </w:pPr>
      <w:r>
        <w:t xml:space="preserve">[16] „Television squint", „television malocclusion", „frogitis" und „tired-child syndrome" als zeitgenössisch belegte Sorgen des TV-Diskurses; ebenso die Klage über den einseitigen „Einbahn"-Informationsfluss und exzessive Sehzeiten. Time (Archiv): </w:t>
      </w:r>
      <w:r>
        <w:rPr>
          <w:i/>
        </w:rPr>
        <w:t>Video: Is TV Ruining Our Children?</w:t>
      </w:r>
      <w:r>
        <w:t xml:space="preserve"> → QUELLEN.md Nr. 116. </w:t>
      </w:r>
      <w:r>
        <w:rPr>
          <w:b/>
        </w:rPr>
        <w:t>Im Text als historische Sorgen und nicht als gesicherte Diagnosen dargestellt; die Wohnzimmer-Szene ist eine Rekonstruktion aus diesen Diskurselementen.</w:t>
      </w:r>
    </w:p>
    <w:p>
      <w:pPr>
        <w:pStyle w:val="Anmerkung"/>
      </w:pPr>
      <w:r>
        <w:t xml:space="preserve">[17] ▲ Edward R. Murrow: </w:t>
      </w:r>
      <w:r>
        <w:rPr>
          <w:i/>
        </w:rPr>
        <w:t>Wires and Lights in a Box</w:t>
      </w:r>
      <w:r>
        <w:t xml:space="preserve"> (Rede vor der RTNDA, 1958) — Fernsehen könne „teach, illuminate, inspire"; Newton N. Minow: Rede vor der National Association of Broadcasters am 9.5.1961, „vast wasteland", Programm „im öffentlichen Interesse". Time: </w:t>
      </w:r>
      <w:r>
        <w:rPr>
          <w:i/>
        </w:rPr>
        <w:t>Newton Minow's Vast Wasteland Speech: How It Changed TV</w:t>
      </w:r>
      <w:r>
        <w:t xml:space="preserve"> (2016). → QUELLEN.md Nr. 26, 127. </w:t>
      </w:r>
      <w:r>
        <w:rPr>
          <w:b/>
        </w:rPr>
        <w:t>Beide Zitatwortlaute vor Drucklegung an den Redetexten verifizieren. Murrows Kriegsberichterstattung aus London ist als biografischer Kontext genannt und vor Drucklegung ebenfalls zu belegen.</w:t>
      </w:r>
    </w:p>
    <w:p>
      <w:pPr>
        <w:pStyle w:val="Anmerkung"/>
      </w:pPr>
      <w:r>
        <w:t>[18] ▲ Telefonistinnen („Hello Girls") als einer der ersten großen weiblichen Angestelltenberufe; spätere Auseinandersetzungen um Arbeitsrechte von Frauen am Arbeitsplatz. → QUELLEN.md Nr. 143. *</w:t>
      </w:r>
      <w:r>
        <w:rPr>
          <w:i/>
        </w:rPr>
        <w:t xml:space="preserve">Schwache Sekundärquelle, im Dossier A2 nur für den Berufskontext freigegeben, keine Zitate. Vor Drucklegung durch eine belastbare Darstellung (z. B. PBS, </w:t>
      </w:r>
      <w:r>
        <w:t>Number, Please</w:t>
      </w:r>
      <w:r>
        <w:rPr>
          <w:i/>
        </w:rPr>
        <w:t>) ersetzen oder die Passage kürzen.</w:t>
      </w:r>
      <w:r>
        <w:rPr>
          <w:i/>
        </w:rPr>
      </w:r>
    </w:p>
    <w:p>
      <w:pPr>
        <w:pStyle w:val="Anmerkung"/>
      </w:pPr>
      <w:r>
        <w:t xml:space="preserve">[19] ▲ Blitzeinschläge über Telefonleitungen in Vermittlungsstellen; Vorfall vom Juli 1890 mit drei Telefonistinnen, die über die Blitzschutzeinrichtung der Schalttafel einen Stromschlag erhielten (metallene Kopfhörer, Metallstecker in der Hand); Gewitter-Verletzungen am Festnetz noch im späten 20. Jahrhundert. Shells and Pebbles: </w:t>
      </w:r>
      <w:r>
        <w:rPr>
          <w:i/>
        </w:rPr>
        <w:t>Wired Fears: Electricity and Technophobia in the Nineteenth Century</w:t>
      </w:r>
      <w:r>
        <w:t xml:space="preserve"> (2024). → QUELLEN.md Nr. 141. </w:t>
      </w:r>
      <w:r>
        <w:rPr>
          <w:b/>
        </w:rPr>
        <w:t>Blog; Vorfall Juli 1890 vor Drucklegung an einer zeitgenössischen Quelle verifizieren.</w:t>
      </w:r>
    </w:p>
    <w:p>
      <w:pPr>
        <w:pStyle w:val="Anmerkung"/>
      </w:pPr>
      <w:r>
        <w:t xml:space="preserve">[20] ▲ Sorge, die Geräusche im Hörer könnten taub oder „verrückt" machen, sowie das Telefon als „teuflisches" Gerät; belegte Streuung falscher Gerüchte über schädliche Wirkungen des Telefons durch Telegrafengesellschaften aus Konkurrenzfurcht; Ausweitung bestehender Abhörverbote auf Telefone in New York (1881/1895). Schoelles, B.: </w:t>
      </w:r>
      <w:r>
        <w:rPr>
          <w:i/>
        </w:rPr>
        <w:t>Telephone History — Social Reaction</w:t>
      </w:r>
      <w:r>
        <w:t xml:space="preserve">. → QUELLEN.md Nr. 142. </w:t>
      </w:r>
      <w:r>
        <w:rPr>
          <w:b/>
        </w:rPr>
        <w:t>Sekundäre Sammelquelle. Gerüchte-Kampagne der Telegrafengesellschaften und Jahreszahl 1895 vor Drucklegung an einer belastbaren telefonhistorischen Darstellung absichern — der Punkt trägt im Text die Brücke zur „dritten Sorte Angst" aus Kapitel 2.</w:t>
      </w:r>
    </w:p>
    <w:p>
      <w:pPr>
        <w:pStyle w:val="Anmerkung"/>
      </w:pPr>
      <w:r>
        <w:rPr>
          <w:i/>
        </w:rPr>
        <w:t>Nicht belegt und daher im Text als persönliche Erfahrung bzw. Meinung gekennzeichnet:</w:t>
      </w:r>
      <w:r>
        <w:t xml:space="preserve"> die Eingangsszene vom Jugendabend, die Anmerkung zur eigenen Gastarbeiter-Familiengeschichte, die Beobachtung zu symbolischen Kontrollregeln in Automatisierungsprojekten, die Bemerkung zum eigenen Bauen mit KI-Werkzeugen sowie alle als Lesart oder Deutung markierten Passagen.</w:t>
      </w:r>
    </w:p>
    <w:p>
      <w:pPr>
        <w:pStyle w:val="Zwischen"/>
      </w:pPr>
      <w:r>
        <w:t>Kapitel 4 — Warum wir nie aus der Geschichte lernen</w:t>
      </w:r>
    </w:p>
    <w:p>
      <w:pPr>
        <w:pStyle w:val="Anmerkung"/>
      </w:pPr>
      <w:r>
        <w:t xml:space="preserve">[1] Zum Luddismus 1811–1816 (Nottinghamshire, Ausbreitung nach Yorkshire/Lancashire/Derbyshire/Leicestershire; Strumpfwirker, </w:t>
      </w:r>
      <w:r>
        <w:rPr>
          <w:i/>
        </w:rPr>
        <w:t>wide frames</w:t>
      </w:r>
      <w:r>
        <w:t xml:space="preserve">, </w:t>
      </w:r>
      <w:r>
        <w:rPr>
          <w:i/>
        </w:rPr>
        <w:t>cut-ups</w:t>
      </w:r>
      <w:r>
        <w:t xml:space="preserve">, Lohnsenkungen, Umgehung des Lehrlingsrechts; Wirtschaftskrise 1810–1812, Kontinentalsperre; selektive, disziplinierte Aktionen; Ned-Ludd-Legende, Anstey bei Leicester ~1779, Drohbriefe): Wikipedia (en) </w:t>
      </w:r>
      <w:r>
        <w:rPr>
          <w:i/>
        </w:rPr>
        <w:t>Luddite</w:t>
      </w:r>
      <w:r>
        <w:t xml:space="preserve">; Nottinghamshire Heritage Gateway, </w:t>
      </w:r>
      <w:r>
        <w:rPr>
          <w:i/>
        </w:rPr>
        <w:t>Luddites — Overview</w:t>
      </w:r>
      <w:r>
        <w:t>. → QUELLEN.md Nr. 44. ▲ *</w:t>
      </w:r>
      <w:r>
        <w:rPr>
          <w:i/>
        </w:rPr>
        <w:t xml:space="preserve">Tertiärquellen; Detailangaben vor Drucklegung an Primärliteratur (z. B. E. P. Thompson, </w:t>
      </w:r>
      <w:r>
        <w:t>The Making of the English Working Class</w:t>
      </w:r>
      <w:r>
        <w:rPr>
          <w:i/>
        </w:rPr>
        <w:t>, 1963) absichern. Die Ableitung der Forderungen aus den überlieferten Beschwerden ist im Text ausdrücklich als Schluss des Autors gekennzeichnet, nicht als überlieferter Forderungskatalog.</w:t>
      </w:r>
      <w:r>
        <w:rPr>
          <w:i/>
        </w:rPr>
      </w:r>
    </w:p>
    <w:p>
      <w:pPr>
        <w:pStyle w:val="Anmerkung"/>
      </w:pPr>
      <w:r>
        <w:t xml:space="preserve">[2] ▲ Richard Conniff: </w:t>
      </w:r>
      <w:r>
        <w:rPr>
          <w:i/>
        </w:rPr>
        <w:t>What the Luddites Really Fought Against</w:t>
      </w:r>
      <w:r>
        <w:t xml:space="preserve">. Smithsonian Magazine, März 2011. — Zentralbeleg für die Korrektur: Protest gegen Gebrauch und Folgen der Maschinen, nicht gegen Technik an sich; heutiger verzerrter Wortgebrauch. → QUELLEN.md Nr. 45. </w:t>
      </w:r>
      <w:r>
        <w:rPr>
          <w:b/>
        </w:rPr>
        <w:t>Wortlaut vor Drucklegung am Volltext gegenlesen.</w:t>
      </w:r>
    </w:p>
    <w:p>
      <w:pPr>
        <w:pStyle w:val="Anmerkung"/>
      </w:pPr>
      <w:r>
        <w:t xml:space="preserve">[3] ▲ </w:t>
      </w:r>
      <w:r>
        <w:rPr>
          <w:i/>
        </w:rPr>
        <w:t>Destruction of Stocking Frames, etc. Act 1812</w:t>
      </w:r>
      <w:r>
        <w:t xml:space="preserve"> („Frame Breaking Act", 52 Geo. 3 c. 16), royal assent 20.03.1812; Lord Byrons Antrittsrede im Oberhaus, 27.02.1812 (History of Information). → QUELLEN.md Nr. 46. </w:t>
      </w:r>
      <w:r>
        <w:rPr>
          <w:b/>
        </w:rPr>
        <w:t>Zur Repression nach 1812 und den Hinrichtungen in York 1813 wird im Text bewusst keine Opferzahl genannt: Die Angaben in den Sekundärquellen sind uneinheitlich und nicht abschließend verifiziert.</w:t>
      </w:r>
    </w:p>
    <w:p>
      <w:pPr>
        <w:pStyle w:val="Anmerkung"/>
      </w:pPr>
      <w:r>
        <w:t xml:space="preserve">[4] ▲ Chellis Glendinning: </w:t>
      </w:r>
      <w:r>
        <w:rPr>
          <w:i/>
        </w:rPr>
        <w:t>Notes toward a Neo-Luddite Manifesto</w:t>
      </w:r>
      <w:r>
        <w:t xml:space="preserve">, 1990 (Erstveröffentlichung u. a. im </w:t>
      </w:r>
      <w:r>
        <w:rPr>
          <w:i/>
        </w:rPr>
        <w:t>Utne Reader</w:t>
      </w:r>
      <w:r>
        <w:t xml:space="preserve">); Kirkpatrick Sale: </w:t>
      </w:r>
      <w:r>
        <w:rPr>
          <w:i/>
        </w:rPr>
        <w:t>Rebels Against the Future: The Luddites and Their War on the Industrial Revolution — Lessons for the Computer Age</w:t>
      </w:r>
      <w:r>
        <w:t xml:space="preserve">, Addison-Wesley 1995 (ISBN 0-201-62678-0). → QUELLEN.md Nr. 47. </w:t>
      </w:r>
      <w:r>
        <w:rPr>
          <w:b/>
        </w:rPr>
        <w:t>Print-Erstnachweis Glendinning vor Drucklegung präzisieren.</w:t>
      </w:r>
    </w:p>
    <w:p>
      <w:pPr>
        <w:pStyle w:val="Anmerkung"/>
      </w:pPr>
      <w:r>
        <w:t xml:space="preserve">[5] Stanley Cohen: </w:t>
      </w:r>
      <w:r>
        <w:rPr>
          <w:i/>
        </w:rPr>
        <w:t>Folk Devils and Moral Panics: The Creation of the Mods and Rockers</w:t>
      </w:r>
      <w:r>
        <w:t xml:space="preserve">. Erstausgabe 1972; 3. Aufl. 2002, Routledge, London. — Definition der moralischen Panik, Begriff </w:t>
      </w:r>
      <w:r>
        <w:rPr>
          <w:i/>
        </w:rPr>
        <w:t>folk devil</w:t>
      </w:r>
      <w:r>
        <w:t xml:space="preserve">, Medienverstärkung, Maßnahmenforderung, Abklingen. → QUELLEN.md Nr. 48. ▲ </w:t>
      </w:r>
      <w:r>
        <w:rPr>
          <w:b/>
        </w:rPr>
        <w:t>Deutschsprachige Wiedergabe der Definition vor Drucklegung am Originalwortlaut prüfen.</w:t>
      </w:r>
    </w:p>
    <w:p>
      <w:pPr>
        <w:pStyle w:val="Anmerkung"/>
      </w:pPr>
      <w:r>
        <w:t xml:space="preserve">[6] Erich Goode &amp; Nachman Ben-Yehuda: </w:t>
      </w:r>
      <w:r>
        <w:rPr>
          <w:i/>
        </w:rPr>
        <w:t>Moral Panics: The Social Construction of Deviance</w:t>
      </w:r>
      <w:r>
        <w:t xml:space="preserve">. Blackwell, Oxford 1994 (ISBN 0-631-18905-X). — Die fünf Kriterien: concern, hostility, consensus, disproportionality, volatility. → QUELLEN.md Nr. 49. </w:t>
      </w:r>
      <w:r>
        <w:rPr>
          <w:b/>
        </w:rPr>
        <w:t>Die Anwendung der Kriterien auf den Sendeabend vom 30.10.1938 ist im Text ausdrücklich als eigene Anwendung des Autors gekennzeichnet; weder Cohen noch Goode/Ben-Yehuda behandeln diesen Fall.</w:t>
      </w:r>
    </w:p>
    <w:p>
      <w:pPr>
        <w:pStyle w:val="Anmerkung"/>
      </w:pPr>
      <w:r>
        <w:t xml:space="preserve">[7] Kirsten Drotner: </w:t>
      </w:r>
      <w:r>
        <w:rPr>
          <w:i/>
        </w:rPr>
        <w:t>Dangerous Media? Panic Discourses and Dilemmas of Modernity</w:t>
      </w:r>
      <w:r>
        <w:t xml:space="preserve">. Paedagogica Historica 35(3), 1999, S. 593–619. — Begriff </w:t>
      </w:r>
      <w:r>
        <w:rPr>
          <w:i/>
        </w:rPr>
        <w:t>media panic</w:t>
      </w:r>
      <w:r>
        <w:t>; Medienpaniken als Strukturmerkmal der Moderne; das Medium als Auslöser und Verbreiter zugleich; moralisch polarisierter Diskurs; Fokus auf Kinder und Jugendliche. → QUELLEN.md Nr. 50.</w:t>
      </w:r>
    </w:p>
    <w:p>
      <w:pPr>
        <w:pStyle w:val="Anmerkung"/>
      </w:pPr>
      <w:r>
        <w:t xml:space="preserve">[8] Amy Orben: </w:t>
      </w:r>
      <w:r>
        <w:rPr>
          <w:i/>
        </w:rPr>
        <w:t>The Sisyphean Cycle of Technology Panics</w:t>
      </w:r>
      <w:r>
        <w:t xml:space="preserve">. Perspectives on Psychological Science 15(5), 2020, S. 1143–1157. DOI 10.1177/1745691620919372. — Wiederkehrende, nahezu identische Zyklen; fehlende theoretische Grundlinie; Forschung beginnt bei jeder Technik von vorn; wiederkehrender Fokus auf Jugendliche. → QUELLEN.md Nr. 54. ▲ </w:t>
      </w:r>
      <w:r>
        <w:rPr>
          <w:b/>
        </w:rPr>
        <w:t>Die im Text ausgeschriebene Stationenfolge des Zyklus ist als Zusammenstellung des Autors gekennzeichnet und gibt keine wörtliche Phasenbenennung Orbens wieder; vor Drucklegung an der Originalarbeit abgleichen.</w:t>
      </w:r>
    </w:p>
    <w:p>
      <w:pPr>
        <w:pStyle w:val="Anmerkung"/>
      </w:pPr>
      <w:r>
        <w:t xml:space="preserve">[9] David Collingridge: </w:t>
      </w:r>
      <w:r>
        <w:rPr>
          <w:i/>
        </w:rPr>
        <w:t>The Social Control of Technology</w:t>
      </w:r>
      <w:r>
        <w:t>. 1980. — Steuerungsdilemma (Informationsproblem vs. Machtproblem) und Gegenrezepte (Optionen offenhalten, revidierbar bauen, Feedback einbauen). → QUELLEN.md Nr. 51.</w:t>
      </w:r>
    </w:p>
    <w:p>
      <w:pPr>
        <w:pStyle w:val="Anmerkung"/>
      </w:pPr>
      <w:r>
        <w:t>[10] Office of Technology Assessment (USA): Technology Assessment Act 1972, Betrieb 1974–1995, rund 750 Studien, Abschaffung 1995 (CRS Report R46327); Büro für Technikfolgen-Abschätzung beim Deutschen Bundestag (TAB), gegründet 1990, betrieben vom ITAS am KIT. → QUELLEN.md Nr. 52.</w:t>
      </w:r>
    </w:p>
    <w:p>
      <w:pPr>
        <w:pStyle w:val="Anmerkung"/>
      </w:pPr>
      <w:r>
        <w:t xml:space="preserve">[11] Roy Amara / Institute for the Future: </w:t>
      </w:r>
      <w:r>
        <w:rPr>
          <w:i/>
        </w:rPr>
        <w:t>Amara's Law</w:t>
      </w:r>
      <w:r>
        <w:t xml:space="preserve"> (kurzfristige Über-, langfristige Unterschätzung; Datierung ~1978, genaue Erstnennung unsicher und im Text so gekennzeichnet); Gartner: </w:t>
      </w:r>
      <w:r>
        <w:rPr>
          <w:i/>
        </w:rPr>
        <w:t>Hype Cycle Research Methodology</w:t>
      </w:r>
      <w:r>
        <w:t>, 1995 eingeführt von Jackie Fenn, fünf Phasen. Der Hype Cycle ist ein kommerzielles Beratungsmodell, kein peer-reviewtes Modell — im Text kenntlich gemacht. → QUELLEN.md Nr. 53.</w:t>
      </w:r>
    </w:p>
    <w:p>
      <w:pPr>
        <w:pStyle w:val="Anmerkung"/>
      </w:pPr>
      <w:r>
        <w:t xml:space="preserve">[12] ▲ Jefferson Pooley &amp; Michael J. Socolow: </w:t>
      </w:r>
      <w:r>
        <w:rPr>
          <w:i/>
        </w:rPr>
        <w:t>The Myth of the War of the Worlds Panic</w:t>
      </w:r>
      <w:r>
        <w:t xml:space="preserve">, Slate 2013, sowie der zugehörige Fachbeitrag — C. E. Hooper-Umfrage in der Sendenacht des 30.10.1938 (rund 5.000 angerufene Haushalte, nur etwa 2 % beim CBS-Programm), Auswertung von Polizeiprotokollen und CBS-Vermittlungsdaten, keine verifizierten Selbstmorde, Aufbauschung durch die Presse aus Konkurrenzinteresse; Hadley Cantril: </w:t>
      </w:r>
      <w:r>
        <w:rPr>
          <w:i/>
        </w:rPr>
        <w:t>The Invasion from Mars</w:t>
      </w:r>
      <w:r>
        <w:t xml:space="preserve">, Princeton University Press 1940 — Ursprung des Mythos, Zahlen heute als methodisch fragwürdig und überhöht eingestuft. → QUELLEN.md Nr. 24, 25. </w:t>
      </w:r>
      <w:r>
        <w:rPr>
          <w:b/>
        </w:rPr>
        <w:t>Vgl. Kapitel 3, Endnoten [13] und [14]; dort ausführlich dargestellt.</w:t>
      </w:r>
    </w:p>
    <w:p>
      <w:pPr>
        <w:pStyle w:val="Anmerkung"/>
      </w:pPr>
      <w:r>
        <w:t xml:space="preserve">[13] Dennis, P. M.: </w:t>
      </w:r>
      <w:r>
        <w:rPr>
          <w:i/>
        </w:rPr>
        <w:t>Chills and thrills: Does radio harm our children? The controversy over program violence during the age of radio</w:t>
      </w:r>
      <w:r>
        <w:t>. Journal of the History of the Behavioral Sciences 34(1), 1998, S. 33 ff. — Hier ausschließlich als Datierungsbeleg für den zeitlichen Abstand zwischen der Radio-Kontroverse der 1930er Jahre und ihrer wissenschaftlichen Aufarbeitung verwendet. → QUELLEN.md Nr. 23.</w:t>
      </w:r>
    </w:p>
    <w:p>
      <w:pPr>
        <w:pStyle w:val="Anmerkung"/>
      </w:pPr>
      <w:r>
        <w:t xml:space="preserve">[14] ▲ </w:t>
      </w:r>
      <w:r>
        <w:rPr>
          <w:i/>
        </w:rPr>
        <w:t>Locomotives Act 1865</w:t>
      </w:r>
      <w:r>
        <w:t xml:space="preserve"> („Red Flag Act"): 4 mph über Land, 2 mph in Ortschaften, roter Fahnenträger 60 Yards voraus; </w:t>
      </w:r>
      <w:r>
        <w:rPr>
          <w:i/>
        </w:rPr>
        <w:t>Locomotives on Highways Act 1896</w:t>
      </w:r>
      <w:r>
        <w:t xml:space="preserve">: Ende der Vorläuferpflicht für leichte Fahrzeuge. → QUELLEN.md Nr. 18. </w:t>
      </w:r>
      <w:r>
        <w:rPr>
          <w:b/>
        </w:rPr>
        <w:t>Vgl. Kapitel 3, Endnote [6]. Die Deutung des Falls als Illustration des Collingridge'schen Informationsproblems ist im Text als Lesart des Autors gekennzeichnet.</w:t>
      </w:r>
    </w:p>
    <w:p>
      <w:pPr>
        <w:pStyle w:val="Anmerkung"/>
      </w:pPr>
      <w:r>
        <w:t xml:space="preserve">[15] ▲ Hembree, R. &amp; Dessart, D. J.: </w:t>
      </w:r>
      <w:r>
        <w:rPr>
          <w:i/>
        </w:rPr>
        <w:t>Effects of Hand-Held Calculators in Precollege Mathematics Education: A Meta-Analysis</w:t>
      </w:r>
      <w:r>
        <w:t>. Journal for Research in Mathematics Education 17(2), 1986, S. 83–99. — Hier ausschließlich als Datierungsbeleg für den zeitlichen Abstand zwischen dem Aufkommen der Taschenrechner in Klassenzimmern (Anfang der 1970er Jahre) und der ersten belastbaren Zusammenfassung der Studienlage verwendet; inhaltlich ausgewertet wird die Arbeit in Kapitel 5. → QUELLEN.md Nr. 28.</w:t>
      </w:r>
    </w:p>
    <w:p>
      <w:pPr>
        <w:pStyle w:val="Anmerkung"/>
      </w:pPr>
      <w:r>
        <w:t xml:space="preserve">[16] Behavioral Scientist: </w:t>
      </w:r>
      <w:r>
        <w:rPr>
          <w:i/>
        </w:rPr>
        <w:t>A History of Panic Over Entertainment Technology</w:t>
      </w:r>
      <w:r>
        <w:t xml:space="preserve">. — Überblicksbeleg für den wiederkehrenden Bogen von Telefon, Radio, Kino, Comics und Fernsehen bis zu Videospielen und die anschließende Normalisierung; hier als Stützbeleg für den wiederkehrenden Fokus auf Kinder und Jugendliche. → QUELLEN.md Nr. 150. ▲ </w:t>
      </w:r>
      <w:r>
        <w:rPr>
          <w:b/>
        </w:rPr>
        <w:t>Populärwissenschaftlich; im Text als Illustration und nicht als Primärbeleg geführt.</w:t>
      </w:r>
    </w:p>
    <w:p>
      <w:pPr>
        <w:pStyle w:val="Zwischen"/>
      </w:pPr>
      <w:r>
        <w:t>Kapitel 5 — Der Taschenrechner-Moment</w:t>
      </w:r>
    </w:p>
    <w:p>
      <w:pPr>
        <w:pStyle w:val="Anmerkung"/>
      </w:pPr>
      <w:r>
        <w:t xml:space="preserve">[1] Banks, S.: </w:t>
      </w:r>
      <w:r>
        <w:rPr>
          <w:i/>
        </w:rPr>
        <w:t>A Historical Analysis of Attitudes Toward the Use of Calculators in Junior High and High School Math Classrooms in the United States Since 1975.</w:t>
      </w:r>
      <w:r>
        <w:t xml:space="preserve"> 2011. ERIC ED525547. — Mehrheits-Befürchtung (Kopfrechnen/Abhängigkeit); Plausibilitätsargument; Saxon-Demonstration NCTM 1986; NACOME-Empfehlung 1975 (ab Klasse 8); NCTM </w:t>
      </w:r>
      <w:r>
        <w:rPr>
          <w:i/>
        </w:rPr>
        <w:t>An Agenda for Action</w:t>
      </w:r>
      <w:r>
        <w:t xml:space="preserve"> 1980. → QUELLEN.md Nr. 27.</w:t>
      </w:r>
    </w:p>
    <w:p>
      <w:pPr>
        <w:pStyle w:val="Anmerkung"/>
      </w:pPr>
      <w:r>
        <w:t xml:space="preserve">[2] Watters, A. (Hack Education): </w:t>
      </w:r>
      <w:r>
        <w:rPr>
          <w:i/>
        </w:rPr>
        <w:t>A Brief History of Calculators in the Classroom.</w:t>
      </w:r>
      <w:r>
        <w:t xml:space="preserve"> 2015. — Verlauf der Klassenraum-Debatte; Plausibilitätsargument („Ergebnis nicht mehr prüfbar"). </w:t>
      </w:r>
      <w:r>
        <w:rPr>
          <w:i/>
        </w:rPr>
        <w:t>(Fachblog, Sekundärquelle.)</w:t>
      </w:r>
      <w:r>
        <w:t xml:space="preserve"> </w:t>
      </w:r>
      <w:r>
        <w:rPr>
          <w:b/>
        </w:rPr>
        <w:t>Die Klassenzimmer-Szene ist im Text als Rekonstruktion aus dokumentierten Argumenten gekennzeichnet, nicht als überliefertes Ereignis.</w:t>
      </w:r>
      <w:r>
        <w:t xml:space="preserve"> → QUELLEN.md Nr. 151.</w:t>
      </w:r>
    </w:p>
    <w:p>
      <w:pPr>
        <w:pStyle w:val="Anmerkung"/>
      </w:pPr>
      <w:r>
        <w:t xml:space="preserve">[3] ▲ Schule in der digitalen Welt: </w:t>
      </w:r>
      <w:r>
        <w:rPr>
          <w:i/>
        </w:rPr>
        <w:t>Analogien: Taschenrechner und KI in der Schule.</w:t>
      </w:r>
      <w:r>
        <w:t xml:space="preserve"> — Österreichische Zeitungsmeldung 1976, „Rechen-Analphabetismus"; KMK-Kontext. </w:t>
      </w:r>
      <w:r>
        <w:rPr>
          <w:b/>
        </w:rPr>
        <w:t>Sekundärquelle; die Anekdote von 1976 vor Drucklegung an einer zeitgenössischen Primärquelle/im Zeitungsarchiv prüfen — im Text bereits als über Sekundärquelle belegt gekennzeichnet.</w:t>
      </w:r>
      <w:r>
        <w:t xml:space="preserve"> → QUELLEN.md Nr. 114.</w:t>
      </w:r>
    </w:p>
    <w:p>
      <w:pPr>
        <w:pStyle w:val="Anmerkung"/>
      </w:pPr>
      <w:r>
        <w:t xml:space="preserve">[4] ▲ Hembree, R. &amp; Dessart, D. J.: </w:t>
      </w:r>
      <w:r>
        <w:rPr>
          <w:i/>
        </w:rPr>
        <w:t>Effects of Hand-Held Calculators in Precollege Mathematics Education: A Meta-Analysis.</w:t>
      </w:r>
      <w:r>
        <w:t xml:space="preserve"> </w:t>
      </w:r>
      <w:r>
        <w:rPr>
          <w:i/>
        </w:rPr>
        <w:t>Journal for Research in Mathematics Education</w:t>
      </w:r>
      <w:r>
        <w:t xml:space="preserve"> 17(2), 83–99, 1986. — 79 Studien; überwiegend positiver/neutraler Effekt auf Papier-und-Bleistift-Fertigkeiten und Einstellung; </w:t>
      </w:r>
      <w:r>
        <w:rPr>
          <w:b/>
        </w:rPr>
        <w:t>Ausnahme Klasse 4</w:t>
      </w:r>
      <w:r>
        <w:t xml:space="preserve">. </w:t>
      </w:r>
      <w:r>
        <w:rPr>
          <w:b/>
        </w:rPr>
        <w:t>Vor Drucklegung am Volltext verifizieren.</w:t>
      </w:r>
      <w:r>
        <w:t xml:space="preserve"> → QUELLEN.md Nr. 28.</w:t>
      </w:r>
    </w:p>
    <w:p>
      <w:pPr>
        <w:pStyle w:val="Anmerkung"/>
      </w:pPr>
      <w:r>
        <w:t xml:space="preserve">[5] Ellington, A. J.: </w:t>
      </w:r>
      <w:r>
        <w:rPr>
          <w:i/>
        </w:rPr>
        <w:t>A Meta-Analysis of the Effects of Calculators on Students' Achievement and Attitude Levels in Precollege Mathematics Classes.</w:t>
      </w:r>
      <w:r>
        <w:t xml:space="preserve"> JRME, 2003. — Neutraler bis positiver Effekt bei ergänzendem, didaktisch eingebettetem Einsatz. → QUELLEN.md Nr. 29.</w:t>
      </w:r>
    </w:p>
    <w:p>
      <w:pPr>
        <w:pStyle w:val="Anmerkung"/>
      </w:pPr>
      <w:r>
        <w:t xml:space="preserve">[6] Brosnan, M. u. a. (Forschungsfeld „computer anxiety"), inkl. Rosen, L. &amp; Weil, M. (1990, Technophobie-Rahmen) und Rosen &amp; Weil (1995, Lehrkräfte in Südkalifornien). — Erste Arbeiten Anfang der 1980er; Prävalenz „ein Viertel bis die Hälfte" in praktisch jeder getesteten Gruppe; Erfahrung invers mit Angst korreliert; Nichtnutzung ↔ höhere Angst. </w:t>
      </w:r>
      <w:r>
        <w:rPr>
          <w:b/>
        </w:rPr>
        <w:t>Zur Absicherung mit den ScienceDirect-Originalartikeln Rosen &amp; Weil gegenlesen.</w:t>
      </w:r>
      <w:r>
        <w:t xml:space="preserve"> → QUELLEN.md Nr. 32.</w:t>
      </w:r>
    </w:p>
    <w:p>
      <w:pPr>
        <w:pStyle w:val="Anmerkung"/>
      </w:pPr>
      <w:r>
        <w:t xml:space="preserve">[7] Zeithistorische Forschungen 2/2012: </w:t>
      </w:r>
      <w:r>
        <w:rPr>
          <w:i/>
        </w:rPr>
        <w:t>Zeitgeschichte der Informationsgesellschaft.</w:t>
      </w:r>
      <w:r>
        <w:t xml:space="preserve"> — Medien als „Verstärker" der Computerängste; „Automation" löste „Sorgen, Ängste, ja Furcht" aus; „wegrationalisiert" als Schlagwort des Jahrzehnts. → QUELLEN.md Nr. 152.</w:t>
      </w:r>
    </w:p>
    <w:p>
      <w:pPr>
        <w:pStyle w:val="Anmerkung"/>
      </w:pPr>
      <w:r>
        <w:t xml:space="preserve">[8] ▲ Stoll, C.: </w:t>
      </w:r>
      <w:r>
        <w:rPr>
          <w:i/>
        </w:rPr>
        <w:t>Why the Web Won't Be Nirvana.</w:t>
      </w:r>
      <w:r>
        <w:t xml:space="preserve"> </w:t>
      </w:r>
      <w:r>
        <w:rPr>
          <w:i/>
        </w:rPr>
        <w:t>Newsweek</w:t>
      </w:r>
      <w:r>
        <w:t xml:space="preserve">, 26./27. Februar 1995 (begleitend zu </w:t>
      </w:r>
      <w:r>
        <w:rPr>
          <w:i/>
        </w:rPr>
        <w:t>Silicon Snake Oil</w:t>
      </w:r>
      <w:r>
        <w:t xml:space="preserve">, 1995); Stolls späteres Eingeständnis (2010). — Wörtliches Zitat und „Baloney". </w:t>
      </w:r>
      <w:r>
        <w:rPr>
          <w:b/>
        </w:rPr>
        <w:t>Originaltext/Zitate vor Drucklegung am Newsweek-Volltext oder an einem zitierten Faksimile verifizieren. Die Schreibtisch-Szene von 1995 ist im Text als Rekonstruktion gekennzeichnet.</w:t>
      </w:r>
      <w:r>
        <w:t xml:space="preserve"> → QUELLEN.md Nr. 35.</w:t>
      </w:r>
    </w:p>
    <w:p>
      <w:pPr>
        <w:pStyle w:val="Anmerkung"/>
      </w:pPr>
      <w:r>
        <w:t xml:space="preserve">[9] ▲ Kraut, R.; Kiesler, S.; Boneva, B. u. a.: </w:t>
      </w:r>
      <w:r>
        <w:rPr>
          <w:i/>
        </w:rPr>
        <w:t>Internet Paradox</w:t>
      </w:r>
      <w:r>
        <w:t xml:space="preserve"> (</w:t>
      </w:r>
      <w:r>
        <w:rPr>
          <w:i/>
        </w:rPr>
        <w:t>American Psychologist</w:t>
      </w:r>
      <w:r>
        <w:t xml:space="preserve">, 1998) und </w:t>
      </w:r>
      <w:r>
        <w:rPr>
          <w:i/>
        </w:rPr>
        <w:t>Internet Paradox Revisited</w:t>
      </w:r>
      <w:r>
        <w:t xml:space="preserve"> (2002). — HomeNet, 93 Haushalte, erste 12–18 Online-Monate; anfangs mehr Einsamkeit, geringere soziale Einbindung, mehr Depressivität; in der Folgestudie Effekte temporär, später überwiegend positive Wirkungen, abhängig von Persönlichkeit und sozialer Unterstützung. </w:t>
      </w:r>
      <w:r>
        <w:rPr>
          <w:b/>
        </w:rPr>
        <w:t>Am Volltext verifizieren.</w:t>
      </w:r>
      <w:r>
        <w:t xml:space="preserve"> → QUELLEN.md Nr. 36.</w:t>
      </w:r>
    </w:p>
    <w:p>
      <w:pPr>
        <w:pStyle w:val="Anmerkung"/>
      </w:pPr>
      <w:r>
        <w:t xml:space="preserve">[10] ▲ </w:t>
      </w:r>
      <w:r>
        <w:rPr>
          <w:i/>
        </w:rPr>
        <w:t>Reno v. American Civil Liberties Union</w:t>
      </w:r>
      <w:r>
        <w:t>, 521 U.S. 844 (1997), zum Communications Decency Act 1996. — Strafandrohung bis 2 Jahre Haft / 250.000 $; Anti-Indecency-Bestimmungen einstimmig verfassungswidrig (First Amendment; zu vage, zu pauschal). → QUELLEN.md Nr. 37.</w:t>
      </w:r>
    </w:p>
    <w:p>
      <w:pPr>
        <w:pStyle w:val="Anmerkung"/>
      </w:pPr>
      <w:r>
        <w:t xml:space="preserve">[11] Young, K. S.: </w:t>
      </w:r>
      <w:r>
        <w:rPr>
          <w:i/>
        </w:rPr>
        <w:t>Internet Addiction: The Emergence of a New Clinical Disorder.</w:t>
      </w:r>
      <w:r>
        <w:t xml:space="preserve"> </w:t>
      </w:r>
      <w:r>
        <w:rPr>
          <w:i/>
        </w:rPr>
        <w:t>CyberPsychology &amp; Behavior</w:t>
      </w:r>
      <w:r>
        <w:t xml:space="preserve"> 1(3), 237–244, 1998; Kontext Goldberg (1995) und DSM-5-Einordnung. — Goldbergs Begriffsprägung als Parodie; Young 1996 (Fachtagung) / 1998 (Fragebogen nach DSM-IV-Kriterien für pathologisches Glücksspiel); frühe 66-Prozent-Quote fachlich kritisiert; spätere Schätzungen ~6–13 %, umstritten; </w:t>
      </w:r>
      <w:r>
        <w:rPr>
          <w:b/>
        </w:rPr>
        <w:t>DSM-5 erkennt „Internetsucht" nicht als eigenständige Diagnose an</w:t>
      </w:r>
      <w:r>
        <w:t xml:space="preserve"> (nur „Internet Gaming Disorder" im Forschungsanhang). → QUELLEN.md Nr. 38.</w:t>
      </w:r>
    </w:p>
    <w:p>
      <w:pPr>
        <w:pStyle w:val="Anmerkung"/>
      </w:pPr>
      <w:r>
        <w:t xml:space="preserve">[12] Toffler, A.: </w:t>
      </w:r>
      <w:r>
        <w:rPr>
          <w:i/>
        </w:rPr>
        <w:t>Future Shock.</w:t>
      </w:r>
      <w:r>
        <w:t xml:space="preserve"> 1970. — Popularisierung des Begriffs „information overload", ein Vierteljahrhundert vor der Internet-Debatte. → QUELLEN.md Nr. 153.</w:t>
      </w:r>
    </w:p>
    <w:p>
      <w:pPr>
        <w:pStyle w:val="Anmerkung"/>
      </w:pPr>
      <w:r>
        <w:t xml:space="preserve">[13] The Metropolitan Museum of Art (Heilbrunn Timeline): </w:t>
      </w:r>
      <w:r>
        <w:rPr>
          <w:i/>
        </w:rPr>
        <w:t>Kodak and the Rise of Amateur Photography.</w:t>
      </w:r>
      <w:r>
        <w:t xml:space="preserve"> — Kodak Nr. 1 (1888), 100 Aufnahmen, 25 $, „You press the button, we do the rest". → QUELLEN.md Nr. 42.</w:t>
      </w:r>
    </w:p>
    <w:p>
      <w:pPr>
        <w:pStyle w:val="Anmerkung"/>
      </w:pPr>
      <w:r>
        <w:t xml:space="preserve">[14] ▲ Smithsonian Magazine: </w:t>
      </w:r>
      <w:r>
        <w:rPr>
          <w:i/>
        </w:rPr>
        <w:t>How the Rise of the Camera Launched a Fight to Protect Gilded Age Americans' Privacy.</w:t>
      </w:r>
      <w:r>
        <w:t xml:space="preserve"> — „Kodak fiend"; Joel Benton (1894); </w:t>
      </w:r>
      <w:r>
        <w:rPr>
          <w:i/>
        </w:rPr>
        <w:t>Hawaiian Gazette</w:t>
      </w:r>
      <w:r>
        <w:t xml:space="preserve">; Strandbad-Aushang; Kodak-Verbot am Washington Monument. </w:t>
      </w:r>
      <w:r>
        <w:rPr>
          <w:b/>
        </w:rPr>
        <w:t>Drastische Einzelanekdoten vor Drucklegung am Volltext verifizieren — im Text bereits als zeittypische, ungleich gesicherte Einzelfälle gekennzeichnet; die daran anschließende Strandszene ist als Ausmalung erkennbar gehalten.</w:t>
      </w:r>
      <w:r>
        <w:t xml:space="preserve"> → QUELLEN.md Nr. 113.</w:t>
      </w:r>
    </w:p>
    <w:p>
      <w:pPr>
        <w:pStyle w:val="Anmerkung"/>
      </w:pPr>
      <w:r>
        <w:t xml:space="preserve">[15] ▲ Warren, S. D. &amp; Brandeis, L. D.: </w:t>
      </w:r>
      <w:r>
        <w:rPr>
          <w:i/>
        </w:rPr>
        <w:t>The Right to Privacy.</w:t>
      </w:r>
      <w:r>
        <w:t xml:space="preserve"> 4 Harvard Law Review 193 (15. Dezember 1890). — „instantaneous photographs and newspaper enterprise"; „sacred precincts of private and domestic life"; „right to be let alone". </w:t>
      </w:r>
      <w:r>
        <w:rPr>
          <w:b/>
        </w:rPr>
        <w:t>Wortlaut der Zitate und der deutschen Übersetzung vor Drucklegung am Volltext festlegen.</w:t>
      </w:r>
      <w:r>
        <w:t xml:space="preserve"> → QUELLEN.md Nr. 43.</w:t>
      </w:r>
    </w:p>
    <w:p>
      <w:pPr>
        <w:pStyle w:val="Anmerkung"/>
      </w:pPr>
      <w:r>
        <w:t xml:space="preserve">[16] Smithsonian Magazine: </w:t>
      </w:r>
      <w:r>
        <w:rPr>
          <w:i/>
        </w:rPr>
        <w:t>The Walkman's Invention 40 Years Ago Launched a Cultural Revolution.</w:t>
      </w:r>
      <w:r>
        <w:t xml:space="preserve"> 2019. — „disconnected, antisocial drones"; moralische Aufladung (Vergleich mit Rückzug/Drogenkonsum, „amoralisch"); Akio Morita und die zweite Kopfhörerbuchse; Walkman-Debatte als direkte Vorläuferin der Smartphone-Debatte. → QUELLEN.md Nr. 33.</w:t>
      </w:r>
    </w:p>
    <w:p>
      <w:pPr>
        <w:pStyle w:val="Anmerkung"/>
      </w:pPr>
      <w:r>
        <w:t xml:space="preserve">[17] ▲ Lichenstein, R.; Smith, D. C.; Ambrose, J. L.; Moody, L.: </w:t>
      </w:r>
      <w:r>
        <w:rPr>
          <w:i/>
        </w:rPr>
        <w:t>Headphone use and pedestrian injury and death in the United States: 2004–2011.</w:t>
      </w:r>
      <w:r>
        <w:t xml:space="preserve"> </w:t>
      </w:r>
      <w:r>
        <w:rPr>
          <w:i/>
        </w:rPr>
        <w:t>Injury Prevention</w:t>
      </w:r>
      <w:r>
        <w:t xml:space="preserve"> 18(5), 287–290, 2012. — 116 Fälle, mehr als Verdreifachung über sechs Jahre, rund 70 % tödlich; Mechanismen „inattentional blindness" und akustische Abschirmung; deskriptive Studie ohne Risikoquotienten (im Text kenntlich gemacht). </w:t>
      </w:r>
      <w:r>
        <w:rPr>
          <w:b/>
        </w:rPr>
        <w:t>Am Volltext verifizieren.</w:t>
      </w:r>
      <w:r>
        <w:t xml:space="preserve"> → QUELLEN.md Nr. 34.</w:t>
      </w:r>
    </w:p>
    <w:p>
      <w:pPr>
        <w:pStyle w:val="Anmerkung"/>
      </w:pPr>
      <w:r>
        <w:t xml:space="preserve">[18] </w:t>
      </w:r>
      <w:r>
        <w:rPr>
          <w:i/>
        </w:rPr>
        <w:t>Electronic Media Use and Sleep Quality: Updated Systematic Review and Meta-Analysis</w:t>
      </w:r>
      <w:r>
        <w:t>, PMC; ergänzend Meta-Analyse Carter u. a. (&gt;125.000 Jugendliche). — Kürzere Schlafdauer, schlechtere Qualität, Tagesmüdigkeit; Mechanismen Verdrängung, kognitive Aktivierung, Blaulicht/Melatonin. → QUELLEN.md Nr. 41.</w:t>
      </w:r>
    </w:p>
    <w:p>
      <w:pPr>
        <w:pStyle w:val="Anmerkung"/>
      </w:pPr>
      <w:r>
        <w:t xml:space="preserve">[19] Ward, A. F.; Duke, K.; Gneezy, A.; Bos, M. W.: </w:t>
      </w:r>
      <w:r>
        <w:rPr>
          <w:i/>
        </w:rPr>
        <w:t>Brain Drain: The Mere Presence of One's Own Smartphone Reduces Available Cognitive Capacity.</w:t>
      </w:r>
      <w:r>
        <w:t xml:space="preserve"> </w:t>
      </w:r>
      <w:r>
        <w:rPr>
          <w:i/>
        </w:rPr>
        <w:t>Journal of the Association for Consumer Research</w:t>
      </w:r>
      <w:r>
        <w:t xml:space="preserve"> 2(2), 2017 — </w:t>
      </w:r>
      <w:r>
        <w:rPr>
          <w:b/>
        </w:rPr>
        <w:t>inklusive</w:t>
      </w:r>
      <w:r>
        <w:t xml:space="preserve"> gescheitertem Replikationsversuch (Ruiz Pardo &amp; Minda) und relativierender Meta-Analyse; Robustheit im Text ausdrücklich als strittig dargestellt. → QUELLEN.md Nr. 39.</w:t>
      </w:r>
    </w:p>
    <w:p>
      <w:pPr>
        <w:pStyle w:val="Anmerkung"/>
      </w:pPr>
      <w:r>
        <w:t xml:space="preserve">[20] Merriam-Webster: </w:t>
      </w:r>
      <w:r>
        <w:rPr>
          <w:i/>
        </w:rPr>
        <w:t>How Phone Snubbing Became Phubbing</w:t>
      </w:r>
      <w:r>
        <w:t xml:space="preserve">; Forschung Roberts &amp; David (Baylor University) zu „partner phubbing". — Begriffsprägung Mai 2012, Kampagne der Agentur McCann Melbourne für das </w:t>
      </w:r>
      <w:r>
        <w:rPr>
          <w:i/>
        </w:rPr>
        <w:t>Macquarie Dictionary</w:t>
      </w:r>
      <w:r>
        <w:t>; Zusammenhang mit geringerer Beziehungs- und Lebenszufriedenheit bis zu depressiven Symptomen; Effektstärken und Kausalitätsrichtung offen (im Text so gekennzeichnet). → QUELLEN.md Nr. 154.</w:t>
      </w:r>
    </w:p>
    <w:p>
      <w:pPr>
        <w:pStyle w:val="Anmerkung"/>
      </w:pPr>
      <w:r>
        <w:t xml:space="preserve">[21] ▲ Odgers, C. L.: Rezension von Jonathan Haidt, </w:t>
      </w:r>
      <w:r>
        <w:rPr>
          <w:i/>
        </w:rPr>
        <w:t>The Anxious Generation</w:t>
      </w:r>
      <w:r>
        <w:t xml:space="preserve"> (2024), in </w:t>
      </w:r>
      <w:r>
        <w:rPr>
          <w:i/>
        </w:rPr>
        <w:t>Nature</w:t>
      </w:r>
      <w:r>
        <w:t xml:space="preserve"> 2024 („not supported by science"; „a mix of no, small and mixed associations"); Haidt, </w:t>
      </w:r>
      <w:r>
        <w:rPr>
          <w:i/>
        </w:rPr>
        <w:t>The Anxious Generation</w:t>
      </w:r>
      <w:r>
        <w:t xml:space="preserve"> (2024); Twenge, </w:t>
      </w:r>
      <w:r>
        <w:rPr>
          <w:i/>
        </w:rPr>
        <w:t>iGen</w:t>
      </w:r>
      <w:r>
        <w:t xml:space="preserve"> (2017); Replik Twenge/Haidt (After Babel). — Forschungsstreit im Text offengelegt, keine Auflösung behauptet. </w:t>
      </w:r>
      <w:r>
        <w:rPr>
          <w:b/>
        </w:rPr>
        <w:t>Odgers-Originalrezension vor Drucklegung direkt zitieren.</w:t>
      </w:r>
      <w:r>
        <w:t xml:space="preserve"> → QUELLEN.md Nr. 40.</w:t>
      </w:r>
    </w:p>
    <w:p>
      <w:pPr>
        <w:pStyle w:val="Anmerkung"/>
      </w:pPr>
      <w:r>
        <w:t xml:space="preserve">[22] ▲ Bundeszentrale für politische Bildung, </w:t>
      </w:r>
      <w:r>
        <w:rPr>
          <w:i/>
        </w:rPr>
        <w:t>Aus Politik und Zeitgeschichte</w:t>
      </w:r>
      <w:r>
        <w:t xml:space="preserve"> 7/1980: </w:t>
      </w:r>
      <w:r>
        <w:rPr>
          <w:i/>
        </w:rPr>
        <w:t>Mikroelektronik — die dritte industrielle Revolution.</w:t>
      </w:r>
      <w:r>
        <w:t xml:space="preserve"> — Zeitgenössische Debatte um Beschäftigungswirkungen der Mikroelektronik. → QUELLEN.md Nr. 30.</w:t>
      </w:r>
    </w:p>
    <w:p>
      <w:pPr>
        <w:pStyle w:val="Anmerkung"/>
      </w:pPr>
      <w:r>
        <w:t xml:space="preserve">[23] Berkeley Roundtable on the International Economy (BRIE): </w:t>
      </w:r>
      <w:r>
        <w:rPr>
          <w:i/>
        </w:rPr>
        <w:t>Automation and the Future of Work in Germany</w:t>
      </w:r>
      <w:r>
        <w:t xml:space="preserve">, 2022; ergänzend OECD: </w:t>
      </w:r>
      <w:r>
        <w:rPr>
          <w:i/>
        </w:rPr>
        <w:t>The Risk of Automation for Jobs in OECD Countries</w:t>
      </w:r>
      <w:r>
        <w:t>, 2016. — Keine überdurchschnittlichen Jobverluste in hochautomatisierten deutschen Regionen; Produktivität ↔ regionales Beschäftigungswachstum; 46 % „steigende Arbeitsbelastung" vs. 9 % „Entlastung". → QUELLEN.md Nr. 31.</w:t>
      </w:r>
    </w:p>
    <w:p>
      <w:pPr>
        <w:pStyle w:val="Zwischen"/>
      </w:pPr>
      <w:r>
        <w:t>Kapitel 6 — Nimmt die KI mir die Arbeit weg?</w:t>
      </w:r>
    </w:p>
    <w:p>
      <w:pPr>
        <w:pStyle w:val="Anmerkung"/>
      </w:pPr>
      <w:r>
        <w:t xml:space="preserve">[1] Brynjolfsson, Erik; Li, Danielle; Raymond, Lindsey: </w:t>
      </w:r>
      <w:r>
        <w:rPr>
          <w:i/>
        </w:rPr>
        <w:t>Generative AI at Work</w:t>
      </w:r>
      <w:r>
        <w:t xml:space="preserve">. The Quarterly Journal of Economics 140(2), 2025, S. 889–942. — 5.172 Kundendienst-Mitarbeitende; gestaffelte Einführung des Assistenten; ~15 % mehr gelöste Vorgänge/Std. (Arbeitspapier-Fassung 14 %); größte Gewinne bei wenig erfahrenen Kräften; höhere Kundenzufriedenheit und Mitarbeiterbindung. → QUELLEN.md Nr. 55. ▲ </w:t>
      </w:r>
      <w:r>
        <w:rPr>
          <w:b/>
        </w:rPr>
        <w:t>Die im Text erläuterte Methodenlogik (warum eine gestaffelte Einführung Vergleichsgruppen erzeugt) ist Erläuterung des Autors; Ausgestaltung des Schätzansatzes vor Drucklegung am Volltext abgleichen.</w:t>
      </w:r>
    </w:p>
    <w:p>
      <w:pPr>
        <w:pStyle w:val="Anmerkung"/>
      </w:pPr>
      <w:r>
        <w:t xml:space="preserve">[2] Peng, Sida; Kalliamvakou, Eirini; Cihon, Peter; Demirer, Mert: </w:t>
      </w:r>
      <w:r>
        <w:rPr>
          <w:i/>
        </w:rPr>
        <w:t>The Impact of AI on Developer Productivity: Evidence from GitHub Copilot</w:t>
      </w:r>
      <w:r>
        <w:t>. 2023, arXiv:2302.06590. — ~56 % schneller (71 vs. 160 Min.); randomisierte Zuteilung; Arbeitspapier, nicht peer-reviewt, Lab-Setting. Einschränkungen im Text benannt. → QUELLEN.md Nr. 56.</w:t>
      </w:r>
    </w:p>
    <w:p>
      <w:pPr>
        <w:pStyle w:val="Anmerkung"/>
      </w:pPr>
      <w:r>
        <w:t xml:space="preserve">[3] METR: </w:t>
      </w:r>
      <w:r>
        <w:rPr>
          <w:i/>
        </w:rPr>
        <w:t>Measuring the Impact of Early-2025 AI on Experienced Open-Source Developer Productivity</w:t>
      </w:r>
      <w:r>
        <w:t xml:space="preserve">. 2025, arXiv:2507.09089. — RCT mit 16 erfahrenen Entwickler:innen an eigenen, großen Repositories; 19 % langsamer mit KI bei gegenteiliger Selbstwahrnehmung (~20 % schneller geschätzt); gemessene, nicht berichtete Zeiten. Update Februar 2026: spätere 2025er-Werkzeuge vermutlich stärker beschleunigend. → QUELLEN.md Nr. 64. ▲ </w:t>
      </w:r>
      <w:r>
        <w:rPr>
          <w:b/>
        </w:rPr>
        <w:t>Details des Randomisierungsdesigns (Zuteilung auf Aufgabenebene) vor Drucklegung am Volltext verifizieren; die im Text gegebene Begründung, warum bei n=16 über Aufgaben und nicht über Personen verglichen werden muss, ist Erläuterung des Autors.</w:t>
      </w:r>
    </w:p>
    <w:p>
      <w:pPr>
        <w:pStyle w:val="Anmerkung"/>
      </w:pPr>
      <w:r>
        <w:t xml:space="preserve">[4] World Economic Forum: </w:t>
      </w:r>
      <w:r>
        <w:rPr>
          <w:i/>
        </w:rPr>
        <w:t>The Future of Jobs Report 2025</w:t>
      </w:r>
      <w:r>
        <w:t xml:space="preserve">. 2025. — ~1.000 Unternehmen, &gt;14 Mio. Beschäftigte, 22 Branchen, 55 Volkswirtschaften; bis 2030 erwartete 170 Mio. neue / 92 Mio. wegfallende / netto +78 Mio. Stellen; 85 % der Arbeitgeber planen Weiterbildungsinvestitionen. </w:t>
      </w:r>
      <w:r>
        <w:rPr>
          <w:b/>
        </w:rPr>
        <w:t>Als Prognose/Selbstauskunft im Text gekennzeichnet.</w:t>
      </w:r>
      <w:r>
        <w:t xml:space="preserve"> → QUELLEN.md Nr. 57. ▲ </w:t>
      </w:r>
      <w:r>
        <w:rPr>
          <w:b/>
        </w:rPr>
        <w:t>Die im Text beschriebene Hochrechnungslogik (absolute Millionenzahlen aus Anteilsangaben der Befragten) ist ausdrücklich als Einordnung des Autors markiert und vor Drucklegung an der Methodendarstellung des Reports zu prüfen.</w:t>
      </w:r>
    </w:p>
    <w:p>
      <w:pPr>
        <w:pStyle w:val="Anmerkung"/>
      </w:pPr>
      <w:r>
        <w:t xml:space="preserve">[5] OECD: </w:t>
      </w:r>
      <w:r>
        <w:rPr>
          <w:i/>
        </w:rPr>
        <w:t>OECD Employment Outlook 2025</w:t>
      </w:r>
      <w:r>
        <w:t>. OECD Publishing, 2025. — Bislang wenig Belege für KI-bedingte Jobverluste; zwei Drittel der KI-Nutzenden empfinden ihre Arbeit als weniger monoton/gefährlich; 27 % der OECD-Beschäftigung in Berufen mit höchstem Automatisierungsrisiko. Im Text ist ausdrücklich erläutert, dass „höchstes Risiko" eine Kategorie der Aufgabenzusammensetzung ist und keine Vorhersage. → QUELLEN.md Nr. 59.</w:t>
      </w:r>
    </w:p>
    <w:p>
      <w:pPr>
        <w:pStyle w:val="Anmerkung"/>
      </w:pPr>
      <w:r>
        <w:t xml:space="preserve">[6] Gmyrek, Pawel; Berg, Janine u. a. (ILO / NASK): </w:t>
      </w:r>
      <w:r>
        <w:rPr>
          <w:i/>
        </w:rPr>
        <w:t>Generative AI and Jobs: A Refined Global Index of Occupational Exposure</w:t>
      </w:r>
      <w:r>
        <w:t xml:space="preserve">. ILO Working Paper 140, veröffentlicht 20.05.2025. — ~1 von 4 Beschäftigten weltweit GenAI-exponiert; 34 % (Hocheinkommen) vs. 11 % (Niedrigeinkommen); höchste Expositionskategorie 3,3 % der weltweiten Beschäftigung, Frauen 4,7 % vs. Männer 2,4 %; Transformation statt Ersatz. </w:t>
      </w:r>
      <w:r>
        <w:rPr>
          <w:b/>
        </w:rPr>
        <w:t>Schätzung/Index, im Text gekennzeichnet.</w:t>
      </w:r>
      <w:r>
        <w:t xml:space="preserve"> → QUELLEN.md Nr. 61. ▲ </w:t>
      </w:r>
      <w:r>
        <w:rPr>
          <w:b/>
        </w:rPr>
        <w:t>Die im Text gegebene Erläuterung, wie ein berufsbezogener Expositionsindex konstruiert ist (Zerlegung in Tätigkeiten, Bewertung, Verrechnung mit der Beschäftigungsstruktur), vor Drucklegung am Methodenteil des Working Paper abgleichen.</w:t>
      </w:r>
    </w:p>
    <w:p>
      <w:pPr>
        <w:pStyle w:val="Anmerkung"/>
      </w:pPr>
      <w:r>
        <w:t xml:space="preserve">[7] Cazzaniga, Mauro u. a. (IMF): </w:t>
      </w:r>
      <w:r>
        <w:rPr>
          <w:i/>
        </w:rPr>
        <w:t>Gen-AI: Artificial Intelligence and the Future of Work</w:t>
      </w:r>
      <w:r>
        <w:t xml:space="preserve">. IMF Staff Discussion Note, Januar 2024. — ~40 % der Jobs weltweit KI-exponiert; ~60 % in fortgeschrittenen Volkswirtschaften, davon etwa die Hälfte mit Abwärtsrisiko für Löhne/Arbeitsnachfrage (die andere Hälfte mit Komplementaritätsgewinnen); Schwellenländer ~40 %, Niedrigeinkommensländer ~26 %; ausdrückliche Ungleichheitswarnung. </w:t>
      </w:r>
      <w:r>
        <w:rPr>
          <w:b/>
        </w:rPr>
        <w:t>Schätzung.</w:t>
      </w:r>
      <w:r>
        <w:t xml:space="preserve"> Die im Text vorgenommene Präzisierung — höhere Exposition in reichen Ländern, Ungleichheitsrisiko über die Teilhabefähigkeit an den Produktivitätsgewinnen — ist als Lesart des Autors gekennzeichnet. → QUELLEN.md Nr. 62.</w:t>
      </w:r>
    </w:p>
    <w:p>
      <w:pPr>
        <w:pStyle w:val="Anmerkung"/>
      </w:pPr>
      <w:r>
        <w:t xml:space="preserve">[8] ▲ IAB — Institut für Arbeitsmarkt- und Berufsforschung: </w:t>
      </w:r>
      <w:r>
        <w:rPr>
          <w:i/>
        </w:rPr>
        <w:t>KI und Arbeitsmarkt</w:t>
      </w:r>
      <w:r>
        <w:t xml:space="preserve">. IAB-Forschungsbericht 2025 (Juli 2025). — Beschäftigungswachstum +5,9 % in Berufen mit hoher KI-Exposition vs. +2,5 % bei geringer und −1,7 % ohne Exposition; hohes Substituierbarkeitspotenzial historisch eher langsameres Wachstum als Jobverluste. → QUELLEN.md Nr. 58. </w:t>
      </w:r>
      <w:r>
        <w:rPr>
          <w:b/>
        </w:rPr>
        <w:t>Einzelne Zahlen vor Drucklegung direkt am IAB-Volltext (fb2325.pdf) verifizieren. Die im Text angeschlossene Kritik (möglicher Struktureffekt statt KI-Effekt) ist ausdrücklich als Einwand des Autors markiert.</w:t>
      </w:r>
    </w:p>
    <w:p>
      <w:pPr>
        <w:pStyle w:val="Anmerkung"/>
      </w:pPr>
      <w:r>
        <w:t xml:space="preserve">[9] Acemoglu, Daron: </w:t>
      </w:r>
      <w:r>
        <w:rPr>
          <w:i/>
        </w:rPr>
        <w:t>The Simple Macroeconomics of AI</w:t>
      </w:r>
      <w:r>
        <w:t xml:space="preserve">. NBER Working Paper 32487, April 2024. — Höchstens ~0,66 % Zuwachs der totalen Faktorproduktivität über zehn Jahre; Annahmen u. a. ca. 20 % exponierte Tätigkeiten, davon ca. 23 % profitabel automatisierbar. </w:t>
      </w:r>
      <w:r>
        <w:rPr>
          <w:b/>
        </w:rPr>
        <w:t>[Prognose / Modellrechnung]</w:t>
      </w:r>
      <w:r>
        <w:t xml:space="preserve">, im Text als solche gekennzeichnet. → QUELLEN.md Nr. 110. ▲ </w:t>
      </w:r>
      <w:r>
        <w:rPr>
          <w:b/>
        </w:rPr>
        <w:t>Die im Text vorgeführte Rückrechnung auf eine implizite durchschnittliche Kostenersparnis von rund 14 % ist eine Rechenoperation des Autors aus den veröffentlichten Annahmen und dem veröffentlichten Ergebnis; vor Drucklegung am Volltext gegenprüfen. Die anschließende Variantenrechnung (29 % Kostenersparnis, 60 % automatisierbare Aufgaben) ist ausdrücklich als Veranschaulichung des Autors gekennzeichnet und stammt von keinem der zitierten Häuser.</w:t>
      </w:r>
    </w:p>
    <w:p>
      <w:pPr>
        <w:pStyle w:val="Anmerkung"/>
      </w:pPr>
      <w:r>
        <w:t xml:space="preserve">[10] Goldman Sachs Research (Briggs, Joseph; Kodnani, Devesh): </w:t>
      </w:r>
      <w:r>
        <w:rPr>
          <w:i/>
        </w:rPr>
        <w:t>Generative AI Could Raise Global GDP by 7%</w:t>
      </w:r>
      <w:r>
        <w:t xml:space="preserve">. 2023. — ~7 % globales BIP über zehn Jahre (≈ 7 Bio. USD), Produktivitätsschub ~1,5 Prozentpunkte. </w:t>
      </w:r>
      <w:r>
        <w:rPr>
          <w:b/>
        </w:rPr>
        <w:t>[Prognose]</w:t>
      </w:r>
      <w:r>
        <w:t>. → QUELLEN.md Nr. 96.</w:t>
      </w:r>
    </w:p>
    <w:p>
      <w:pPr>
        <w:pStyle w:val="Anmerkung"/>
      </w:pPr>
      <w:r>
        <w:t xml:space="preserve">[11] McKinsey: </w:t>
      </w:r>
      <w:r>
        <w:rPr>
          <w:i/>
        </w:rPr>
        <w:t>The Economic Potential of Generative AI</w:t>
      </w:r>
      <w:r>
        <w:t xml:space="preserve">. Juni 2023. — 2,6–4,4 Bio. USD jährliches Potenzial über 63 Anwendungsfälle. </w:t>
      </w:r>
      <w:r>
        <w:rPr>
          <w:b/>
        </w:rPr>
        <w:t>[Prognose]</w:t>
      </w:r>
      <w:r>
        <w:t>; im Text ist der Charakter als „Potenzial" ausdrücklich benannt. → QUELLEN.md Nr. 97.</w:t>
      </w:r>
    </w:p>
    <w:p>
      <w:pPr>
        <w:pStyle w:val="Anmerkung"/>
      </w:pPr>
      <w:r>
        <w:t xml:space="preserve">[12] Stanford HAI: </w:t>
      </w:r>
      <w:r>
        <w:rPr>
          <w:i/>
        </w:rPr>
        <w:t>AI Index Report</w:t>
      </w:r>
      <w:r>
        <w:t xml:space="preserve">, Kapitel „Economy". — Organisationale KI-Adoption 2024 ~78 % (nach 55 % im Vorjahr). → QUELLEN.md Nr. 72. </w:t>
      </w:r>
      <w:r>
        <w:rPr>
          <w:b/>
        </w:rPr>
        <w:t>Adoptionszahl vor Drucklegung am AI-Index-Kapitel bestätigen; die im Text angeschlossene Deutung (Elektrifizierungs-Verzögerung, Unschärfe des Adoptionsbegriffs) ist als Vermutung bzw. Einordnung des Autors gekennzeichnet.</w:t>
      </w:r>
    </w:p>
    <w:p>
      <w:pPr>
        <w:pStyle w:val="Anmerkung"/>
      </w:pPr>
      <w:r>
        <w:t xml:space="preserve">[13] Ludditen: Wikipedia </w:t>
      </w:r>
      <w:r>
        <w:rPr>
          <w:i/>
        </w:rPr>
        <w:t>Luddite</w:t>
      </w:r>
      <w:r>
        <w:t xml:space="preserve"> / Nottinghamshire Heritage Gateway; Conniff, Richard: </w:t>
      </w:r>
      <w:r>
        <w:rPr>
          <w:i/>
        </w:rPr>
        <w:t>What the Luddites Really Fought Against</w:t>
      </w:r>
      <w:r>
        <w:t xml:space="preserve">, Smithsonian Magazine, März 2011; </w:t>
      </w:r>
      <w:r>
        <w:rPr>
          <w:i/>
        </w:rPr>
        <w:t>Destruction of Stocking Frames Act 1812</w:t>
      </w:r>
      <w:r>
        <w:t xml:space="preserve"> (52 Geo. 3 c. 16), royal assent 20.03.1812; Byron-Rede im House of Lords, 27.02.1812. → QUELLEN.md Nr. 44, 45, 46. (Ausführlich in Kapitel 4.)</w:t>
      </w:r>
    </w:p>
    <w:p>
      <w:pPr>
        <w:pStyle w:val="Anmerkung"/>
      </w:pPr>
      <w:r>
        <w:t xml:space="preserve">[14] ▲ bpb / </w:t>
      </w:r>
      <w:r>
        <w:rPr>
          <w:i/>
        </w:rPr>
        <w:t>Aus Politik und Zeitgeschichte</w:t>
      </w:r>
      <w:r>
        <w:t xml:space="preserve"> 7/1980: </w:t>
      </w:r>
      <w:r>
        <w:rPr>
          <w:i/>
        </w:rPr>
        <w:t>Mikroelektronik — die dritte industrielle Revolution</w:t>
      </w:r>
      <w:r>
        <w:t xml:space="preserve">. — Zeitgenössische Debatte über technologisch verursachte Massenarbeitslosigkeit. → QUELLEN.md Nr. 30. </w:t>
      </w:r>
      <w:r>
        <w:rPr>
          <w:b/>
        </w:rPr>
        <w:t>Belegstelle vor Drucklegung prüfen; die Bewertung des Ausgangs und der Einwand gegen die eigene Analogie (Exposition liegt heute im Büro, nicht in der Fertigung) sind im Text ausdrücklich als Einordnung des Autors markiert, nicht als Statistik.</w:t>
      </w:r>
    </w:p>
    <w:p>
      <w:pPr>
        <w:pStyle w:val="Anmerkung"/>
      </w:pPr>
      <w:r>
        <w:t xml:space="preserve">[15] Brynjolfsson, Erik; Chandar, Bharat; Chen, Ruyu (Stanford Digital Economy Lab): </w:t>
      </w:r>
      <w:r>
        <w:rPr>
          <w:i/>
        </w:rPr>
        <w:t>Canaries in the Coal Mine? Six Facts about the Recent Employment Effects of Artificial Intelligence</w:t>
      </w:r>
      <w:r>
        <w:t>. 2025. — ADP-Lohnabrechnungsdaten von &gt;25 Mio. Beschäftigten (USA); relativer Beschäftigungsrückgang ~13–16 % bei 22- bis 25-Jährigen in stark KI-exponierten Berufen, Zuwächse bei 35- bis 49-Jährigen; Effekt konzentriert auf automatisierende (nicht augmentierende) Anwendungen. Einschränkungen (relativer Vergleich, ein Land, ein Datenanbieter, Lohndaten sehen keine Verbleibswege) im Text benannt. → QUELLEN.md Nr. 63.</w:t>
      </w:r>
    </w:p>
    <w:p>
      <w:pPr>
        <w:pStyle w:val="Anmerkung"/>
      </w:pPr>
      <w:r>
        <w:t xml:space="preserve">[16] OECD: </w:t>
      </w:r>
      <w:r>
        <w:rPr>
          <w:i/>
        </w:rPr>
        <w:t>OECD Employment Outlook 2023 — Artificial Intelligence and the Labour Market</w:t>
      </w:r>
      <w:r>
        <w:t xml:space="preserve"> (Arbeitgeber- und Beschäftigten-Surveys 2022, &gt;2.000 Arbeitgeber / &gt;5.300 Beschäftigte, Finanz- und Industriesektor, 7 Länder). — ~20 % sehr/äußerst besorgt über Jobverlust in den nächsten 10 Jahren; 20 % (Finanz) bzw. 15 % (Industrie) kannten in KI-einsetzenden Firmen jemanden, der wegen KI den Job verlor; Lohnprämie für KI-Kompetenzen. → QUELLEN.md Nr. 60.</w:t>
      </w:r>
    </w:p>
    <w:p>
      <w:pPr>
        <w:pStyle w:val="Anmerkung"/>
      </w:pPr>
      <w:r>
        <w:t xml:space="preserve">[17] Berkeley Roundtable on the International Economy (BRIE): </w:t>
      </w:r>
      <w:r>
        <w:rPr>
          <w:i/>
        </w:rPr>
        <w:t>Automation and the Future of Work in Germany</w:t>
      </w:r>
      <w:r>
        <w:t xml:space="preserve">, 2022; ergänzend OECD: </w:t>
      </w:r>
      <w:r>
        <w:rPr>
          <w:i/>
        </w:rPr>
        <w:t>The Risk of Automation for Jobs in OECD Countries</w:t>
      </w:r>
      <w:r>
        <w:t>, 2016. — Keine überdurchschnittlichen Jobverluste in hochautomatisierten deutschen Regionen; Produktivitätszuwächse ↔ regionales Beschäftigungswachstum. → QUELLEN.md Nr. 31. (Ausführlicher in Kapitel 5.)</w:t>
      </w:r>
    </w:p>
    <w:p>
      <w:pPr>
        <w:pStyle w:val="Anmerkung"/>
      </w:pPr>
      <w:r>
        <w:t xml:space="preserve">[18] Brynjolfsson, Erik: </w:t>
      </w:r>
      <w:r>
        <w:rPr>
          <w:i/>
        </w:rPr>
        <w:t>The Turing Trap: The Promise &amp; Peril of Human-Like Artificial Intelligence</w:t>
      </w:r>
      <w:r>
        <w:t xml:space="preserve">. Dædalus 2022 / arXiv:2201.04200. — Automation senkt die Verhandlungsmacht Arbeitender und konzentriert den geschaffenen Wert; Augmentation lässt Menschen daran teilhaben; die derzeitigen Anreize begünstigen Automation. </w:t>
      </w:r>
      <w:r>
        <w:rPr>
          <w:b/>
        </w:rPr>
        <w:t>Ökonomische Position, keine Messung; im Text als solche gekennzeichnet.</w:t>
      </w:r>
      <w:r>
        <w:t xml:space="preserve"> → QUELLEN.md Nr. 108. (Ausführlich in Kapitel 10.)</w:t>
      </w:r>
    </w:p>
    <w:p>
      <w:pPr>
        <w:pStyle w:val="Zwischen"/>
      </w:pPr>
      <w:r>
        <w:t>Kapitel 7 — Werden wir dümmer?</w:t>
      </w:r>
    </w:p>
    <w:p>
      <w:pPr>
        <w:pStyle w:val="Anmerkung"/>
      </w:pPr>
      <w:r>
        <w:t xml:space="preserve">[1] De Simone, Martín; Tiberti, Federico u. a. (Weltbank): </w:t>
      </w:r>
      <w:r>
        <w:rPr>
          <w:i/>
        </w:rPr>
        <w:t>From Chalkboards to Chatbots: Transforming Learning in Nigeria</w:t>
      </w:r>
      <w:r>
        <w:t>, 2024/25 (Edo-State-Pilot, GPT-4/Microsoft Copilot als Tutor). — ~800 Schüler:innen, 9 Schulen, 6 Wochen, randomisiert; Lernzuwachs ≈ zwei Schuljahre, ~2,2 SD als Hochrechnung aufs Schuljahr, ~48 USD/Kind; Caveats (kleiner Pilot, kurze Dauer, frühe Sitzungen wirkungsarm, Skalierbarkeit/Langzeit offen). Ebenso: Bezug auf Blooms Zwei-Sigma-Problem sowie weitere randomisierte Tutoring-Studien (u. a. Ghana, UK) mit heterogenen Effektgrößen. Die im Text ergänzten methodischen Überlegungen (Randomisierung, Grenzen von Hochrechnungen, Pilot- vs. Skalierungskosten, Sprachwahl Englisch) sind als Einordnung des Autors gekennzeichnet und nicht Bestandteil der Studienaussage. → QUELLEN.md Nr. 65.</w:t>
      </w:r>
    </w:p>
    <w:p>
      <w:pPr>
        <w:pStyle w:val="Anmerkung"/>
      </w:pPr>
      <w:r>
        <w:t xml:space="preserve">[2] Kosmyna, Nataliya u. a. (MIT Media Lab): </w:t>
      </w:r>
      <w:r>
        <w:rPr>
          <w:i/>
        </w:rPr>
        <w:t>Your Brain on ChatGPT: Accumulation of Cognitive Debt when Using an AI Assistant for Essay Writing Task</w:t>
      </w:r>
      <w:r>
        <w:t>, 2025, arXiv:2506.08872. — EEG-Studie, n=54 (18 in Sitzung 4); schwächste neuronale Konnektivität bei LLM-Nutzung (Brain-only &gt; Search &gt; LLM); Begriff „cognitive debt". Caveats: kleine Stichprobe, Preprint (nicht peer-reviewt), methodische Kritik im Folge-Kommentar Stanković u. a. 2026 (arXiv:2601.00856). Die Erläuterungen zur EEG-Messtechnik und zur Selektivität von Studienabbrüchen sind allgemeine methodische Einordnung des Autors. → QUELLEN.md Nr. 66.</w:t>
      </w:r>
    </w:p>
    <w:p>
      <w:pPr>
        <w:pStyle w:val="Anmerkung"/>
      </w:pPr>
      <w:r>
        <w:t xml:space="preserve">[3] Lee, Hao-Ping (Hank) u. a. (Microsoft Research / Carnegie Mellon University): </w:t>
      </w:r>
      <w:r>
        <w:rPr>
          <w:i/>
        </w:rPr>
        <w:t>The Impact of Generative AI on Critical Thinking: Self-Reported Reductions in Cognitive Effort and Confidence Effects From a Survey of Knowledge Workers</w:t>
      </w:r>
      <w:r>
        <w:t>, CHI 2025, DOI 10.1145/3706598.3713778. — 319 Berufstätige, 936 reale Anwendungsfälle; höheres Vertrauen in die KI ↔ weniger kritisches Denken, höheres Selbstvertrauen ↔ mehr; Verschiebung von Informationsbeschaffung zu Verifikation/Aufgabensteuerung. Einschränkung: Selbstauskunft, Korrelation, selektive Stichprobe (KI-Nutzende). → QUELLEN.md Nr. 67.</w:t>
      </w:r>
    </w:p>
    <w:p>
      <w:pPr>
        <w:pStyle w:val="Anmerkung"/>
      </w:pPr>
      <w:r>
        <w:t xml:space="preserve">[4] Doshi, Anil R.; Hauser, Oliver P.: </w:t>
      </w:r>
      <w:r>
        <w:rPr>
          <w:i/>
        </w:rPr>
        <w:t>Generative AI enhances individual creativity but reduces the collective diversity of novel content</w:t>
      </w:r>
      <w:r>
        <w:t xml:space="preserve">, Science Advances 10(28), 12.07.2024, DOI 10.1126/sciadv.adn5290. — Kurzgeschichten mit KI-Ideen als kreativer/besser/unterhaltsamer bewertet, größter Zugewinn bei weniger kreativen Autor:innen; zugleich stärkere Ähnlichkeit der Texte untereinander → „soziales Dilemma". </w:t>
      </w:r>
      <w:r>
        <w:rPr>
          <w:b/>
        </w:rPr>
        <w:t>Stichprobengröße im Text bewusst nicht genannt (nicht am Volltext verifiziert); vor Drucklegung ergänzen oder Auslassung beibehalten.</w:t>
      </w:r>
      <w:r>
        <w:t xml:space="preserve"> → QUELLEN.md Nr. 69.</w:t>
      </w:r>
    </w:p>
    <w:p>
      <w:pPr>
        <w:pStyle w:val="Anmerkung"/>
      </w:pPr>
      <w:r>
        <w:t xml:space="preserve">[5] UK Government / Intellectual Property Office: </w:t>
      </w:r>
      <w:r>
        <w:rPr>
          <w:i/>
        </w:rPr>
        <w:t>Copyright and Artificial Intelligence — Consultation</w:t>
      </w:r>
      <w:r>
        <w:t xml:space="preserve"> (17.12.2024–25.02.2025) bzw. </w:t>
      </w:r>
      <w:r>
        <w:rPr>
          <w:i/>
        </w:rPr>
        <w:t>Report on Copyright and Artificial Intelligence</w:t>
      </w:r>
      <w:r>
        <w:t>, 2025. — &gt;11.500 Antworten; TDM-Ausnahme mit Opt-out war bevorzugte Option, nach Widerstand der Kreativwirtschaft („Make It Fair") fallengelassen; keine bevorzugte Option mehr. Die Erläuterung der praktischen Folgen eines Opt-out-Modells ist Einordnung des Autors. → QUELLEN.md Nr. 70.</w:t>
      </w:r>
    </w:p>
    <w:p>
      <w:pPr>
        <w:pStyle w:val="Anmerkung"/>
      </w:pPr>
      <w:r>
        <w:t xml:space="preserve">[6] Authors Guild: </w:t>
      </w:r>
      <w:r>
        <w:rPr>
          <w:i/>
        </w:rPr>
        <w:t>Survey: 90 Percent of Writers Believe Authors Should Be Compensated for the Use of Their Books in Training Generative AI</w:t>
      </w:r>
      <w:r>
        <w:t xml:space="preserve">, 2023; </w:t>
      </w:r>
      <w:r>
        <w:rPr>
          <w:i/>
        </w:rPr>
        <w:t>Key Takeaways from the 2023 Author Income Survey</w:t>
      </w:r>
      <w:r>
        <w:t>. — 90 % für Vergütung, 65 % für kollektives Lizenzmodell; Median-Bucheinkommen hauptberuflicher Autor:innen ~10.000 USD/Jahr (~20.000 USD gesamt schreibbezogen), ~−42 % gegenüber 2009. → QUELLEN.md Nr. 71.</w:t>
      </w:r>
    </w:p>
    <w:p>
      <w:pPr>
        <w:pStyle w:val="Anmerkung"/>
      </w:pPr>
      <w:r>
        <w:t xml:space="preserve">[7] ▲ Hembree, Ray; Dessart, Donald J.: </w:t>
      </w:r>
      <w:r>
        <w:rPr>
          <w:i/>
        </w:rPr>
        <w:t>Effects of Hand-Held Calculators in Precollege Mathematics Education: A Meta-Analysis</w:t>
      </w:r>
      <w:r>
        <w:t xml:space="preserve">, Journal for Research in Mathematics Education 17(2):83–99, 1986. — 79 integrierte Studien; auf fast allen Klassenstufen neutral bis positiv, auch für Papier-und-Bleistift-Fertigkeiten und Einstellung; Ausnahme Klasse 4. → QUELLEN.md Nr. 28. </w:t>
      </w:r>
      <w:r>
        <w:rPr>
          <w:b/>
        </w:rPr>
        <w:t>Vor Drucklegung am Volltext verifizieren (Effektrichtung und Klasse-4-Befund im Wortlaut).</w:t>
      </w:r>
    </w:p>
    <w:p>
      <w:pPr>
        <w:pStyle w:val="Anmerkung"/>
      </w:pPr>
      <w:r>
        <w:t xml:space="preserve">[8] Ellington, Aimee J.: </w:t>
      </w:r>
      <w:r>
        <w:rPr>
          <w:i/>
        </w:rPr>
        <w:t>A Meta-Analysis of the Effects of Calculators on Students' Achievement and Attitude Levels in Precollege Mathematics Classes</w:t>
      </w:r>
      <w:r>
        <w:t>, 2003. — Stützt das Bild eines neutralen bis positiven Effekts bei ergänzendem, didaktisch eingebettetem Einsatz. → QUELLEN.md Nr. 29.</w:t>
      </w:r>
    </w:p>
    <w:p>
      <w:pPr>
        <w:pStyle w:val="Anmerkung"/>
      </w:pPr>
      <w:r>
        <w:t xml:space="preserve">[9] UNESCO: </w:t>
      </w:r>
      <w:r>
        <w:rPr>
          <w:i/>
        </w:rPr>
        <w:t>Guidance for Generative AI in Education and Research</w:t>
      </w:r>
      <w:r>
        <w:t>, 2023. — Empfohlenes Mindestalter 13 für eigenständige Nutzung generativer KI-Plattformen; Hinweis auf die abweichende Schwelle 16 im Kontext der EU-DSGVO. → QUELLEN.md Nr. 68.</w:t>
      </w:r>
    </w:p>
    <w:p>
      <w:pPr>
        <w:pStyle w:val="Anmerkung"/>
      </w:pPr>
      <w:r>
        <w:t xml:space="preserve">[10] ▲ Platon: </w:t>
      </w:r>
      <w:r>
        <w:rPr>
          <w:i/>
        </w:rPr>
        <w:t>Phaidros</w:t>
      </w:r>
      <w:r>
        <w:t xml:space="preserve"> 274c–275b (Theuth-und-Thamus-Mythos; die Schrift erzeuge Vergessen, die Menschen würden „scheinbar weise statt weise"). Call-back auf Kapitel 1. → QUELLEN.md Nr. 111. </w:t>
      </w:r>
      <w:r>
        <w:rPr>
          <w:b/>
        </w:rPr>
        <w:t>Deutsche Übersetzung + Stellenangabe vor Drucklegung festlegen; Paraphrase, kein Wortzitat im Text.</w:t>
      </w:r>
    </w:p>
    <w:p>
      <w:pPr>
        <w:pStyle w:val="Anmerkung"/>
      </w:pPr>
      <w:r>
        <w:t xml:space="preserve">[11] ▲ Stanford HAI: </w:t>
      </w:r>
      <w:r>
        <w:rPr>
          <w:i/>
        </w:rPr>
        <w:t>AI Index Report 2026</w:t>
      </w:r>
      <w:r>
        <w:t xml:space="preserve">, Kapitel „Economy". — Ergänzend: KI verengt Qualifikationslücken tendenziell, gering Qualifizierte profitieren relativ stärker. → QUELLEN.md Nr. 72. </w:t>
      </w:r>
      <w:r>
        <w:rPr>
          <w:b/>
        </w:rPr>
        <w:t>Produktivitäts- und Skill-Gap-Aussagen vor Drucklegung direkt am AI-Index-Kapitel verifizieren.</w:t>
      </w:r>
    </w:p>
    <w:p>
      <w:pPr>
        <w:pStyle w:val="Anmerkung"/>
      </w:pPr>
      <w:r>
        <w:t xml:space="preserve">[12] ▲ Bloom, Benjamin S.: </w:t>
      </w:r>
      <w:r>
        <w:rPr>
          <w:i/>
        </w:rPr>
        <w:t>The 2 Sigma Problem: The Search for Methods of Group Instruction as Effective as One-to-One Tutoring</w:t>
      </w:r>
      <w:r>
        <w:t xml:space="preserve">, Educational Researcher 13(6):4–16, 1984. — Einzelunterricht hebt Lernergebnisse um rund zwei Standardabweichungen gegenüber konventionellem Klassenunterricht; Ausgangspunkt der Skalierungsdebatte, an die die KI-Tutoring-Studien anschließen. Die im Text vorgenommene Umrechnung „zwei Standardabweichungen ≈ oberhalb von rund 98 Prozent der Vergleichsgruppe" ist die rechnerische Bedeutung des Maßes bei Normalverteilung, kein zusätzlicher Studienbefund. → QUELLEN.md Nr. 155. </w:t>
      </w:r>
      <w:r>
        <w:rPr>
          <w:b/>
        </w:rPr>
        <w:t>Titel, Band- und Seitenangabe vor Drucklegung am Original verifizieren.</w:t>
      </w:r>
    </w:p>
    <w:p>
      <w:pPr>
        <w:pStyle w:val="Anmerkung"/>
      </w:pPr>
      <w:r>
        <w:t xml:space="preserve">[13] ▲ Verwertungsgesellschaften in Deutschland (VG Wort, GEMA) als bestehende Modelle kollektiver Lizenzierung und Ausschüttung; im Text nur als Analogie zum von der Authors Guild diskutierten kollektiven Lizenzmodell verwendet, ohne Aussage über die Übertragbarkeit auf KI-Trainingsdaten. → QUELLEN.md Nr. 156. </w:t>
      </w:r>
      <w:r>
        <w:rPr>
          <w:b/>
        </w:rPr>
        <w:t>Vor Drucklegung mit einer institutionellen Primärquelle (Satzung/Selbstdarstellung der jeweiligen Verwertungsgesellschaft) belegen.</w:t>
      </w:r>
    </w:p>
    <w:p>
      <w:pPr>
        <w:pStyle w:val="Zwischen"/>
      </w:pPr>
      <w:r>
        <w:t>Kapitel 8 — Die echten Risiken</w:t>
      </w:r>
    </w:p>
    <w:p>
      <w:pPr>
        <w:pStyle w:val="Anmerkung"/>
      </w:pPr>
      <w:r>
        <w:t xml:space="preserve">[1] Julia Angwin, Jeff Larson, Surya Mattu, Lauren Kirchner (ProPublica): </w:t>
      </w:r>
      <w:r>
        <w:rPr>
          <w:i/>
        </w:rPr>
        <w:t>Machine Bias</w:t>
      </w:r>
      <w:r>
        <w:t xml:space="preserve"> / </w:t>
      </w:r>
      <w:r>
        <w:rPr>
          <w:i/>
        </w:rPr>
        <w:t>How We Analyzed the COMPAS Recidivism Algorithm</w:t>
      </w:r>
      <w:r>
        <w:t>, 2016. — Falsch-Positiv-Rate unter den nicht erneut Straffälligen: 45 % (schwarze) vs. 24 % (weiße) Angeklagte; Broward County, Florida; Tool COMPAS/Northpointe; Methode: Abgleich der zugewiesenen Risikowerte mit dem tatsächlichen weiteren Verlauf. → QUELLEN.md Nr. 77.</w:t>
      </w:r>
    </w:p>
    <w:p>
      <w:pPr>
        <w:pStyle w:val="Anmerkung"/>
      </w:pPr>
      <w:r>
        <w:t xml:space="preserve">[2] ▲ Northpointe (heute equivant): Gegendarstellung zur ProPublica-Analyse — Kalibrierung bzw. predictive parity als Fairness-Maßstab; die ungleichen Falsch-Positiv-Raten seien rechnerische Folge ungleicher Basisraten. Hier referiert über das Recherchedossier b2 und die Unmöglichkeits-Literatur (Nr. 80). → QUELLEN.md Nr. 158. </w:t>
      </w:r>
      <w:r>
        <w:rPr>
          <w:b/>
        </w:rPr>
        <w:t>[PRÜFEN]</w:t>
      </w:r>
      <w:r>
        <w:t xml:space="preserve"> Originaldokument der Firmenreplik (2016) vor Drucklegung beschaffen und die Kalibrierungsargumentation im Wortlaut belegen.</w:t>
      </w:r>
    </w:p>
    <w:p>
      <w:pPr>
        <w:pStyle w:val="Anmerkung"/>
      </w:pPr>
      <w:r>
        <w:t xml:space="preserve">[3] Alexandra Chouldechova: </w:t>
      </w:r>
      <w:r>
        <w:rPr>
          <w:i/>
        </w:rPr>
        <w:t>Fair Prediction with Disparate Impact</w:t>
      </w:r>
      <w:r>
        <w:t xml:space="preserve"> (Big Data, 2017); Jon Kleinberg, Sendhil Mullainathan, Manish Raghavan: </w:t>
      </w:r>
      <w:r>
        <w:rPr>
          <w:i/>
        </w:rPr>
        <w:t>Inherent Trade-Offs in the Fair Determination of Risk Scores</w:t>
      </w:r>
      <w:r>
        <w:t>, 2016, arXiv:1703.00056. — Unmöglichkeitstheorem: Kalibrierung und Fehlerratenbalance bei ungleichen Basisraten nicht gleichzeitig erfüllbar (außer im Trivialfall). → QUELLEN.md Nr. 80.</w:t>
      </w:r>
    </w:p>
    <w:p>
      <w:pPr>
        <w:pStyle w:val="Anmerkung"/>
      </w:pPr>
      <w:r>
        <w:t xml:space="preserve">[4] ▲ Rechenbeispiel „Gruppe A / Gruppe B": vom Autor konstruiert, keine Realdaten. Dient ausschließlich der Veranschaulichung von Beleg [3]; im Text ausdrücklich als erfunden gekennzeichnet. → QUELLEN.md Nr. 157. </w:t>
      </w:r>
      <w:r>
        <w:rPr>
          <w:b/>
        </w:rPr>
        <w:t>[PRÜFEN]</w:t>
      </w:r>
      <w:r>
        <w:t xml:space="preserve"> Rechenweg vor Drucklegung von einer zweiten Person nachrechnen lassen.</w:t>
      </w:r>
    </w:p>
    <w:p>
      <w:pPr>
        <w:pStyle w:val="Anmerkung"/>
      </w:pPr>
      <w:r>
        <w:t xml:space="preserve">[5] Joy Buolamwini, Timnit Gebru: </w:t>
      </w:r>
      <w:r>
        <w:rPr>
          <w:i/>
        </w:rPr>
        <w:t>Gender Shades: Intersectional Accuracy Disparities in Commercial Gender Classification</w:t>
      </w:r>
      <w:r>
        <w:t>, PMLR / MIT Media Lab, 2018. — Fehlerrate dunkelhäutige Frauen bis 34,7 %, hellhäutige Männer 0,8 % (Verhältnis größer als 40); drei kommerzielle Systeme; intersektionale Auswertung nach Geschlecht und Hautton; belegte Schieflage gängiger Trainings- und Testdatensätze zugunsten hellhäutiger Subjekte. → QUELLEN.md Nr. 79.</w:t>
      </w:r>
    </w:p>
    <w:p>
      <w:pPr>
        <w:pStyle w:val="Anmerkung"/>
      </w:pPr>
      <w:r>
        <w:t xml:space="preserve">[6] Jeffrey Dastin (Reuters): </w:t>
      </w:r>
      <w:r>
        <w:rPr>
          <w:i/>
        </w:rPr>
        <w:t>Amazon scraps secret AI recruiting tool that showed bias against women</w:t>
      </w:r>
      <w:r>
        <w:t>, Oktober 2018. — Training auf zehn Jahren überwiegend männlicher Lebensläufe; Abwertung von „women's" und Frauen-Colleges; Amazon verlor das Vertrauen, das Werkzeug neutral bekommen zu können, und stellte es ein. → QUELLEN.md Nr. 78.</w:t>
      </w:r>
    </w:p>
    <w:p>
      <w:pPr>
        <w:pStyle w:val="Anmerkung"/>
      </w:pPr>
      <w:r>
        <w:t>[7] Sammelbeleg LLM-Bias-Forschung 2024/2025, u. a. GenderBench (arXiv:2505.12054, 2025) sowie Studien zu Namen-/Hiring-Bias und Empfehlungsschreiben; dokumentierte Gegenmaßnahmen: ausgewogenere Trainingsdaten, Debias-Fine-Tuning, Instruction-/Prompt-Methoden, RLHF, standardisierte Bias-Benchmarks für Audits. → QUELLEN.md Nr. 82.</w:t>
      </w:r>
    </w:p>
    <w:p>
      <w:pPr>
        <w:pStyle w:val="Anmerkung"/>
      </w:pPr>
      <w:r>
        <w:t xml:space="preserve">[8] New York State Department of Financial Services: </w:t>
      </w:r>
      <w:r>
        <w:rPr>
          <w:i/>
        </w:rPr>
        <w:t>Report on the Apple Card Investigation</w:t>
      </w:r>
      <w:r>
        <w:t>, März 2021. — Rund 400.000 geprüfte Anträge aus New York; kein Nachweis unrechtmäßiger Diskriminierung nach Fair-Lending-Recht; Geschlecht kein Modellfaktor; zugleich Mahnung zur Modernisierung von Kredit-Scoring und Antidiskriminierungsregeln. → QUELLEN.md Nr. 81.</w:t>
      </w:r>
    </w:p>
    <w:p>
      <w:pPr>
        <w:pStyle w:val="Anmerkung"/>
      </w:pPr>
      <w:r>
        <w:t xml:space="preserve">[9] Yoshua Bengio et al. (Expert Panel): </w:t>
      </w:r>
      <w:r>
        <w:rPr>
          <w:i/>
        </w:rPr>
        <w:t>International AI Safety Report 2025</w:t>
      </w:r>
      <w:r>
        <w:t>, Januar 2025, arXiv:2501.17805 / internationalaisafetyreport.org. — 96 Fachleute, Vorsitz Bengio, getragen von 30 Ländern sowie EU, OECD, UN; keine politischen Empfehlungen; Cyberfähigkeiten geringer und mittlerer Komplexität; Bio/Chemie „einige Fähigkeit". → QUELLEN.md Nr. 73.</w:t>
      </w:r>
    </w:p>
    <w:p>
      <w:pPr>
        <w:pStyle w:val="Anmerkung"/>
      </w:pPr>
      <w:r>
        <w:t xml:space="preserve">[10] </w:t>
      </w:r>
      <w:r>
        <w:rPr>
          <w:i/>
        </w:rPr>
        <w:t>International AI Safety Report — Key Updates</w:t>
      </w:r>
      <w:r>
        <w:t xml:space="preserve"> (u. a. Second Key Update: Technical Safeguards and Risk Management), 2025, arXiv:2511.19863. — Kontrollverlust: breiter Konsens zur heutigen Unfähigkeit, stark divergierende Zukunftseinschätzungen; Zahl der Frontier-AI-Safety-Frameworks seit Anfang 2025 mehr als verdoppelt; „significant gaps remain". → QUELLEN.md Nr. 74.</w:t>
      </w:r>
    </w:p>
    <w:p>
      <w:pPr>
        <w:pStyle w:val="Anmerkung"/>
      </w:pPr>
      <w:r>
        <w:t xml:space="preserve">[11] Recorded Future / State of Surveillance: </w:t>
      </w:r>
      <w:r>
        <w:rPr>
          <w:i/>
        </w:rPr>
        <w:t>KI-Wahldesinformation 2024–2025</w:t>
      </w:r>
      <w:r>
        <w:t xml:space="preserve">. — „Cheap fakes" rund siebenmal häufiger als KI-Generate; Biden-Robocalls New Hampshire bis ca. 25.000 Wähler; Slowakei-Audio zwei Tage vor der Wahl; Annullierung der rumänischen Präsidentschaftswahl 2024; kausale Wirkung meist nicht quantifiziert. → QUELLEN.md Nr. 75. </w:t>
      </w:r>
      <w:r>
        <w:rPr>
          <w:b/>
        </w:rPr>
        <w:t>[PRÜFEN]</w:t>
      </w:r>
      <w:r>
        <w:t xml:space="preserve"> Einzelzahlen, insbesondere den Faktor 7, vor Drucklegung an den Primärberichten gegenlesen.</w:t>
      </w:r>
    </w:p>
    <w:p>
      <w:pPr>
        <w:pStyle w:val="Anmerkung"/>
      </w:pPr>
      <w:r>
        <w:t xml:space="preserve">[12] FedScoop / Harvard Kennedy School: Umbenennung des britischen Instituts zum </w:t>
      </w:r>
      <w:r>
        <w:rPr>
          <w:i/>
        </w:rPr>
        <w:t>AI Security Institute</w:t>
      </w:r>
      <w:r>
        <w:t xml:space="preserve"> (Februar 2025) und des US-Instituts zum </w:t>
      </w:r>
      <w:r>
        <w:rPr>
          <w:i/>
        </w:rPr>
        <w:t>Center for AI Standards and Innovation</w:t>
      </w:r>
      <w:r>
        <w:t xml:space="preserve"> (Juni 2025). → QUELLEN.md Nr. 76.</w:t>
      </w:r>
    </w:p>
    <w:p>
      <w:pPr>
        <w:pStyle w:val="Anmerkung"/>
      </w:pPr>
      <w:r>
        <w:t xml:space="preserve">[13] Samuel D. Warren, Louis D. Brandeis: </w:t>
      </w:r>
      <w:r>
        <w:rPr>
          <w:i/>
        </w:rPr>
        <w:t>The Right to Privacy</w:t>
      </w:r>
      <w:r>
        <w:t>, 4 Harvard Law Review 193 (1890). — Call-back zu Kapitel 5 (Kodak-Panik). → QUELLEN.md Nr. 43.</w:t>
      </w:r>
    </w:p>
    <w:p>
      <w:pPr>
        <w:pStyle w:val="Anmerkung"/>
      </w:pPr>
      <w:r>
        <w:t xml:space="preserve">[14] Garante per la protezione dei dati personali / Euronews: Bußgeld von 15 Mio. € gegen OpenAI, 20.12.2024; Aufhebung durch ein italienisches Gericht 2026 aus Zuständigkeitsgründen, nicht wegen Entkräftung der DSGVO-Vorwürfe. → QUELLEN.md Nr. 83. </w:t>
      </w:r>
      <w:r>
        <w:rPr>
          <w:b/>
        </w:rPr>
        <w:t>[PRÜFEN]</w:t>
      </w:r>
      <w:r>
        <w:t xml:space="preserve"> Genaues Urteilsdatum und Instanz 2026 vor Drucklegung verifizieren.</w:t>
      </w:r>
    </w:p>
    <w:p>
      <w:pPr>
        <w:pStyle w:val="Anmerkung"/>
      </w:pPr>
      <w:r>
        <w:t xml:space="preserve">[15] European Data Protection Board: </w:t>
      </w:r>
      <w:r>
        <w:rPr>
          <w:i/>
        </w:rPr>
        <w:t>Opinion 28/2024 on certain data protection aspects related to the processing of personal data in the context of AI models</w:t>
      </w:r>
      <w:r>
        <w:t>, 17.12.2024. — Anonymität fallweise zu prüfen; berechtigtes Interesse mit Drei-Stufen-Test (Legitimität, Notwendigkeit, Interessenabwägung); Folgen ursprünglich unrechtmäßiger Verarbeitung; „GDPR principles support responsible AI". → QUELLEN.md Nr. 85.</w:t>
      </w:r>
    </w:p>
    <w:p>
      <w:pPr>
        <w:pStyle w:val="Anmerkung"/>
      </w:pPr>
      <w:r>
        <w:t>[16] Verordnung (EU) 2024/1689 (EU AI Act), Amtsblatt 12.7.2024, in Kraft 1.8.2024; Zeitplan nach Art. 113 (Verbote 2.2.2025; GPAI und Governance einschließlich Benennung der nationalen Behörden 2.8.2025; Hochrisiko nach Anhang III und Transparenzpflichten Art. 50 ab 2.8.2026; Sicherheitskomponenten in bereits regulierten Produkten sowie volle Anwendbarkeit 2.8.2027); Bußgeldstaffel Art. 99 (bis 35 Mio. € / 7 %, 15 Mio. € / 3 %, 7,5 Mio. € / 1 %, jeweils der höhere Betrag); risikobasierte Vier-Stufen-Systematik einschließlich der im Text genannten verbotenen Praktiken nach Art. 5. Quelle: AI Act Service Desk der Europäischen Kommission / artificialintelligenceact.eu. → QUELLEN.md Nr. 84.</w:t>
      </w:r>
    </w:p>
    <w:p>
      <w:pPr>
        <w:pStyle w:val="Anmerkung"/>
      </w:pPr>
      <w:r>
        <w:t xml:space="preserve">[17] International Energy Agency: </w:t>
      </w:r>
      <w:r>
        <w:rPr>
          <w:i/>
        </w:rPr>
        <w:t>Energy and AI</w:t>
      </w:r>
      <w:r>
        <w:t>, April 2025, nebst 2025-Update. — 2024: 415 TWh, rund 1,5 % des globalen Stromverbrauchs; Wachstum ca. 12 % pro Jahr seit 2017; Base Case 945 TWh bis 2030 (knapp 3 %, etwas mehr als Japans heutiger Verbrauch) und rund 1.200 TWh bis 2035; KI-optimierte Rechenzentren bis 2030 mehr als vervierfacht; KI-fokussierte Rechenzentren 2025 rund +50 %; Erneuerbare knapp die Hälfte der Zusatznachfrage; Effizienzgewinn pro Aufgabe zuletzt mindestens eine Größenordnung pro Jahr; Potenzial von KI für den Energiesektor. → QUELLEN.md Nr. 86.</w:t>
      </w:r>
    </w:p>
    <w:p>
      <w:pPr>
        <w:pStyle w:val="Anmerkung"/>
      </w:pPr>
      <w:r>
        <w:t xml:space="preserve">[18] David Patterson et al.: </w:t>
      </w:r>
      <w:r>
        <w:rPr>
          <w:i/>
        </w:rPr>
        <w:t>Carbon Emissions and Large Neural Network Training</w:t>
      </w:r>
      <w:r>
        <w:t>, 2021, arXiv:2104.10350. — GPT-3-Training ca. 1.287 MWh, ca. 552 t CO₂; Vergleichsgröße der Autoren: mehrere Hin- und Rückflüge San Francisco–New York. → QUELLEN.md Nr. 88.</w:t>
      </w:r>
    </w:p>
    <w:p>
      <w:pPr>
        <w:pStyle w:val="Anmerkung"/>
      </w:pPr>
      <w:r>
        <w:t xml:space="preserve">[19] ▲ Pengfei Li et al. (UC Riverside): </w:t>
      </w:r>
      <w:r>
        <w:rPr>
          <w:i/>
        </w:rPr>
        <w:t>Making AI Less „Thirsty" — Water Footprint of AI</w:t>
      </w:r>
      <w:r>
        <w:t xml:space="preserve">, Preprint 2023, mehrfach aktualisiert, arXiv:2304.03271; zur Einordnung ergänzend der spätere Benchmark </w:t>
      </w:r>
      <w:r>
        <w:rPr>
          <w:i/>
        </w:rPr>
        <w:t>How Hungry is AI?</w:t>
      </w:r>
      <w:r>
        <w:t xml:space="preserve"> (arXiv:2505.09598, 2025). — Herkunft der populären Angabe von rund 500 ml pro Antwort von ca. 100 Wörtern, inklusive indirektem Wasserverbrauch der Stromerzeugung; im Umlauf auch als scheinpräziser Wert von 519 ml; methodisch umstritten, nicht als gesicherter Standardwert darstellbar. → QUELLEN.md Nr. 90. </w:t>
      </w:r>
      <w:r>
        <w:rPr>
          <w:b/>
        </w:rPr>
        <w:t>[PRÜFEN]</w:t>
      </w:r>
      <w:r>
        <w:t xml:space="preserve"> Originalfassung, exakte Formulierung des Werts sowie die Variante „519 ml" vor Drucklegung gegenlesen.</w:t>
      </w:r>
    </w:p>
    <w:p>
      <w:pPr>
        <w:pStyle w:val="Anmerkung"/>
      </w:pPr>
      <w:r>
        <w:t xml:space="preserve">[20] Epoch AI: </w:t>
      </w:r>
      <w:r>
        <w:rPr>
          <w:i/>
        </w:rPr>
        <w:t>How much energy does ChatGPT use?</w:t>
      </w:r>
      <w:r>
        <w:t>, 2025; ergänzend die Angabe von Sam Altman (Juni 2025) von ca. 0,34 Wh und ca. 0,3 ml Wasser pro Anfrage (Bericht Datacenter Dynamics). — Unabhängige Schätzung ca. 0,3 Wh für eine typische GPT-4o-Anfrage, rund zehnmal niedriger als ältere, häufig zitierte Werte. Die Veranschaulichung „0,34 Wh ≈ eine Zehn-Watt-LED für zwei Minuten" ist eine Einheitenrechnung des Autors. → QUELLEN.md Nr. 89.</w:t>
      </w:r>
    </w:p>
    <w:p>
      <w:pPr>
        <w:pStyle w:val="Anmerkung"/>
      </w:pPr>
      <w:r>
        <w:t xml:space="preserve">[21] ▲ IEA-Wasserzahlen (referiert über Pew Research, ELI Fact Sheet, ScienceDirect), 2025/2026. — Wasserverbrauch von Rechenzentren ca. 560 Mrd. Liter (2023), ca. 1.200 Mrd. Liter (2030); Schätzungen zum KI-Wasserfußabdruck 312,5–764,6 Mrd. Liter für 2025, stark schwankend und methodisch unsicher. → QUELLEN.md Nr. 87. </w:t>
      </w:r>
      <w:r>
        <w:rPr>
          <w:b/>
        </w:rPr>
        <w:t>[PRÜFEN]</w:t>
      </w:r>
      <w:r>
        <w:t xml:space="preserve"> Wasserzahlen am IEA-Primärtext verifizieren.</w:t>
      </w:r>
    </w:p>
    <w:p>
      <w:pPr>
        <w:pStyle w:val="Anmerkung"/>
      </w:pPr>
      <w:r>
        <w:t xml:space="preserve">[22] Gary Marcus: </w:t>
      </w:r>
      <w:r>
        <w:rPr>
          <w:i/>
        </w:rPr>
        <w:t>Deep Learning Is Hitting a Wall</w:t>
      </w:r>
      <w:r>
        <w:t>, Nautilus 2022, fortgeführt 2024. [Meinung / teils empirisch gestützt] — Skalierung allein löse Halluzinationen und Reasoning-Probleme nicht. Im Text ausdrücklich als Position gekennzeichnet; Vertiefung in Kapitel 9. → QUELLEN.md Nr. 103.</w:t>
      </w:r>
    </w:p>
    <w:p>
      <w:pPr>
        <w:pStyle w:val="Zwischen"/>
      </w:pPr>
      <w:r>
        <w:t>Kapitel 9 — Die Stimmen der Propheten</w:t>
      </w:r>
    </w:p>
    <w:p>
      <w:pPr>
        <w:pStyle w:val="Anmerkung"/>
      </w:pPr>
      <w:r>
        <w:t xml:space="preserve">[1] Demis Hassabis &amp; John Jumper: Nobelpreis für Chemie 2024 (gemeinsam mit David Baker für Proteindesign); AlphaFold2 (2020), ca. 200 Mio. vorhergesagte Proteinstrukturen; AlphaFold-Datenbank von über 2 Mio. Forschenden in 190 Ländern genutzt; von DeepMind angeführte Anwendungsbeispiele (u. a. Enzyme zum Kunststoffabbau, vernachlässigte Tropenkrankheiten, Malariaforschung). NobelPrize.org; Google DeepMind. → QUELLEN.md Nr. 92. </w:t>
      </w:r>
      <w:r>
        <w:rPr>
          <w:b/>
        </w:rPr>
        <w:t>[belegt]</w:t>
      </w:r>
      <w:r>
        <w:t xml:space="preserve"> — </w:t>
      </w:r>
      <w:r>
        <w:rPr>
          <w:i/>
        </w:rPr>
        <w:t>Die Anwendungsbeispiele sind im Text ausdrücklich als Angaben von DeepMind gekennzeichnet.</w:t>
      </w:r>
    </w:p>
    <w:p>
      <w:pPr>
        <w:pStyle w:val="Anmerkung"/>
      </w:pPr>
      <w:r>
        <w:t xml:space="preserve">[2] ▲ Demis Hassabis zu einem „skalierbaren Prozess" gegen praktisch alle Krankheiten in 10–20 Jahren; Isomorphic Labs (DeepMind-Spin-off 2021, Milliardenfinanzierung, Ziel 1–2 Jahre Entdeckungsphase). Interviews/Berichterstattung 2025–26 (u. a. Fortune, The AI Insider). → QUELLEN.md Nr. 91. </w:t>
      </w:r>
      <w:r>
        <w:rPr>
          <w:b/>
        </w:rPr>
        <w:t>[Prognose]</w:t>
      </w:r>
      <w:r>
        <w:t xml:space="preserve"> — </w:t>
      </w:r>
      <w:r>
        <w:rPr>
          <w:i/>
        </w:rPr>
        <w:t>Wortlaut und Finanzierungszahl vor Drucklegung an der Primärquelle prüfen; die Einschränkung „skalierbarer Prozess, nicht Endsieg über jede Krankheit" ist im Text mitgeführt. Die Aufzählung der nachgelagerten Entwicklungsphasen ist allgemeines Fachwissen der Arzneimittelentwicklung, keine Aussage von Hassabis.</w:t>
      </w:r>
    </w:p>
    <w:p>
      <w:pPr>
        <w:pStyle w:val="Anmerkung"/>
      </w:pPr>
      <w:r>
        <w:t xml:space="preserve">[3] Reid Hoffman &amp; Greg Beato: </w:t>
      </w:r>
      <w:r>
        <w:rPr>
          <w:i/>
        </w:rPr>
        <w:t>Superagency: What Could Possibly Go Right with Our AI Future</w:t>
      </w:r>
      <w:r>
        <w:t xml:space="preserve">. Simon &amp; Schuster, 2025; „smart risk taking" als Selbstbeschreibung; kritische Rezeption u. a. Kirkus Reviews („poor arguments and little critical analysis"). → QUELLEN.md Nr. 93. </w:t>
      </w:r>
      <w:r>
        <w:rPr>
          <w:b/>
        </w:rPr>
        <w:t>[Meinung]</w:t>
      </w:r>
      <w:r>
        <w:t xml:space="preserve"> — </w:t>
      </w:r>
      <w:r>
        <w:rPr>
          <w:i/>
        </w:rPr>
        <w:t>Die Bemerkung zur prinzipiellen Prüfbarkeit der These ist im Text als Einschätzung des Autors gekennzeichnet.</w:t>
      </w:r>
    </w:p>
    <w:p>
      <w:pPr>
        <w:pStyle w:val="Anmerkung"/>
      </w:pPr>
      <w:r>
        <w:t xml:space="preserve">[4] ▲ Andrew Ng: „AI is the new electricity" (seit ca. 2016); Position gegen die Existenzrisiko-Furcht, reale Existenzrisiken Pandemien/Klimawandel/Asteroiden (Äußerungen 2023). → QUELLEN.md Nr. 94. </w:t>
      </w:r>
      <w:r>
        <w:rPr>
          <w:b/>
        </w:rPr>
        <w:t>[Meinung]</w:t>
      </w:r>
      <w:r>
        <w:t xml:space="preserve"> — </w:t>
      </w:r>
      <w:r>
        <w:rPr>
          <w:i/>
        </w:rPr>
        <w:t>Im Text bewusst paraphrasiert; das kursierende wörtliche Zitat liegt nur über Sekundärberichterstattung vor und wurde deshalb nicht als Zitat gesetzt.</w:t>
      </w:r>
    </w:p>
    <w:p>
      <w:pPr>
        <w:pStyle w:val="Anmerkung"/>
      </w:pPr>
      <w:r>
        <w:t xml:space="preserve">[5] Marc Andreessen: </w:t>
      </w:r>
      <w:r>
        <w:rPr>
          <w:i/>
        </w:rPr>
        <w:t>Why AI Will Save the World</w:t>
      </w:r>
      <w:r>
        <w:t xml:space="preserve">. a16z, Juni 2023. — Einordnung der Existenzangst als „moral panic"; KI-Mentor für jedes Kind; Plädoyer für offene Märkte statt Regulierung. → QUELLEN.md Nr. 95. </w:t>
      </w:r>
      <w:r>
        <w:rPr>
          <w:b/>
        </w:rPr>
        <w:t>[Meinung]</w:t>
      </w:r>
    </w:p>
    <w:p>
      <w:pPr>
        <w:pStyle w:val="Anmerkung"/>
      </w:pPr>
      <w:r>
        <w:t xml:space="preserve">[6] ▲ Geoffrey Hinton: Austritt bei Google (Mai 2023) mit der Begründung, frei über die Gefahren sprechen zu können; Dezember 2024 Einschätzung „10–20 %" Auslöschungsrisiko binnen ca. 30 Jahren. Washington Post (2.5.2023), CNN, MIT Technology Review. → QUELLEN.md Nr. 98. </w:t>
      </w:r>
      <w:r>
        <w:rPr>
          <w:b/>
        </w:rPr>
        <w:t>[Meinung / Risikoeinschätzung]</w:t>
      </w:r>
      <w:r>
        <w:t xml:space="preserve"> — </w:t>
      </w:r>
      <w:r>
        <w:rPr>
          <w:i/>
        </w:rPr>
        <w:t>Austrittsbegründung im Text paraphrasiert, nicht als Wortzitat; vor Drucklegung am Originalinterview verifizieren.</w:t>
      </w:r>
    </w:p>
    <w:p>
      <w:pPr>
        <w:pStyle w:val="Anmerkung"/>
      </w:pPr>
      <w:r>
        <w:t xml:space="preserve">[7] Geoffrey Hinton &amp; John Hopfield: Nobelpreis für Physik 2024. NobelPrize.org. → QUELLEN.md Nr. 99. </w:t>
      </w:r>
      <w:r>
        <w:rPr>
          <w:b/>
        </w:rPr>
        <w:t>[belegt]</w:t>
      </w:r>
    </w:p>
    <w:p>
      <w:pPr>
        <w:pStyle w:val="Anmerkung"/>
      </w:pPr>
      <w:r>
        <w:t xml:space="preserve">[8] Center for AI Safety: </w:t>
      </w:r>
      <w:r>
        <w:rPr>
          <w:i/>
        </w:rPr>
        <w:t>Statement on AI Risk</w:t>
      </w:r>
      <w:r>
        <w:t xml:space="preserve">, 30. Mai 2023 (Ein-Satz-Statement); Unterzeichner u. a. Hinton, Bengio, Altman, Hassabis, Amodei, Gates. safe.ai. → QUELLEN.md Nr. 100. </w:t>
      </w:r>
      <w:r>
        <w:rPr>
          <w:b/>
        </w:rPr>
        <w:t>[belegt]</w:t>
      </w:r>
      <w:r>
        <w:t xml:space="preserve"> — </w:t>
      </w:r>
      <w:r>
        <w:rPr>
          <w:i/>
        </w:rPr>
        <w:t>Der Statement-Satz ist im Text sinngemäß auf Deutsch wiedergegeben; englischer Originalwortlaut für die Druckfassung vorhalten. Die Deutung des Ein-Satz-Formats (niedrige Unterschriftskosten, geringe Handlungsfolge) ist im Text als Überlegung des Autors gehalten.</w:t>
      </w:r>
    </w:p>
    <w:p>
      <w:pPr>
        <w:pStyle w:val="Anmerkung"/>
      </w:pPr>
      <w:r>
        <w:t xml:space="preserve">[9] </w:t>
      </w:r>
      <w:r>
        <w:rPr>
          <w:i/>
        </w:rPr>
        <w:t>International AI Safety Report</w:t>
      </w:r>
      <w:r>
        <w:t xml:space="preserve">, Vorsitz Yoshua Bengio, 29. Januar 2025; ca. 100 Fachleute, Beirat aus 30 Ländern sowie UN/EU/OECD; ausdrücklich ohne Politikempfehlungen. → QUELLEN.md Nr. 101 (= Nr. 73). </w:t>
      </w:r>
      <w:r>
        <w:rPr>
          <w:b/>
        </w:rPr>
        <w:t>[belegt]</w:t>
      </w:r>
    </w:p>
    <w:p>
      <w:pPr>
        <w:pStyle w:val="Anmerkung"/>
      </w:pPr>
      <w:r>
        <w:t xml:space="preserve">[10] Stuart Russell: </w:t>
      </w:r>
      <w:r>
        <w:rPr>
          <w:i/>
        </w:rPr>
        <w:t>Human Compatible: Artificial Intelligence and the Problem of Control</w:t>
      </w:r>
      <w:r>
        <w:t xml:space="preserve">. Viking/Penguin, 2019. → QUELLEN.md Nr. 102. </w:t>
      </w:r>
      <w:r>
        <w:rPr>
          <w:b/>
        </w:rPr>
        <w:t>[Meinung / Forschungsprogramm]</w:t>
      </w:r>
    </w:p>
    <w:p>
      <w:pPr>
        <w:pStyle w:val="Anmerkung"/>
      </w:pPr>
      <w:r>
        <w:t xml:space="preserve">[11] ▲ Yann LeCun (Turing-Preisträger 2018, langjähriger Chief AI Scientist bei Meta): LLMs seien kein Weg zu menschenähnlicher Intelligenz; World-Model-Ansatz; eigene Gründung. Interviews/Vorträge 2023–2025. → QUELLEN.md Nr. 107. </w:t>
      </w:r>
      <w:r>
        <w:rPr>
          <w:b/>
        </w:rPr>
        <w:t>[Meinung / Forschungsthese]</w:t>
      </w:r>
      <w:r>
        <w:t xml:space="preserve"> — </w:t>
      </w:r>
      <w:r>
        <w:rPr>
          <w:i/>
        </w:rPr>
        <w:t>Position im Text paraphrasiert; konkretes Zitat vor Drucklegung an einem Originalinterview verankern.</w:t>
      </w:r>
    </w:p>
    <w:p>
      <w:pPr>
        <w:pStyle w:val="Anmerkung"/>
      </w:pPr>
      <w:r>
        <w:t xml:space="preserve">[12] Gary Marcus: </w:t>
      </w:r>
      <w:r>
        <w:rPr>
          <w:i/>
        </w:rPr>
        <w:t>Deep Learning Is Hitting a Wall</w:t>
      </w:r>
      <w:r>
        <w:t xml:space="preserve">. Nautilus, März 2022; Fortschreibung im Substack „Marcus on AI" (2024, „diminishing returns"). → QUELLEN.md Nr. 103. </w:t>
      </w:r>
      <w:r>
        <w:rPr>
          <w:b/>
        </w:rPr>
        <w:t>[Meinung / teils empirisch gestützt]</w:t>
      </w:r>
      <w:r>
        <w:t xml:space="preserve"> — </w:t>
      </w:r>
      <w:r>
        <w:rPr>
          <w:i/>
        </w:rPr>
        <w:t>Der im Text angeschlossene Einwand (mehrfach fortgeschriebene These bei weiterhin steigender Leistungsfähigkeit) ist Wertung des Autors.</w:t>
      </w:r>
    </w:p>
    <w:p>
      <w:pPr>
        <w:pStyle w:val="Anmerkung"/>
      </w:pPr>
      <w:r>
        <w:t xml:space="preserve">[13] Emily M. Bender, Timnit Gebru, Angelina McMillan-Major, Margaret Mitchell (als „Shmargaret Shmitchell"): </w:t>
      </w:r>
      <w:r>
        <w:rPr>
          <w:i/>
        </w:rPr>
        <w:t>On the Dangers of Stochastic Parrots: Can Language Models Be Too Big?</w:t>
      </w:r>
      <w:r>
        <w:t xml:space="preserve"> FAccT '21, ACM, März 2021, DOI 10.1145/3442188.3445922. → QUELLEN.md Nr. 104. </w:t>
      </w:r>
      <w:r>
        <w:rPr>
          <w:b/>
        </w:rPr>
        <w:t>[belegt]</w:t>
      </w:r>
      <w:r>
        <w:t xml:space="preserve"> — </w:t>
      </w:r>
      <w:r>
        <w:rPr>
          <w:i/>
        </w:rPr>
        <w:t>Im Text sind nur die im Paper dokumentierten Risiken zugeschrieben; das Argument „Weltuntergangsdebatte lenkt von Gegenwartsschäden ab" ist ausdrücklich als strukturelles Argument bzw. Einschätzung des Autors gekennzeichnet und keiner Person als Zitat unterstellt.</w:t>
      </w:r>
    </w:p>
    <w:p>
      <w:pPr>
        <w:pStyle w:val="Anmerkung"/>
      </w:pPr>
      <w:r>
        <w:t xml:space="preserve">[14] Timnit Gebru: Abgang bei Google im Dezember 2020 im Streit um das Stochastic-Parrots-Paper; Margaret Mitchell rund zwei Monate später entlassen. MIT Technology Review (4.12.2020). → QUELLEN.md Nr. 105. </w:t>
      </w:r>
      <w:r>
        <w:rPr>
          <w:b/>
        </w:rPr>
        <w:t>[belegt]</w:t>
      </w:r>
    </w:p>
    <w:p>
      <w:pPr>
        <w:pStyle w:val="Anmerkung"/>
      </w:pPr>
      <w:r>
        <w:t xml:space="preserve">[15] Joy Buolamwini &amp; Timnit Gebru: </w:t>
      </w:r>
      <w:r>
        <w:rPr>
          <w:i/>
        </w:rPr>
        <w:t>Gender Shades</w:t>
      </w:r>
      <w:r>
        <w:t xml:space="preserve">. PMLR / MIT Media Lab, 2018 — Fehlerraten bis 34,7 % gegenüber 0,8 % je nach Gruppe. Call-back auf Kapitel 8. → QUELLEN.md Nr. 79. </w:t>
      </w:r>
      <w:r>
        <w:rPr>
          <w:b/>
        </w:rPr>
        <w:t>[belegt]</w:t>
      </w:r>
    </w:p>
    <w:p>
      <w:pPr>
        <w:pStyle w:val="Anmerkung"/>
      </w:pPr>
      <w:r>
        <w:t xml:space="preserve">[16] Daniel Kokotajlo, Eli Lifland, Thomas Larsen, Romeo Dean (Red. Scott Alexander): </w:t>
      </w:r>
      <w:r>
        <w:rPr>
          <w:i/>
        </w:rPr>
        <w:t>AI 2027</w:t>
      </w:r>
      <w:r>
        <w:t xml:space="preserve">. April 2025, ai-2027.com; von den Autoren ausdrücklich als hypothetisches Planungswerkzeug deklariert; Szenario mit zwei alternativen Ausgängen; spätere Verschiebung der AGI-Mediane (Kokotajlo ca. 2030; Lifland um ca. 3 Jahre). → QUELLEN.md Nr. 106. </w:t>
      </w:r>
      <w:r>
        <w:rPr>
          <w:b/>
        </w:rPr>
        <w:t>[Prognose / Szenario]</w:t>
      </w:r>
      <w:r>
        <w:t xml:space="preserve"> — </w:t>
      </w:r>
      <w:r>
        <w:rPr>
          <w:i/>
        </w:rPr>
        <w:t>▲ Die Angabe der zwei Verzweigungen (Endungen des Szenarios) ist vor Drucklegung an ai-2027.com zu verifizieren.</w:t>
      </w:r>
    </w:p>
    <w:p>
      <w:pPr>
        <w:pStyle w:val="Anmerkung"/>
      </w:pPr>
      <w:r>
        <w:t xml:space="preserve">[17] Goldman Sachs Research (Joseph Briggs &amp; Devesh Kodnani): </w:t>
      </w:r>
      <w:r>
        <w:rPr>
          <w:i/>
        </w:rPr>
        <w:t>Generative AI Could Raise Global GDP by 7%</w:t>
      </w:r>
      <w:r>
        <w:t xml:space="preserve">. 2023 — ca. 7 % globales BIP über 10 Jahre (≈ 7 Bio. USD), +1,5 Prozentpunkte Produktivitätswachstum; ca. zwei Drittel der US-Berufe exponiert, davon 25–50 % der Tätigkeiten automatisierbar. → QUELLEN.md Nr. 96. </w:t>
      </w:r>
      <w:r>
        <w:rPr>
          <w:b/>
        </w:rPr>
        <w:t>[Prognose]</w:t>
      </w:r>
    </w:p>
    <w:p>
      <w:pPr>
        <w:pStyle w:val="Anmerkung"/>
      </w:pPr>
      <w:r>
        <w:t xml:space="preserve">[18] McKinsey Global Institute / McKinsey Digital: </w:t>
      </w:r>
      <w:r>
        <w:rPr>
          <w:i/>
        </w:rPr>
        <w:t>The Economic Potential of Generative AI</w:t>
      </w:r>
      <w:r>
        <w:t xml:space="preserve">. Juni 2023 — 2,6–4,4 Bio. USD jährlich über 63 Anwendungsfälle; ca. 75 % des Werts in vier Funktionen (Marketing/Vertrieb, Customer Operations, Software-Engineering, F&amp;E). → QUELLEN.md Nr. 97. </w:t>
      </w:r>
      <w:r>
        <w:rPr>
          <w:b/>
        </w:rPr>
        <w:t>[Prognose]</w:t>
      </w:r>
    </w:p>
    <w:p>
      <w:pPr>
        <w:pStyle w:val="Anmerkung"/>
      </w:pPr>
      <w:r>
        <w:t xml:space="preserve">[19] Daron Acemoglu: </w:t>
      </w:r>
      <w:r>
        <w:rPr>
          <w:i/>
        </w:rPr>
        <w:t>The Simple Macroeconomics of AI</w:t>
      </w:r>
      <w:r>
        <w:t xml:space="preserve">. NBER Working Paper Nr. 32487, April 2024 — max. ca. 0,66 % TFP-Zuwachs über 10 Jahre; Annahmen ca. 20 % exponierte Tätigkeiten, davon ca. 23 % profitabel automatisierbar. Call-back auf Kapitel 6. → QUELLEN.md Nr. 110. </w:t>
      </w:r>
      <w:r>
        <w:rPr>
          <w:b/>
        </w:rPr>
        <w:t>[Prognose / Modellrechnung]</w:t>
      </w:r>
      <w:r>
        <w:t xml:space="preserve"> — </w:t>
      </w:r>
      <w:r>
        <w:rPr>
          <w:i/>
        </w:rPr>
        <w:t>Die im Text angeschlossene Rechnung „drei multiplizierte Schätzungen" ist eine Veranschaulichung des Autors, keine Angabe der zitierten Studien.</w:t>
      </w:r>
    </w:p>
    <w:p>
      <w:pPr>
        <w:pStyle w:val="Anmerkung"/>
      </w:pPr>
      <w:r>
        <w:t xml:space="preserve">[20] ▲ Clifford Stoll: </w:t>
      </w:r>
      <w:r>
        <w:rPr>
          <w:i/>
        </w:rPr>
        <w:t>Why the Web Won't Be Nirvana</w:t>
      </w:r>
      <w:r>
        <w:t xml:space="preserve">. Newsweek, 26./27. Februar 1995; spätere Selbstkorrektur (2010). Call-back auf Kapitel 5. → QUELLEN.md Nr. 35. </w:t>
      </w:r>
      <w:r>
        <w:rPr>
          <w:b/>
        </w:rPr>
        <w:t>[belegt als Fehlprognose]</w:t>
      </w:r>
      <w:r>
        <w:t xml:space="preserve"> — </w:t>
      </w:r>
      <w:r>
        <w:rPr>
          <w:i/>
        </w:rPr>
        <w:t>Die drei Vorhersagen sind im Text sinngemäß wiedergegeben; englischer Originalwortlaut vor Drucklegung an der Newsweek-Fassung prüfen.</w:t>
      </w:r>
    </w:p>
    <w:p>
      <w:pPr>
        <w:pStyle w:val="Anmerkung"/>
      </w:pPr>
      <w:r>
        <w:t xml:space="preserve">[21] ▲ Roy Amara (Institute for the Future): Amara's Law — kurzfristige Über-, langfristige Unterschätzung technischer Wirkung; Datierung meist auf ca. 1978, Erstnennung unsicher. Call-back auf Kapitel 4. → QUELLEN.md Nr. 53. </w:t>
      </w:r>
      <w:r>
        <w:rPr>
          <w:b/>
        </w:rPr>
        <w:t>[belegt als Zuschreibung, Datierung unsicher]</w:t>
      </w:r>
    </w:p>
    <w:p>
      <w:pPr>
        <w:pStyle w:val="Anmerkung"/>
      </w:pPr>
      <w:r>
        <w:t xml:space="preserve">[22] Zur „bayerischen Ärztewarnung" als wahrscheinliche Legende: </w:t>
      </w:r>
      <w:r>
        <w:rPr>
          <w:i/>
        </w:rPr>
        <w:t>Eisenbahnkrankheit</w:t>
      </w:r>
      <w:r>
        <w:t xml:space="preserve"> (Forschungsstand); W. K. Mück (Archiv-Negativbefund). Call-back auf Kapitel 2. → QUELLEN.md Nr. 5, 6. </w:t>
      </w:r>
      <w:r>
        <w:rPr>
          <w:b/>
        </w:rPr>
        <w:t>[belegt als Mythos]</w:t>
      </w:r>
    </w:p>
    <w:p>
      <w:pPr>
        <w:pStyle w:val="Anmerkung"/>
      </w:pPr>
      <w:r>
        <w:t xml:space="preserve">[23] ▲ Christian B. Anfinsen: Nobelpreis für Chemie 1972; „Anfinsen-Dogma" — die Information für die native Faltung steckt in der Aminosäuresequenz. Cyrus Levinthal: </w:t>
      </w:r>
      <w:r>
        <w:rPr>
          <w:i/>
        </w:rPr>
        <w:t>How to Fold Graciously</w:t>
      </w:r>
      <w:r>
        <w:t xml:space="preserve">, 1969 — Levinthal-Paradox. NobelPrize.org; strukturbiologische Standardliteratur. → QUELLEN.md Nr. 159. </w:t>
      </w:r>
      <w:r>
        <w:rPr>
          <w:b/>
        </w:rPr>
        <w:t>[belegt]</w:t>
      </w:r>
      <w:r>
        <w:t xml:space="preserve"> — </w:t>
      </w:r>
      <w:r>
        <w:rPr>
          <w:i/>
        </w:rPr>
        <w:t>Jahreszahlen und Formulierung des Levinthal-Arguments vor Drucklegung prüfen; keine Wortzitate im Text.</w:t>
      </w:r>
    </w:p>
    <w:p>
      <w:pPr>
        <w:pStyle w:val="Anmerkung"/>
      </w:pPr>
      <w:r>
        <w:t xml:space="preserve">[24] ▲ CASP — </w:t>
      </w:r>
      <w:r>
        <w:rPr>
          <w:i/>
        </w:rPr>
        <w:t>Critical Assessment of Structure Prediction</w:t>
      </w:r>
      <w:r>
        <w:t xml:space="preserve">, initiiert 1994 von John Moult u. a., zweijährliche Blindprüfung; CASP13 (2018) erster AlphaFold-Sieg; CASP14 (2020) AlphaFold2 mit einem Median-GDT-Wert um 92, Schwellenbereich um 90 als experimentnahe Genauigkeit; Einordnung der Organisatoren, das Problem sei in wesentlichem Sinn gelöst. predictioncenter.org; Nature 2020. → QUELLEN.md Nr. 160. </w:t>
      </w:r>
      <w:r>
        <w:rPr>
          <w:b/>
        </w:rPr>
        <w:t>[belegt]</w:t>
      </w:r>
      <w:r>
        <w:t xml:space="preserve"> — </w:t>
      </w:r>
      <w:r>
        <w:rPr>
          <w:i/>
        </w:rPr>
        <w:t>Medianwert, Metrik und Aussage der Organisatoren am CASP14-Bericht verifizieren; im Text sinngemäß, ohne Wortzitat.</w:t>
      </w:r>
    </w:p>
    <w:p>
      <w:pPr>
        <w:pStyle w:val="Anmerkung"/>
      </w:pPr>
      <w:r>
        <w:t xml:space="preserve">[25] ▲ Protein Data Bank (seit 1971), Bestand zum Zeitpunkt von AlphaFold2 in der Größenordnung von 170.000 experimentell bestimmten Strukturen; AlphaFold2 in Nature, Juli 2021, samt Code; AlphaFold Protein Structure Database (DeepMind/EMBL-EBI), Start Juli 2021, Ausbau Juli 2022 auf über 200 Mio. Vorhersagen. → QUELLEN.md Nr. 161. </w:t>
      </w:r>
      <w:r>
        <w:rPr>
          <w:b/>
        </w:rPr>
        <w:t>[belegt]</w:t>
      </w:r>
      <w:r>
        <w:t xml:space="preserve"> — </w:t>
      </w:r>
      <w:r>
        <w:rPr>
          <w:i/>
        </w:rPr>
        <w:t>Bestandszahl und Ausbaudaten an den Betreiberangaben prüfen.</w:t>
      </w:r>
    </w:p>
    <w:p>
      <w:pPr>
        <w:pStyle w:val="Anmerkung"/>
      </w:pPr>
      <w:r>
        <w:t xml:space="preserve">[26] ▲ Grenzen der Strukturvorhersage: Konfidenzmaß pLDDT je Rest; niedrige Konfidenz bei intrinsisch ungeordneten Bereichen; keine Aussage über Faltungsweg und Dynamik; unzuverlässige Erfassung der Effekte einzelner Mutationen; Molekülkomplexe erst mit Nachfolgemodellen (AlphaFold-Multimer; AlphaFold3, Nature, Mai 2024). → QUELLEN.md Nr. 162. </w:t>
      </w:r>
      <w:r>
        <w:rPr>
          <w:b/>
        </w:rPr>
        <w:t>[belegt]</w:t>
      </w:r>
      <w:r>
        <w:t xml:space="preserve"> — </w:t>
      </w:r>
      <w:r>
        <w:rPr>
          <w:i/>
        </w:rPr>
        <w:t>An der AlphaFold2/3-Primärliteratur belegen. Die Bemerkung, das Modell stehe auf den Daten der experimentellen Strukturbiologie, ist Überlegung des Autors.</w:t>
      </w:r>
    </w:p>
    <w:p>
      <w:pPr>
        <w:pStyle w:val="Anmerkung"/>
      </w:pPr>
      <w:r>
        <w:t xml:space="preserve">[27] ▲ Andrew Ng: Mitgründer von Coursera, Gründer von DeepLearning.AI. → QUELLEN.md Nr. 163. </w:t>
      </w:r>
      <w:r>
        <w:rPr>
          <w:b/>
        </w:rPr>
        <w:t>[belegt]</w:t>
      </w:r>
      <w:r>
        <w:t xml:space="preserve"> — </w:t>
      </w:r>
      <w:r>
        <w:rPr>
          <w:i/>
        </w:rPr>
        <w:t>Im Text nur als Interessenlage angeführt, ausdrücklich ohne Entwertung seiner Argumente.</w:t>
      </w:r>
    </w:p>
    <w:p>
      <w:pPr>
        <w:pStyle w:val="Anmerkung"/>
      </w:pPr>
      <w:r>
        <w:t xml:space="preserve">[28] ▲ Bundeszentrale für politische Bildung, </w:t>
      </w:r>
      <w:r>
        <w:rPr>
          <w:i/>
        </w:rPr>
        <w:t>Aus Politik und Zeitgeschichte</w:t>
      </w:r>
      <w:r>
        <w:t xml:space="preserve"> 7/1980: </w:t>
      </w:r>
      <w:r>
        <w:rPr>
          <w:i/>
        </w:rPr>
        <w:t>Mikroelektronik — die dritte industrielle Revolution</w:t>
      </w:r>
      <w:r>
        <w:t xml:space="preserve">. — Zeitgenössische Debatte über technologisch verursachte Massenarbeitslosigkeit. Call-back auf Kapitel 5 und 6. → QUELLEN.md Nr. 30. </w:t>
      </w:r>
      <w:r>
        <w:rPr>
          <w:b/>
        </w:rPr>
        <w:t>[belegt als zeitgenössische Debatte]</w:t>
      </w:r>
      <w:r>
        <w:t xml:space="preserve"> — </w:t>
      </w:r>
      <w:r>
        <w:rPr>
          <w:i/>
        </w:rPr>
        <w:t>Belegstelle prüfen; die Bewertung des Ausgangs ist im Text als Einordnung des Autors markiert.</w:t>
      </w:r>
    </w:p>
    <w:p>
      <w:pPr>
        <w:pStyle w:val="Anmerkung"/>
      </w:pPr>
      <w:r>
        <w:t xml:space="preserve">[29] Berkeley Roundtable on the International Economy (BRIE): </w:t>
      </w:r>
      <w:r>
        <w:rPr>
          <w:i/>
        </w:rPr>
        <w:t>Automation and the Future of Work in Germany</w:t>
      </w:r>
      <w:r>
        <w:t xml:space="preserve">, 2022; ergänzend OECD: </w:t>
      </w:r>
      <w:r>
        <w:rPr>
          <w:i/>
        </w:rPr>
        <w:t>The Risk of Automation for Jobs in OECD Countries</w:t>
      </w:r>
      <w:r>
        <w:t xml:space="preserve">, 2016. — Keine überdurchschnittlichen Jobverluste in hochautomatisierten deutschen Regionen; Produktivitätszuwächse eher mit regionalem Beschäftigungswachstum verbunden. Call-back auf Kapitel 5. → QUELLEN.md Nr. 31. </w:t>
      </w:r>
      <w:r>
        <w:rPr>
          <w:b/>
        </w:rPr>
        <w:t>[belegt]</w:t>
      </w:r>
    </w:p>
    <w:p>
      <w:pPr>
        <w:pStyle w:val="Anmerkung"/>
      </w:pPr>
      <w:r>
        <w:t xml:space="preserve">[30] De Simone, Martín; Tiberti, Federico u. a. (Weltbank): </w:t>
      </w:r>
      <w:r>
        <w:rPr>
          <w:i/>
        </w:rPr>
        <w:t>From Chalkboards to Chatbots: Transforming Learning in Nigeria</w:t>
      </w:r>
      <w:r>
        <w:t xml:space="preserve">, 2024/25 — Edo-State-Pilot, ca. 800 Schüler:innen, 9 Schulen, 6 Wochen, randomisiert, GPT-4 über Microsoft Copilot als begleiteter Tutor; Lernzuwachs verglichen mit ca. zwei Jahren regulärer Schulbildung, ca. 48 USD pro Kind; Caveats in Kapitel 7 ausgeführt. Call-back auf Kapitel 7. → QUELLEN.md Nr. 65. </w:t>
      </w:r>
      <w:r>
        <w:rPr>
          <w:b/>
        </w:rPr>
        <w:t>[belegt]</w:t>
      </w:r>
      <w:r>
        <w:t xml:space="preserve"> — </w:t>
      </w:r>
      <w:r>
        <w:rPr>
          <w:i/>
        </w:rPr>
        <w:t>Im Text als Prüfung der Andreessen-Behauptung verwendet, nicht als Bestätigung des Essays insgesamt.</w:t>
      </w:r>
    </w:p>
    <w:p>
      <w:pPr>
        <w:pStyle w:val="Zwischen"/>
      </w:pPr>
      <w:r>
        <w:t>Kapitel 10 — Was vom Menschen bleibt</w:t>
      </w:r>
    </w:p>
    <w:p>
      <w:pPr>
        <w:pStyle w:val="Anmerkung"/>
      </w:pPr>
      <w:r>
        <w:t xml:space="preserve">[1] Erik Brynjolfsson: </w:t>
      </w:r>
      <w:r>
        <w:rPr>
          <w:i/>
        </w:rPr>
        <w:t>The Turing Trap: The Promise &amp; Peril of Human-Like Artificial Intelligence</w:t>
      </w:r>
      <w:r>
        <w:t>. Dædalus, Frühjahr 2022; auch arXiv:2201.04200. — Unterscheidung Automation/Augmentation; Verhandlungsmacht und Wertkonzentration bei Substitution; schiefe Anreizlage zugunsten von Automation. Ausdrücklich ökonomische Analyse und Position, keine Messung. → QUELLEN.md Nr. 108. ▲ *</w:t>
      </w:r>
      <w:r>
        <w:rPr>
          <w:i/>
        </w:rPr>
        <w:t>Der im Text erläuterte Bezug auf Turings Nachahmungsspiel als Namensgeber der „Falle" ist vor Drucklegung am Volltext des Papers zu verifizieren; ggf. Turing 1950 (</w:t>
      </w:r>
      <w:r>
        <w:t>Computing Machinery and Intelligence</w:t>
      </w:r>
      <w:r>
        <w:rPr>
          <w:i/>
        </w:rPr>
        <w:t>) als eigene Quelle nachtragen.</w:t>
      </w:r>
      <w:r>
        <w:rPr>
          <w:i/>
        </w:rPr>
        <w:t xml:space="preserve"> — </w:t>
      </w:r>
      <w:r>
        <w:t>Die vier Anreize im Abschnitt „Warum die Anreize in eine Richtung ziehen" und die vier Merkmale eines augmentierenden Entwurfs sind im Text als Beobachtung des Autors gekennzeichnet und werden Brynjolfsson nicht zugeschrieben.*</w:t>
      </w:r>
    </w:p>
    <w:p>
      <w:pPr>
        <w:pStyle w:val="Anmerkung"/>
      </w:pPr>
      <w:r>
        <w:t xml:space="preserve">[2] Erik Brynjolfsson, Bharat Chandar, Ruyu Chen (Stanford Digital Economy Lab): </w:t>
      </w:r>
      <w:r>
        <w:rPr>
          <w:i/>
        </w:rPr>
        <w:t>Canaries in the Coal Mine? Six Facts about the Recent Employment Effects of Artificial Intelligence</w:t>
      </w:r>
      <w:r>
        <w:t xml:space="preserve">. 2025. ADP-Lohndaten von über 25 Mio. Beschäftigten. — Relativer Beschäftigungsrückgang ~13–16 % bei 22–25-Jährigen in stark KI-exponierten Berufen bei gleichzeitigem Zuwachs älterer Kohorten; Konzentration auf automatisierende statt augmentierende Anwendungen. → QUELLEN.md Nr. 63. ▲ </w:t>
      </w:r>
      <w:r>
        <w:rPr>
          <w:b/>
        </w:rPr>
        <w:t>Effektgrößen und die Automation/Augmentation-Aufschlüsselung vor Drucklegung am PDF gegenlesen; ebenso die Aussage zu den älteren Kohorten. Einschränkungen (ein Land, ein Datensatz, kurzer Zeitraum, konstruierte Expositions- und Anwendungsmaße) sind im Text gekennzeichnet.</w:t>
      </w:r>
    </w:p>
    <w:p>
      <w:pPr>
        <w:pStyle w:val="Anmerkung"/>
      </w:pPr>
      <w:r>
        <w:t xml:space="preserve">[3] Erik Brynjolfsson, Danielle Li, Lindsey Raymond: </w:t>
      </w:r>
      <w:r>
        <w:rPr>
          <w:i/>
        </w:rPr>
        <w:t>Generative AI at Work</w:t>
      </w:r>
      <w:r>
        <w:t>. Quarterly Journal of Economics 140(2), 2025, S. 889–942. — ~15 % mehr gelöste Vorgänge pro Stunde bei 5.172 Kundendienst-Mitarbeitenden; größte Gewinne bei wenig erfahrenen und gering qualifizierten Kräften. → QUELLEN.md Nr. 55.</w:t>
      </w:r>
    </w:p>
    <w:p>
      <w:pPr>
        <w:pStyle w:val="Anmerkung"/>
      </w:pPr>
      <w:r>
        <w:t xml:space="preserve">[4] OECD: </w:t>
      </w:r>
      <w:r>
        <w:rPr>
          <w:i/>
        </w:rPr>
        <w:t>OECD Employment Outlook 2025</w:t>
      </w:r>
      <w:r>
        <w:t>. OECD Publishing, 2025. — Bislang wenig Belege für KI-bedingte Jobverluste; zwei Drittel der KI-nutzenden Beschäftigten erleben die Arbeit als weniger monoton oder gefährlich. → QUELLEN.md Nr. 59.</w:t>
      </w:r>
    </w:p>
    <w:p>
      <w:pPr>
        <w:pStyle w:val="Anmerkung"/>
      </w:pPr>
      <w:r>
        <w:t xml:space="preserve">[5] METR: </w:t>
      </w:r>
      <w:r>
        <w:rPr>
          <w:i/>
        </w:rPr>
        <w:t>Measuring the Impact of Early-2025 AI on Experienced Open-Source Developer Productivity</w:t>
      </w:r>
      <w:r>
        <w:t>. 2025; arXiv:2507.09089. — 16 erfahrene Entwickler:innen, RCT, 19 % längere Bearbeitungszeit mit KI bei gegenteiliger Selbsteinschätzung. → QUELLEN.md Nr. 64.</w:t>
      </w:r>
    </w:p>
    <w:p>
      <w:pPr>
        <w:pStyle w:val="Anmerkung"/>
      </w:pPr>
      <w:r>
        <w:t xml:space="preserve">[6] Anil R. Doshi, Oliver P. Hauser: </w:t>
      </w:r>
      <w:r>
        <w:rPr>
          <w:i/>
        </w:rPr>
        <w:t>Generative AI enhances individual creativity but reduces the collective diversity of novel content</w:t>
      </w:r>
      <w:r>
        <w:t>. Science Advances 10(28), 2024, eadn5290, DOI 10.1126/sciadv.adn5290. — Rückverweis auf Kapitel 7. → QUELLEN.md Nr. 69.</w:t>
      </w:r>
    </w:p>
    <w:p>
      <w:pPr>
        <w:pStyle w:val="Anmerkung"/>
      </w:pPr>
      <w:r>
        <w:t xml:space="preserve">[7] Pawel Gmyrek, Janine Berg et al. (ILO/NASK): </w:t>
      </w:r>
      <w:r>
        <w:rPr>
          <w:i/>
        </w:rPr>
        <w:t>Generative AI and Jobs: A Refined Global Index of Occupational Exposure</w:t>
      </w:r>
      <w:r>
        <w:t xml:space="preserve">. ILO Working Paper 140, Mai 2025. — ~1 von 4 Beschäftigten weltweit exponiert; 34 % (Hocheinkommen) vs. 11 % (Niedrigeinkommen); höchste Expositionsstufe 3,3 % der weltweiten Beschäftigung, Frauen 4,7 % vs. Männer 2,4 %; Transformation statt Ersatz. → QUELLEN.md Nr. 61. ▲ </w:t>
      </w:r>
      <w:r>
        <w:rPr>
          <w:b/>
        </w:rPr>
        <w:t>Die im Text angeschlossene Deutung („Exposition folgt der Bildschirmnähe, nicht dem Anspruch der Tätigkeit") ist als Lesart des Autors gekennzeichnet und keine Aussage der Studie.</w:t>
      </w:r>
    </w:p>
    <w:p>
      <w:pPr>
        <w:pStyle w:val="Anmerkung"/>
      </w:pPr>
      <w:r>
        <w:t xml:space="preserve">[8] Mauro Cazzaniga et al. (IWF): </w:t>
      </w:r>
      <w:r>
        <w:rPr>
          <w:i/>
        </w:rPr>
        <w:t>Gen-AI: Artificial Intelligence and the Future of Work</w:t>
      </w:r>
      <w:r>
        <w:t>. IMF Staff Discussion Note, Januar 2024. — ~40 % der Jobs weltweit exponiert, ~60 % in fortgeschrittenen Volkswirtschaften, ~26 % in Niedrigeinkommensländern; ausdrückliche Warnung vor wachsender Ungleichheit. → QUELLEN.md Nr. 62.</w:t>
      </w:r>
    </w:p>
    <w:p>
      <w:pPr>
        <w:pStyle w:val="Anmerkung"/>
      </w:pPr>
      <w:r>
        <w:t xml:space="preserve">[9] OpenResearch: </w:t>
      </w:r>
      <w:r>
        <w:rPr>
          <w:i/>
        </w:rPr>
        <w:t>Unconditional Cash Study</w:t>
      </w:r>
      <w:r>
        <w:t xml:space="preserve">, Ergebnisse veröffentlicht 21. Juli 2024; finanziell gestützt von Sam Altman. — 1.000 Teilnehmende, 1.000 USD/Monat über drei Jahre, Kontrollgruppe 50 USD; mehr Gründungen, Bildung, Vorsorge und medizinische Versorgung; geringer Effekt auf die Arbeitszeit (Größenordnung ~5 Std./Monat weniger Erwerbsarbeit). → QUELLEN.md Nr. 109. ▲ </w:t>
      </w:r>
      <w:r>
        <w:rPr>
          <w:b/>
        </w:rPr>
        <w:t>Genaue Effektgröße zur Arbeitszeit vor Drucklegung an der Originalveröffentlichung bestätigen.</w:t>
      </w:r>
      <w:r>
        <w:t xml:space="preserve"> — </w:t>
      </w:r>
      <w:r>
        <w:rPr>
          <w:i/>
        </w:rPr>
        <w:t>Die im Text genannten Grenzen (Befristung auf drei Jahre, Stichprobengröße, Finanzierung von außen, US-Kontext der Gesundheitsversorgung) sind ausdrücklich als Einordnung des Autors gekennzeichnet, nicht als Aussagen der Studie.</w:t>
      </w:r>
    </w:p>
    <w:p>
      <w:pPr>
        <w:pStyle w:val="Anmerkung"/>
      </w:pPr>
      <w:r>
        <w:t xml:space="preserve">[10] Daron Acemoglu: </w:t>
      </w:r>
      <w:r>
        <w:rPr>
          <w:i/>
        </w:rPr>
        <w:t>The Simple Macroeconomics of AI</w:t>
      </w:r>
      <w:r>
        <w:t>. NBER Working Paper Nr. 32487, April 2024. — Höchstens ~0,66 % zusätzliche TFP über zehn Jahre; ausdrücklich Modellrechnung/Prognose. → QUELLEN.md Nr. 110.</w:t>
      </w:r>
    </w:p>
    <w:p>
      <w:pPr>
        <w:pStyle w:val="Anmerkung"/>
      </w:pPr>
      <w:r>
        <w:t xml:space="preserve">[11] World Economic Forum: </w:t>
      </w:r>
      <w:r>
        <w:rPr>
          <w:i/>
        </w:rPr>
        <w:t>The Future of Jobs Report 2025</w:t>
      </w:r>
      <w:r>
        <w:t>. 2025. — 170 Mio. neue, 92 Mio. wegfallende, netto +78 Mio. Stellen bis 2030; Basis ~1.000 Unternehmen in 55 Volkswirtschaften. Prognose auf Befragungsbasis. → QUELLEN.md Nr. 57.</w:t>
      </w:r>
    </w:p>
    <w:p>
      <w:pPr>
        <w:pStyle w:val="Anmerkung"/>
      </w:pPr>
      <w:r>
        <w:t xml:space="preserve">[12] IAB — Institut für Arbeitsmarkt- und Berufsforschung: </w:t>
      </w:r>
      <w:r>
        <w:rPr>
          <w:i/>
        </w:rPr>
        <w:t>KI und Arbeitsmarkt</w:t>
      </w:r>
      <w:r>
        <w:t xml:space="preserve">, IAB-Forschungsbericht 2025. — Beschäftigungswachstum in stark KI-exponierten Berufen (+5,9 %) höher als in gering (+2,5 %) oder nicht exponierten (−1,7 %). → QUELLEN.md Nr. 58. ▲ </w:t>
      </w:r>
      <w:r>
        <w:rPr>
          <w:b/>
        </w:rPr>
        <w:t>Einzelzahlen vor Drucklegung direkt am IAB-Volltext prüfen.</w:t>
      </w:r>
    </w:p>
    <w:p>
      <w:pPr>
        <w:pStyle w:val="Anmerkung"/>
      </w:pPr>
      <w:r>
        <w:t xml:space="preserve">[13] OECD: </w:t>
      </w:r>
      <w:r>
        <w:rPr>
          <w:i/>
        </w:rPr>
        <w:t>OECD Employment Outlook 2023 — Artificial Intelligence and the Labour Market</w:t>
      </w:r>
      <w:r>
        <w:t xml:space="preserve"> (Arbeitgeber- und Beschäftigten-Surveys 2022). — Lohnprämie für KI-spezifische Kompetenzen gegenüber vergleichbaren fortgeschrittenen Fähigkeiten. → QUELLEN.md Nr. 60.</w:t>
      </w:r>
    </w:p>
    <w:p>
      <w:pPr>
        <w:pStyle w:val="Anmerkung"/>
      </w:pPr>
      <w:r>
        <w:t xml:space="preserve">[14] Alan M. Turing: </w:t>
      </w:r>
      <w:r>
        <w:rPr>
          <w:i/>
        </w:rPr>
        <w:t>Computing Machinery and Intelligence</w:t>
      </w:r>
      <w:r>
        <w:t xml:space="preserve">. Mind LIX (236), Oktober 1950, S. 433–460. — Ersetzung der Frage „Können Maschinen denken?" durch das Nachahmungsspiel (imitation game); Kommunikation ausschließlich über Fernschreiber; Prüfkriterium ist die Unterscheidbarkeit durch einen menschlichen Fragesteller. → QUELLEN.md Nr. 164. ▲ </w:t>
      </w:r>
      <w:r>
        <w:rPr>
          <w:b/>
        </w:rPr>
        <w:t>Im Text durchgehend paraphrasiert, kein Wortzitat. Aufbau des Spiels (Turings ursprüngliche Fassung mit Mann und Frau als Vorlage) und Seitenangabe vor Drucklegung am Originalaufsatz prüfen.</w:t>
      </w:r>
    </w:p>
    <w:p>
      <w:pPr>
        <w:pStyle w:val="Zwischen"/>
      </w:pPr>
      <w:r>
        <w:t>Kapitel 11 — Vertrauen ist eine Fähigkeit</w:t>
      </w:r>
    </w:p>
    <w:p>
      <w:pPr>
        <w:pStyle w:val="Anmerkung"/>
      </w:pPr>
      <w:r>
        <w:t xml:space="preserve">[1] Jeffrey Dastin (Reuters): </w:t>
      </w:r>
      <w:r>
        <w:rPr>
          <w:i/>
        </w:rPr>
        <w:t>Amazon scraps secret AI recruiting tool that showed bias against women</w:t>
      </w:r>
      <w:r>
        <w:t>, Oktober 2018. — Training auf zehn Jahren überwiegend männlicher Bewerbungen; Abwertung von „women's" und reinen Frauen-Colleges; Projekt eingestellt. → QUELLEN.md Nr. 78.</w:t>
      </w:r>
    </w:p>
    <w:p>
      <w:pPr>
        <w:pStyle w:val="Anmerkung"/>
      </w:pPr>
      <w:r>
        <w:t>[2] Verordnung (EU) 2024/1689 (EU AI Act); Implementation Timeline des AI Act Service Desk der Europäischen Kommission. — Risikobasierter Ansatz mit vier Stufen; verbotene Praktiken nach Art. 5 (u. a. Social Scoring durch Behörden, ungezieltes Scraping von Gesichtsbildern, Emotionserkennung am Arbeitsplatz und in der Bildung) anwendbar seit 2.2.2025; Hochrisiko-Systeme nach Anhang III und Transparenzpflichten nach Art. 50 anwendbar seit 2.8.2026. → QUELLEN.md Nr. 84.</w:t>
      </w:r>
    </w:p>
    <w:p>
      <w:pPr>
        <w:pStyle w:val="Anmerkung"/>
      </w:pPr>
      <w:r>
        <w:t xml:space="preserve">[3] Gary Marcus: </w:t>
      </w:r>
      <w:r>
        <w:rPr>
          <w:i/>
        </w:rPr>
        <w:t>Deep Learning Is Hitting a Wall</w:t>
      </w:r>
      <w:r>
        <w:t xml:space="preserve">, Nautilus 2022, fortgeführt im Substack „Marcus on AI" (2024). — Position: Halluzinationen und Reasoning-Schwächen lassen sich durch reines Hochskalieren nicht lösen. Im Text als Position gekennzeichnet, nicht als Konsens; die </w:t>
      </w:r>
      <w:r>
        <w:rPr>
          <w:i/>
        </w:rPr>
        <w:t>Existenz</w:t>
      </w:r>
      <w:r>
        <w:t xml:space="preserve"> der Grenze (Halluzination) ist in der Recherchelage unstrittig, quantitative Fehlerraten werden im Text bewusst nicht genannt. → QUELLEN.md Nr. 103.</w:t>
      </w:r>
    </w:p>
    <w:p>
      <w:pPr>
        <w:pStyle w:val="Anmerkung"/>
      </w:pPr>
      <w:r>
        <w:t xml:space="preserve">[4] METR: </w:t>
      </w:r>
      <w:r>
        <w:rPr>
          <w:i/>
        </w:rPr>
        <w:t>Measuring the Impact of Early-2025 AI on Experienced Open-Source Developer Productivity</w:t>
      </w:r>
      <w:r>
        <w:t>, 2025, arXiv:2507.09089; Update Februar 2026. — 16 erfahrene Entwickler:innen, RCT, 19 % langsamer bei gegenteiliger Selbsteinschätzung (~20 % schneller); Einschränkungen und das spätere METR-Update sind im Text genannt. → QUELLEN.md Nr. 64.</w:t>
      </w:r>
    </w:p>
    <w:p>
      <w:pPr>
        <w:pStyle w:val="Anmerkung"/>
      </w:pPr>
      <w:r>
        <w:t xml:space="preserve">[5] Hao-Ping Lee et al. (Microsoft Research / Carnegie Mellon): </w:t>
      </w:r>
      <w:r>
        <w:rPr>
          <w:i/>
        </w:rPr>
        <w:t>The Impact of Generative AI on Critical Thinking</w:t>
      </w:r>
      <w:r>
        <w:t>, CHI 2025, DOI 10.1145/3706598.3713778. — 319 Berufstätige, 936 reale Anwendungsfälle; höheres Vertrauen in die KI korreliert mit weniger kritischem Denken, höheres Selbstvertrauen mit mehr. → QUELLEN.md Nr. 67.</w:t>
      </w:r>
    </w:p>
    <w:p>
      <w:pPr>
        <w:pStyle w:val="Anmerkung"/>
      </w:pPr>
      <w:r>
        <w:t xml:space="preserve">[6] Nataliya Kosmyna et al. (MIT Media Lab): </w:t>
      </w:r>
      <w:r>
        <w:rPr>
          <w:i/>
        </w:rPr>
        <w:t>Your Brain on ChatGPT: Accumulation of Cognitive Debt…</w:t>
      </w:r>
      <w:r>
        <w:t>, 2025, arXiv:2506.08872. — EEG-Studie, n=54; schwächste neuronale Konnektivität bei LLM-Nutzung; Begriff „cognitive debt". Preprint, kleine Stichprobe, methodische Kritik in einem Folge-Kommentar — im Text ausdrücklich vermerkt. → QUELLEN.md Nr. 66.</w:t>
      </w:r>
    </w:p>
    <w:p>
      <w:pPr>
        <w:pStyle w:val="Anmerkung"/>
      </w:pPr>
      <w:r>
        <w:t xml:space="preserve">[7] Ray Hembree &amp; Donald J. Dessart: </w:t>
      </w:r>
      <w:r>
        <w:rPr>
          <w:i/>
        </w:rPr>
        <w:t>Effects of Hand-Held Calculators in Precollege Mathematics Education: A Meta-Analysis</w:t>
      </w:r>
      <w:r>
        <w:t>, Journal for Research in Mathematics Education 17(2), 1986, S. 83–99. — Überwiegend neutrale bis positive Effekte über die Klassenstufen hinweg, mit Ausnahme der vierten Klasse. → QUELLEN.md Nr. 28.</w:t>
      </w:r>
    </w:p>
    <w:p>
      <w:pPr>
        <w:pStyle w:val="Anmerkung"/>
      </w:pPr>
      <w:r>
        <w:t xml:space="preserve">[8] Zusammenfassende Recherche zu KI-Desinformation in den Wahlen 2024–2025 (State of Surveillance / Recorded Future u. a.). — „Cheap fakes" deutlich häufiger als KI-Generate; dokumentierte Einzelfälle: KI-generierte Biden-Robocalls mit bis zu ca. 25.000 erreichten Wählern in New Hampshire, gefälschtes Kandidaten-Audio in der Slowakei, Annullierung der rumänischen Präsidentschaftswahl 2024; kausale Wirkung meist nicht quantifiziert. → QUELLEN.md Nr. 75. ▲ </w:t>
      </w:r>
      <w:r>
        <w:rPr>
          <w:b/>
        </w:rPr>
        <w:t>Einzelzahlen vor Drucklegung an Primärberichten prüfen.</w:t>
      </w:r>
    </w:p>
    <w:p>
      <w:pPr>
        <w:pStyle w:val="Anmerkung"/>
      </w:pPr>
      <w:r>
        <w:t xml:space="preserve">[9] Yoshua Bengio et al.: </w:t>
      </w:r>
      <w:r>
        <w:rPr>
          <w:i/>
        </w:rPr>
        <w:t>International AI Safety Report 2025</w:t>
      </w:r>
      <w:r>
        <w:t xml:space="preserve"> sowie </w:t>
      </w:r>
      <w:r>
        <w:rPr>
          <w:i/>
        </w:rPr>
        <w:t>Second Key Update: Technical Safeguards and Risk Management</w:t>
      </w:r>
      <w:r>
        <w:t>, arXiv:2511.19863. — Wasserzeichen und Detektion KI-generierter Inhalte werden behandelt; versierte Angreifer umgehen aktuelle Schutzmaßnahmen oft, reale Wirksamkeit vieler Safeguards unsicher. → QUELLEN.md Nr. 73 und Nr. 74.</w:t>
      </w:r>
    </w:p>
    <w:p>
      <w:pPr>
        <w:pStyle w:val="Anmerkung"/>
      </w:pPr>
      <w:r>
        <w:t xml:space="preserve">[10] European Data Protection Board: </w:t>
      </w:r>
      <w:r>
        <w:rPr>
          <w:i/>
        </w:rPr>
        <w:t>Opinion 28/2024 on certain data protection aspects related to the processing of personal data in the context of AI models</w:t>
      </w:r>
      <w:r>
        <w:t>, 17.12.2024. — Anonymität eines Modells ist im Einzelfall zu prüfen; es muss „sehr unwahrscheinlich" sein, Personen zu identifizieren oder personenbezogene Daten per Anfrage zu extrahieren. → QUELLEN.md Nr. 85.</w:t>
      </w:r>
    </w:p>
    <w:p>
      <w:pPr>
        <w:pStyle w:val="Anmerkung"/>
      </w:pPr>
      <w:r>
        <w:t xml:space="preserve">[11] UNESCO: </w:t>
      </w:r>
      <w:r>
        <w:rPr>
          <w:i/>
        </w:rPr>
        <w:t>Guidance for Generative AI in Education and Research</w:t>
      </w:r>
      <w:r>
        <w:t>, 2023. — Empfohlenes Mindestalter 13 für die eigenständige Nutzung generativer KI-Plattformen; Hinweis auf die DSGVO-Schwelle von 16 Jahren. Im Text als institutionelle Position gekennzeichnet, nicht als eigenes pädagogisches Urteil. → QUELLEN.md Nr. 68.</w:t>
      </w:r>
    </w:p>
    <w:p>
      <w:pPr>
        <w:pStyle w:val="Anmerkung"/>
      </w:pPr>
      <w:r>
        <w:t xml:space="preserve">[12] Garante per la protezione dei dati personali; Berichterstattung Euronews/Reuters. — Bußgeld von 15 Mio. € gegen OpenAI am 20.12.2024 (u. a. fehlende Rechtsgrundlage für Trainingsdatenverarbeitung, Transparenzverstöße); Annullierung durch ein italienisches Gericht 2026 aus Zuständigkeitsgründen, nicht wegen Entkräftung der inhaltlichen DSGVO-Vorwürfe. → QUELLEN.md Nr. 83. ▲ </w:t>
      </w:r>
      <w:r>
        <w:rPr>
          <w:b/>
        </w:rPr>
        <w:t>[PRÜFEN]</w:t>
      </w:r>
      <w:r>
        <w:t xml:space="preserve"> genaues Urteilsdatum/Instanz 2026.</w:t>
      </w:r>
    </w:p>
    <w:p>
      <w:pPr>
        <w:pStyle w:val="Anmerkung"/>
      </w:pPr>
      <w:r>
        <w:t xml:space="preserve">[13] New York State Department of Financial Services: </w:t>
      </w:r>
      <w:r>
        <w:rPr>
          <w:i/>
        </w:rPr>
        <w:t>Report on the Apple Card Investigation</w:t>
      </w:r>
      <w:r>
        <w:t>, März 2021. — Rund 400.000 New Yorker Anträge geprüft; kein Nachweis unrechtmäßiger Diskriminierung, Geschlecht kein Faktor. → QUELLEN.md Nr. 81.</w:t>
      </w:r>
    </w:p>
    <w:p>
      <w:pPr>
        <w:pStyle w:val="Anmerkung"/>
      </w:pPr>
      <w:r>
        <w:t xml:space="preserve">[14] Julia Angwin, Jeff Larson, Surya Mattu, Lauren Kirchner (ProPublica): </w:t>
      </w:r>
      <w:r>
        <w:rPr>
          <w:i/>
        </w:rPr>
        <w:t>Machine Bias</w:t>
      </w:r>
      <w:r>
        <w:t>, 2016. — COMPAS/Northpointe, Broward County; unter den nicht erneut Straffälligen 45 % Falsch-Positiv-Rate bei schwarzen gegenüber 24 % bei weißen Angeklagten. → QUELLEN.md Nr. 77.</w:t>
      </w:r>
    </w:p>
    <w:p>
      <w:pPr>
        <w:pStyle w:val="Anmerkung"/>
      </w:pPr>
      <w:r>
        <w:t xml:space="preserve">[15] Alexandra Chouldechova: </w:t>
      </w:r>
      <w:r>
        <w:rPr>
          <w:i/>
        </w:rPr>
        <w:t>Fair prediction with disparate impact</w:t>
      </w:r>
      <w:r>
        <w:t xml:space="preserve">, 2017; Jon Kleinberg, Sendhil Mullainathan, Manish Raghavan: </w:t>
      </w:r>
      <w:r>
        <w:rPr>
          <w:i/>
        </w:rPr>
        <w:t>Inherent Trade-Offs in the Fair Determination of Risk Scores</w:t>
      </w:r>
      <w:r>
        <w:t>, 2016, arXiv:1703.00056. — „Unmöglichkeitstheorem": Bei ungleichen Basisraten sind Kalibrierung und Fehlerratenbalance nicht gleichzeitig erfüllbar. → QUELLEN.md Nr. 80.</w:t>
      </w:r>
    </w:p>
    <w:p>
      <w:pPr>
        <w:pStyle w:val="Anmerkung"/>
      </w:pPr>
      <w:r>
        <w:t xml:space="preserve">[16] Joy Buolamwini &amp; Timnit Gebru: </w:t>
      </w:r>
      <w:r>
        <w:rPr>
          <w:i/>
        </w:rPr>
        <w:t>Gender Shades: Intersectional Accuracy Disparities in Commercial Gender Classification</w:t>
      </w:r>
      <w:r>
        <w:t>, PMLR / FAccT 2018. — Drei kommerzielle Systeme zur Geschlechtsklassifikation; Fehlerrate bei dunkelhäutigen Frauen bis 34,7 %, bei hellhäutigen Männern 0,8 %. Die angeschlossene Folgerung („der Durchschnitt versteckt das Problem") ist Schluss des Autors, keine Aussage der Studie. → QUELLEN.md Nr. 79.</w:t>
      </w:r>
    </w:p>
    <w:p>
      <w:pPr>
        <w:pStyle w:val="Anmerkung"/>
      </w:pPr>
      <w:r>
        <w:t xml:space="preserve">[17] Sida Peng, Eirini Kalliamvakou, Peter Cihon, Mert Demirer: </w:t>
      </w:r>
      <w:r>
        <w:rPr>
          <w:i/>
        </w:rPr>
        <w:t>The Impact of AI on Developer Productivity: Evidence from GitHub Copilot</w:t>
      </w:r>
      <w:r>
        <w:t>, 2023, arXiv:2302.06590. — Randomisiertes Experiment (HTTP-Server in JavaScript); Copilot-Gruppe rund 56 % schneller (71 vs. 160 Min.). Nicht begutachtetes Arbeitspapier, Laborsetting — im Text gekennzeichnet; die Gegenüberstellung mit [4] ist Deutung des Autors. → QUELLEN.md Nr. 56.</w:t>
      </w:r>
    </w:p>
    <w:p>
      <w:pPr>
        <w:pStyle w:val="Anmerkung"/>
      </w:pPr>
      <w:r>
        <w:t xml:space="preserve">[18] Martín De Simone, Federico Tiberti et al. (Weltbank): </w:t>
      </w:r>
      <w:r>
        <w:rPr>
          <w:i/>
        </w:rPr>
        <w:t>From Chalkboards to Chatbots: Transforming Learning in Nigeria</w:t>
      </w:r>
      <w:r>
        <w:t>, 2024/2025. — Randomisierter Pilot in Edo State, ca. 800 Schüler:innen, sechs Wochen, GPT-4/Copilot als Tutor; Lernzuwachs von der Weltbank mit etwa zwei Jahren regulärer Schulbildung verglichen. Einschränkungen im Text genannt. → QUELLEN.md Nr. 65.</w:t>
      </w:r>
    </w:p>
    <w:p>
      <w:pPr>
        <w:pStyle w:val="Anmerkung"/>
      </w:pPr>
      <w:r>
        <w:rPr>
          <w:i/>
        </w:rPr>
        <w:t>Nicht belegt und daher im Text als Erfahrung, Angewohnheit oder Haltung des Autors gekennzeichnet:</w:t>
      </w:r>
      <w:r>
        <w:t xml:space="preserve"> die Flur-Szene nach dem Workshop; sämtliche Projektszenen; die Grenze beim Übersetzen von Amtsbriefen für die eigene Mutter; die Warnsignale für plausible Falschantworten, Konsistenzprobe und Fangfrage; die Beobachtung aus Workshops zu für generiert erklärtem echtem Material; das Familien-Codewort gegen Stimmfälschungen; sämtliche Empfehlungen an Organisationen und an Jugendliche.</w:t>
      </w:r>
    </w:p>
    <w:p>
      <w:pPr>
        <w:pStyle w:val="Zwischen"/>
      </w:pPr>
      <w:r>
        <w:t>Kapitel 12 — Wovor wir uns wirklich fürchten sollten</w:t>
      </w:r>
    </w:p>
    <w:p>
      <w:pPr>
        <w:pStyle w:val="Anmerkung"/>
      </w:pPr>
      <w:r>
        <w:t xml:space="preserve">[1] Bengio, Y. u. a. (Expert Panel): </w:t>
      </w:r>
      <w:r>
        <w:rPr>
          <w:i/>
        </w:rPr>
        <w:t>International AI Safety Report 2025</w:t>
      </w:r>
      <w:r>
        <w:t>, Januar 2025, arXiv:2501.17805 / internationalaisafetyreport.org. — Rund 96 Fachleute, Vorsitz Bengio, getragen von 30 Ländern sowie EU/OECD/UN; breiter Konsens, dass heutige universelle KI kein Kontrollverlust-Risiko darstellt; Experteneinschätzungen zur nahen Zukunft divergieren stark („implausibel" bis „wahrscheinlich"); der Bericht legt bewusst keine gesicherten Positionen vor, wo kein Konsens besteht. → QUELLEN.md Nr. 73, 101.</w:t>
      </w:r>
    </w:p>
    <w:p>
      <w:pPr>
        <w:pStyle w:val="Anmerkung"/>
      </w:pPr>
      <w:r>
        <w:t xml:space="preserve">[2] IEA: </w:t>
      </w:r>
      <w:r>
        <w:rPr>
          <w:i/>
        </w:rPr>
        <w:t>Energy and AI</w:t>
      </w:r>
      <w:r>
        <w:t>, April 2025. — Rechenzentren 2024: ca. 415 TWh / ca. 1,5 % des globalen Stromverbrauchs; Wachstum ca. 12 % p. a. seit 2017; Base Case ca. 945 TWh bis 2030 (knapp 3 %); Strombedarf KI-optimierter Rechenzentren bis 2030 mehr als vervierfacht. → QUELLEN.md Nr. 86.</w:t>
      </w:r>
    </w:p>
    <w:p>
      <w:pPr>
        <w:pStyle w:val="Anmerkung"/>
      </w:pPr>
      <w:r>
        <w:t xml:space="preserve">[3] VO (EU) 2024/1689 (EU AI Act), Art. 99 und Art. 113; EU-Kommission, AI Act Service Desk, </w:t>
      </w:r>
      <w:r>
        <w:rPr>
          <w:i/>
        </w:rPr>
        <w:t>Implementation Timeline</w:t>
      </w:r>
      <w:r>
        <w:t xml:space="preserve">. — In Kraft 1.8.2024; Verbote 2.2.2025; Pflichten für GPAI-Modelle 2.8.2025; Hochrisiko/Transparenz 2.8.2026; volle Anwendbarkeit 2.8.2027; Bußgelder bis 35 Mio. € oder 7 % des weltweiten Jahresumsatzes. → QUELLEN.md Nr. 84. — </w:t>
      </w:r>
      <w:r>
        <w:rPr>
          <w:i/>
        </w:rPr>
        <w:t>Der Inhalt der GPAI-Pflichten wird im Text bewusst nicht referiert; belegt ist nur die Existenz der Kategorie und ihr Anwendungsdatum.</w:t>
      </w:r>
    </w:p>
    <w:p>
      <w:pPr>
        <w:pStyle w:val="Anmerkung"/>
      </w:pPr>
      <w:r>
        <w:t xml:space="preserve">[4] ▲ Stanford HAI: </w:t>
      </w:r>
      <w:r>
        <w:rPr>
          <w:i/>
        </w:rPr>
        <w:t>AI Index Report</w:t>
      </w:r>
      <w:r>
        <w:t xml:space="preserve">, Kapitel „Economy", 2025/2026. — Organisationale KI-Adoption 2024 ca. 78 % gegenüber 55 % im Vorjahr. → QUELLEN.md Nr. 72. </w:t>
      </w:r>
      <w:r>
        <w:rPr>
          <w:b/>
        </w:rPr>
        <w:t>Adoptionswert und Bezugsjahr vor Drucklegung direkt am AI-Index-Kapitel verifizieren.</w:t>
      </w:r>
    </w:p>
    <w:p>
      <w:pPr>
        <w:pStyle w:val="Anmerkung"/>
      </w:pPr>
      <w:r>
        <w:t>[5] ▲ Rückverweis auf Kapitel 1 (Zensurbehörden, Druckprivilegien, Index der verbotenen Bücher als unmittelbare Machtreaktion auf den Buchdruck). — *</w:t>
      </w:r>
      <w:r>
        <w:rPr>
          <w:i/>
        </w:rPr>
        <w:t xml:space="preserve">Diese Angabe ist in Kapitel 1 ohne Einzelbeleg dargestellt; vor Drucklegung mit fachhistorischer Standardliteratur zur frühneuzeitlichen Zensur und zum </w:t>
      </w:r>
      <w:r>
        <w:t>Index Librorum Prohibitorum</w:t>
      </w:r>
      <w:r>
        <w:rPr>
          <w:i/>
        </w:rPr>
        <w:t xml:space="preserve"> zu unterlegen. Das gilt ausdrücklich auch für die in diesem Kapitel ergänzte Bestimmung des Druckprivilegs als verliehenes Monopol in der Hand derselben Instanz, die über die Zulässigkeit von Inhalten entschied.</w:t>
      </w:r>
      <w:r>
        <w:rPr>
          <w:i/>
        </w:rPr>
      </w:r>
    </w:p>
    <w:p>
      <w:pPr>
        <w:pStyle w:val="Anmerkung"/>
      </w:pPr>
      <w:r>
        <w:t>[6] Zum „Stromkrieg": Edisons Angstkampagne gegen Wechselstrom, öffentliche Tier-Elektrokutionen, „to be Westinghoused"; erste Hinrichtung auf dem elektrischen Stuhl (William Kemmler) am 6.8.1890 mit Wechselstrom; Westinghouse finanzierte Kemmlers Berufungsverfahren (Anwalt W. Bourke Cockran); Wendepunkte Weltausstellung Chicago 1893 und Niagara-Kraftwerk ab 1895. Ausführlich in Kapitel 2. → QUELLEN.md Nr. 9, 10, 11.</w:t>
      </w:r>
    </w:p>
    <w:p>
      <w:pPr>
        <w:pStyle w:val="Anmerkung"/>
      </w:pPr>
      <w:r>
        <w:t xml:space="preserve">[7] Bender, E. M.; Gebru, T.; McMillan-Major, A.; „Shmargaret Shmitchell" (M. Mitchell): </w:t>
      </w:r>
      <w:r>
        <w:rPr>
          <w:i/>
        </w:rPr>
        <w:t>On the Dangers of Stochastic Parrots: Can Language Models Be Too Big?</w:t>
      </w:r>
      <w:r>
        <w:t xml:space="preserve"> FAccT '21, ACM, März 2021, DOI 10.1145/3442188.3445922. — Begriff „stochastische Papageien"; benannte Risiken u. a. Bias, Umwelt-/Ressourcenkosten und Verdrängung kritischer Forschung. → QUELLEN.md Nr. 104.</w:t>
      </w:r>
    </w:p>
    <w:p>
      <w:pPr>
        <w:pStyle w:val="Anmerkung"/>
      </w:pPr>
      <w:r>
        <w:t xml:space="preserve">[8] Timnit Gebru: Abgang/Entlassung bei Google, 2. Dezember 2020, im Streit um das Stochastic-Parrots-Papier; Margaret Mitchell rund zwei Monate später entlassen (MIT Technology Review, 4.12.2020). → QUELLEN.md Nr. 105. — </w:t>
      </w:r>
      <w:r>
        <w:rPr>
          <w:i/>
        </w:rPr>
        <w:t>Die Umstände werden von den Beteiligten unterschiedlich dargestellt; im Text ist nur der unstrittige Ablauf wiedergegeben.</w:t>
      </w:r>
    </w:p>
    <w:p>
      <w:pPr>
        <w:pStyle w:val="Anmerkung"/>
      </w:pPr>
      <w:r>
        <w:t xml:space="preserve">[9] Gmyrek, P.; Berg, J. u. a. (ILO/NASK): </w:t>
      </w:r>
      <w:r>
        <w:rPr>
          <w:i/>
        </w:rPr>
        <w:t>Generative AI and Jobs: A Refined Global Index of Occupational Exposure</w:t>
      </w:r>
      <w:r>
        <w:t>, ILO Working Paper 140, 20.5.2025. — Ca. jeder vierte Beschäftigte weltweit exponiert; Transformation statt Ersatz; 34 % der Beschäftigung in Hocheinkommens- vs. 11 % in Niedrigeinkommensländern; höchste Expositionskategorie 3,3 % weltweit, davon Frauen 4,7 % vs. Männer 2,4 %. → QUELLEN.md Nr. 61.</w:t>
      </w:r>
    </w:p>
    <w:p>
      <w:pPr>
        <w:pStyle w:val="Anmerkung"/>
      </w:pPr>
      <w:r>
        <w:t xml:space="preserve">[10] Cazzaniga, M. u. a. (IWF): </w:t>
      </w:r>
      <w:r>
        <w:rPr>
          <w:i/>
        </w:rPr>
        <w:t>Gen-AI: Artificial Intelligence and the Future of Work</w:t>
      </w:r>
      <w:r>
        <w:t>, Januar 2024. — Ca. 40 % der Jobs weltweit exponiert; fortgeschrittene Volkswirtschaften ca. 60 %, Niedrigeinkommensländer ca. 26 %; ausdrückliche Warnung vor wachsender Ungleichheit. → QUELLEN.md Nr. 62.</w:t>
      </w:r>
    </w:p>
    <w:p>
      <w:pPr>
        <w:pStyle w:val="Anmerkung"/>
      </w:pPr>
      <w:r>
        <w:t xml:space="preserve">[11] Brynjolfsson, E.; Chandar, B.; Chen, R. (Stanford Digital Economy Lab): </w:t>
      </w:r>
      <w:r>
        <w:rPr>
          <w:i/>
        </w:rPr>
        <w:t>Canaries in the Coal Mine? Six Facts about the Recent Employment Effects of Artificial Intelligence</w:t>
      </w:r>
      <w:r>
        <w:t xml:space="preserve">, 2025. — ADP-Lohndaten von über 25 Mio. Beschäftigten; relativer Beschäftigungsrückgang von ca. 13–16 % bei 22- bis 25-Jährigen in stark KI-exponierten Berufen; Effekt konzentriert auf automatisierende, nicht augmentierende Anwendungen. → QUELLEN.md Nr. 63. — </w:t>
      </w:r>
      <w:r>
        <w:rPr>
          <w:i/>
        </w:rPr>
        <w:t>Einschränkung (ein Land, ein Datensatz, kurzer Zeitraum) im Text genannt.</w:t>
      </w:r>
    </w:p>
    <w:p>
      <w:pPr>
        <w:pStyle w:val="Anmerkung"/>
      </w:pPr>
      <w:r>
        <w:t xml:space="preserve">[12] Erik Brynjolfsson: </w:t>
      </w:r>
      <w:r>
        <w:rPr>
          <w:i/>
        </w:rPr>
        <w:t>The Turing Trap: The Promise &amp; Peril of Human-Like Artificial Intelligence</w:t>
      </w:r>
      <w:r>
        <w:t xml:space="preserve">, Dædalus 2022 / arXiv:2201.04200. — Automation senkt die Verhandlungsmacht Arbeitender und konzentriert den geschaffenen Wert; Augmentation lässt Menschen daran teilhaben; derzeitige Anreize begünstigen Automation. → QUELLEN.md Nr. 108. — </w:t>
      </w:r>
      <w:r>
        <w:rPr>
          <w:i/>
        </w:rPr>
        <w:t>Ökonomische Position, keine Messung; im Text als solche gekennzeichnet.</w:t>
      </w:r>
    </w:p>
    <w:p>
      <w:pPr>
        <w:pStyle w:val="Anmerkung"/>
      </w:pPr>
      <w:r>
        <w:t xml:space="preserve">[13] Zum Luddismus 1811–1816 (Strumpfwirker, </w:t>
      </w:r>
      <w:r>
        <w:rPr>
          <w:i/>
        </w:rPr>
        <w:t>wide frames</w:t>
      </w:r>
      <w:r>
        <w:t xml:space="preserve">, billige „cut-ups", Lohnsenkungen, Umgehung des Lehrlingsrechts; selektive, disziplinierte Aktionen): Wikipedia (en) </w:t>
      </w:r>
      <w:r>
        <w:rPr>
          <w:i/>
        </w:rPr>
        <w:t>Luddite</w:t>
      </w:r>
      <w:r>
        <w:t xml:space="preserve">; Nottinghamshire Heritage Gateway, </w:t>
      </w:r>
      <w:r>
        <w:rPr>
          <w:i/>
        </w:rPr>
        <w:t>Luddites — Overview</w:t>
      </w:r>
      <w:r>
        <w:t xml:space="preserve">; Richard Conniff: </w:t>
      </w:r>
      <w:r>
        <w:rPr>
          <w:i/>
        </w:rPr>
        <w:t>What the Luddites Really Fought Against</w:t>
      </w:r>
      <w:r>
        <w:t>, Smithsonian Magazine, März 2011. Ausführlich in Kapitel 4. → QUELLEN.md Nr. 44, 45.</w:t>
      </w:r>
    </w:p>
    <w:p>
      <w:pPr>
        <w:pStyle w:val="Anmerkung"/>
      </w:pPr>
      <w:r>
        <w:t xml:space="preserve">[14] UK Government / Intellectual Property Office: </w:t>
      </w:r>
      <w:r>
        <w:rPr>
          <w:i/>
        </w:rPr>
        <w:t>Report on Copyright and Artificial Intelligence</w:t>
      </w:r>
      <w:r>
        <w:t>, 2025 (Konsultation 17.12.2024–25.02.2025, über 11.500 Antworten). — Die zunächst bevorzugte TDM-Ausnahme mit Opt-out wurde nach Widerstand der Kreativwirtschaft fallengelassen; es gibt keine bevorzugte Option mehr. → QUELLEN.md Nr. 70.</w:t>
      </w:r>
    </w:p>
    <w:p>
      <w:pPr>
        <w:pStyle w:val="Anmerkung"/>
      </w:pPr>
      <w:r>
        <w:t xml:space="preserve">[15] Lee, H.-P. u. a. (Microsoft Research / Carnegie Mellon): </w:t>
      </w:r>
      <w:r>
        <w:rPr>
          <w:i/>
        </w:rPr>
        <w:t>The Impact of Generative AI on Critical Thinking</w:t>
      </w:r>
      <w:r>
        <w:t xml:space="preserve">, CHI 2025, DOI 10.1145/3706598.3713778. — Befragung von 319 Berufstätigen zu 936 realen Anwendungsfällen; höheres Vertrauen in die KI korreliert mit weniger berichtetem kritischem Denken, höheres Selbstvertrauen mit mehr. → QUELLEN.md Nr. 67. — </w:t>
      </w:r>
      <w:r>
        <w:rPr>
          <w:i/>
        </w:rPr>
        <w:t>Selbstauskünfte, keine Leistungsmessung.</w:t>
      </w:r>
    </w:p>
    <w:p>
      <w:pPr>
        <w:pStyle w:val="Anmerkung"/>
      </w:pPr>
      <w:r>
        <w:t xml:space="preserve">[16] ▲ Kosmyna, N. u. a. (MIT Media Lab): </w:t>
      </w:r>
      <w:r>
        <w:rPr>
          <w:i/>
        </w:rPr>
        <w:t>Your Brain on ChatGPT: Accumulation of Cognitive Debt…</w:t>
      </w:r>
      <w:r>
        <w:t xml:space="preserve">, 2025, arXiv:2506.08872. — EEG-Studie, n = 54; schwächste neuronale Konnektivität bei LLM-Nutzung; Begriff „cognitive debt". </w:t>
      </w:r>
      <w:r>
        <w:rPr>
          <w:b/>
        </w:rPr>
        <w:t>Preprint, kleine Stichprobe, methodische Kritik in einem Folge-Kommentar; im Text ausdrücklich als Hinweis, nicht als Beleg gekennzeichnet.</w:t>
      </w:r>
      <w:r>
        <w:t xml:space="preserve"> → QUELLEN.md Nr. 66.</w:t>
      </w:r>
    </w:p>
    <w:p>
      <w:pPr>
        <w:pStyle w:val="Anmerkung"/>
      </w:pPr>
      <w:r>
        <w:t xml:space="preserve">[17] ▲ Platon: </w:t>
      </w:r>
      <w:r>
        <w:rPr>
          <w:i/>
        </w:rPr>
        <w:t>Phaidros</w:t>
      </w:r>
      <w:r>
        <w:t xml:space="preserve"> 274c–275b (Theuth und Thamus; die Schrift mache „scheinbar weise statt weise"). Ausführlich in Kapitel 1. → QUELLEN.md Nr. 111. </w:t>
      </w:r>
      <w:r>
        <w:rPr>
          <w:b/>
        </w:rPr>
        <w:t>Deutsche Übersetzung und Stellenangabe vor Drucklegung festlegen; im Text Paraphrase, kein Wortzitat.</w:t>
      </w:r>
    </w:p>
    <w:p>
      <w:pPr>
        <w:pStyle w:val="Anmerkung"/>
      </w:pPr>
      <w:r>
        <w:t xml:space="preserve">[18] David Collingridge: </w:t>
      </w:r>
      <w:r>
        <w:rPr>
          <w:i/>
        </w:rPr>
        <w:t>The Social Control of Technology</w:t>
      </w:r>
      <w:r>
        <w:t>, 1980. — Steuerungsdilemma (Informationsproblem vs. Machtproblem); Gegenrezepte: Optionen offenhalten, revidierbar und modular bauen, Feedback einbauen. Ausführlich in Kapitel 4. → QUELLEN.md Nr. 51.</w:t>
      </w:r>
    </w:p>
    <w:p>
      <w:pPr>
        <w:pStyle w:val="Anmerkung"/>
      </w:pPr>
      <w:r>
        <w:t xml:space="preserve">[19] OpenResearch: </w:t>
      </w:r>
      <w:r>
        <w:rPr>
          <w:i/>
        </w:rPr>
        <w:t>Unconditional Cash Study</w:t>
      </w:r>
      <w:r>
        <w:t xml:space="preserve">, Ergebnisse veröffentlicht 21.7.2024. — 1.000 Teilnehmende erhielten über drei Jahre 1.000 USD/Monat (Kontrollgruppe 50 USD); mehr Handlungsfähigkeit (Gründungen, Bildung, Vorsorge, medizinische Versorgung), nur geringer Effekt auf die Arbeitszeit. → QUELLEN.md Nr. 109. — </w:t>
      </w:r>
      <w:r>
        <w:rPr>
          <w:i/>
        </w:rPr>
        <w:t>Belegt UBI-Effekte, nicht die These „KI zerstört die Arbeit"; im Text so gekennzeichnet.</w:t>
      </w:r>
    </w:p>
    <w:p>
      <w:pPr>
        <w:pStyle w:val="Anmerkung"/>
      </w:pPr>
      <w:r>
        <w:t xml:space="preserve">[20] OECD: </w:t>
      </w:r>
      <w:r>
        <w:rPr>
          <w:i/>
        </w:rPr>
        <w:t>Employment Outlook 2025</w:t>
      </w:r>
      <w:r>
        <w:t>. — Bislang wenig Belege für KI-bedingte Jobverluste; zwei Drittel der bereits mit KI arbeitenden Beschäftigten empfinden ihre Arbeit als weniger monoton oder gefährlich. → QUELLEN.md Nr. 59.</w:t>
      </w:r>
    </w:p>
    <w:p>
      <w:pPr>
        <w:pStyle w:val="Anmerkung"/>
      </w:pPr>
      <w:r>
        <w:t xml:space="preserve">[21] ▲ </w:t>
      </w:r>
      <w:r>
        <w:rPr>
          <w:i/>
        </w:rPr>
        <w:t>International AI Safety Report 2025</w:t>
      </w:r>
      <w:r>
        <w:t xml:space="preserve"> (Bengio u. a.) sowie Berichterstattung zu den Fortschreibungen 2025/2026. — Belegte Missbrauchsrisiken: Erleichterung und Beschleunigung von Cyberangriffen bei Aufgaben geringer und mittlerer Komplexität; im Bereich Bio/Chemie „einige Fähigkeit" bei Anleitung und Fehlerbehebung zu bekannten Waffen; 2025 veröffentlichten mehrere Anbieter Modelle mit zusätzlichen Sicherheitsvorkehrungen, weil Tests eine substanzielle Hilfe für Laien nicht ausschließen konnten. → QUELLEN.md Nr. 73, 74. </w:t>
      </w:r>
      <w:r>
        <w:rPr>
          <w:b/>
        </w:rPr>
        <w:t>Die Angabe zu den Zusatz-Safeguards 2025 stammt aus der Berichterstattung; vor Drucklegung am Originalbericht verifizieren.</w:t>
      </w:r>
    </w:p>
    <w:p>
      <w:pPr>
        <w:pStyle w:val="Anmerkung"/>
      </w:pPr>
      <w:r>
        <w:t xml:space="preserve">[22] </w:t>
      </w:r>
      <w:r>
        <w:rPr>
          <w:i/>
        </w:rPr>
        <w:t>International AI Safety Report 2025 — Second Key Update: Technical Safeguards and Risk Management</w:t>
      </w:r>
      <w:r>
        <w:t>, arXiv:2511.19863. — Zahl der Unternehmen mit veröffentlichten Frontier-AI-Safety-Frameworks seit Anfang 2025 mehr als verdoppelt; zugleich „significant gaps remain". → QUELLEN.md Nr. 74.</w:t>
      </w:r>
    </w:p>
    <w:p>
      <w:pPr>
        <w:pStyle w:val="Anmerkung"/>
      </w:pPr>
      <w:r>
        <w:t xml:space="preserve">[23] ▲ IEA: </w:t>
      </w:r>
      <w:r>
        <w:rPr>
          <w:i/>
        </w:rPr>
        <w:t>Energy and AI</w:t>
      </w:r>
      <w:r>
        <w:t xml:space="preserve"> (April 2025) sowie IEA-Meldung zum Jahr 2025 („Data centre electricity use surged in 2025"). — Stromverbrauch KI-fokussierter Rechenzentren 2025 um rund 50 % gestiegen; rund 1.200 TWh bis 2035; Erneuerbare decken knapp die Hälfte der Zusatznachfrage, dahinter Erdgas und Kohle, Kernkraft gegen Ende des Jahrzehnts; Energieverbrauch pro KI-Aufgabe sinkt in beispiellosem Tempo. → QUELLEN.md Nr. 86 und Nr. 165. </w:t>
      </w:r>
      <w:r>
        <w:rPr>
          <w:b/>
        </w:rPr>
        <w:t>2025er-Zuwachszahl und Energiequellen-Aufteilung vor Drucklegung an der IEA-Primärquelle gegenlesen.</w:t>
      </w:r>
    </w:p>
    <w:p>
      <w:pPr>
        <w:pStyle w:val="Anmerkung"/>
      </w:pPr>
      <w:r>
        <w:t xml:space="preserve">[24] European Data Protection Board: </w:t>
      </w:r>
      <w:r>
        <w:rPr>
          <w:i/>
        </w:rPr>
        <w:t>Opinion 28/2024</w:t>
      </w:r>
      <w:r>
        <w:t xml:space="preserve"> (personenbezogene Daten im Kontext von KI-Modellen), 17.12.2024. — Anonymität im Einzelfall zu prüfen; berechtigtes Interesse nur nach dreistufigem Test; ursprünglich unrechtmäßige Verarbeitung kann die weitere Nutzung des Modells beeinträchtigen. → QUELLEN.md Nr. 85.</w:t>
      </w:r>
    </w:p>
    <w:p>
      <w:pPr>
        <w:pStyle w:val="Anmerkung"/>
      </w:pPr>
      <w:r>
        <w:t xml:space="preserve">[25] Buolamwini, J.; Gebru, T.: </w:t>
      </w:r>
      <w:r>
        <w:rPr>
          <w:i/>
        </w:rPr>
        <w:t>Gender Shades: Intersectional Accuracy Disparities in Commercial Gender Classification</w:t>
      </w:r>
      <w:r>
        <w:t>, PMLR / FAccT 2018. — Drei kommerzielle Systeme; Fehlerrate bei dunkelhäutigen Frauen bis 34,7 %, bei hellhäutigen Männern 0,8 %; verzerrte Trainingsdatensätze; Anstoß für die Debatte um repräsentative Daten. → QUELLEN.md Nr. 79.</w:t>
      </w:r>
    </w:p>
    <w:p>
      <w:pPr>
        <w:pStyle w:val="Anmerkung"/>
      </w:pPr>
      <w:r>
        <w:t xml:space="preserve">[26] Cazzaniga, M. u. a. (IWF): </w:t>
      </w:r>
      <w:r>
        <w:rPr>
          <w:i/>
        </w:rPr>
        <w:t>Gen-AI: Artificial Intelligence and the Future of Work</w:t>
      </w:r>
      <w:r>
        <w:t>, Januar 2024. — Von den ca. 60 % exponierten Jobs in fortgeschrittenen Volkswirtschaften läuft etwa die Hälfte Gefahr sinkender Arbeitsnachfrage und Löhne. → QUELLEN.md Nr. 62.</w:t>
      </w:r>
    </w:p>
    <w:p>
      <w:pPr>
        <w:pStyle w:val="Anmerkung"/>
      </w:pPr>
      <w:r>
        <w:t xml:space="preserve">[27] OECD: </w:t>
      </w:r>
      <w:r>
        <w:rPr>
          <w:i/>
        </w:rPr>
        <w:t>Employment Outlook 2025</w:t>
      </w:r>
      <w:r>
        <w:t>. — Berufe mit dem höchsten Automatisierungsrisiko machen 27 % der Beschäftigung im OECD-Raum aus. → QUELLEN.md Nr. 59.</w:t>
      </w:r>
    </w:p>
    <w:p>
      <w:pPr>
        <w:pStyle w:val="Anmerkung"/>
      </w:pPr>
      <w:r>
        <w:t xml:space="preserve">[28] ▲ IAB: </w:t>
      </w:r>
      <w:r>
        <w:rPr>
          <w:i/>
        </w:rPr>
        <w:t>KI und Arbeitsmarkt</w:t>
      </w:r>
      <w:r>
        <w:t xml:space="preserve">, IAB-Forschungsbericht 2025. — Beschäftigungswachstum in Berufen mit hoher KI-Exposition +5,9 % gegenüber +2,5 % (geringe) und −1,7 % (ohne Exposition). → QUELLEN.md Nr. 58. </w:t>
      </w:r>
      <w:r>
        <w:rPr>
          <w:b/>
        </w:rPr>
        <w:t>Einzelwerte vor Drucklegung am Forschungsbericht verifizieren.</w:t>
      </w:r>
    </w:p>
    <w:p>
      <w:pPr>
        <w:pStyle w:val="Anmerkung"/>
      </w:pPr>
      <w:r>
        <w:t xml:space="preserve">[29] </w:t>
      </w:r>
      <w:r>
        <w:rPr>
          <w:i/>
        </w:rPr>
        <w:t>Destruction of Stocking Frames, etc. Act 1812</w:t>
      </w:r>
      <w:r>
        <w:t xml:space="preserve"> („Frame Breaking Act", 52 Geo. 3 c. 16), königliche Bestätigung 20.3.1812 (Todesstrafe für das Zerstören von Strumpf- und Spitzenstühlen); Lord Byrons Antrittsrede im Oberhaus dagegen am 27.2.1812. Ausführlich in Kapitel 4. → QUELLEN.md Nr. 46. — </w:t>
      </w:r>
      <w:r>
        <w:rPr>
          <w:i/>
        </w:rPr>
        <w:t>Zu Zahl und Umfang der nachfolgenden Hinrichtungen wird wie in Kapitel 4 bewusst keine Angabe gemacht.</w:t>
      </w:r>
    </w:p>
    <w:p>
      <w:pPr>
        <w:pStyle w:val="Anmerkung"/>
      </w:pPr>
      <w:r>
        <w:t xml:space="preserve">[30] Office of Technology Assessment (USA), </w:t>
      </w:r>
      <w:r>
        <w:rPr>
          <w:i/>
        </w:rPr>
        <w:t>Technology Assessment Act of 1972</w:t>
      </w:r>
      <w:r>
        <w:t>, Betrieb 1974–1995, rund 750 Studien, 1995 abgeschafft; Büro für Technikfolgen-Abschätzung beim Deutschen Bundestag (TAB), gegründet 1990, betrieben vom ITAS am KIT. → QUELLEN.md Nr. 52.</w:t>
      </w:r>
    </w:p>
    <w:p>
      <w:pPr>
        <w:pStyle w:val="Anmerkung"/>
      </w:pPr>
      <w:r>
        <w:rPr>
          <w:i/>
        </w:rPr>
        <w:t>Nicht belegt und daher im Text ausdrücklich als persönliche Erfahrung, Einschätzung oder Forderung des Autors gekennzeichnet:</w:t>
      </w:r>
      <w:r>
        <w:t xml:space="preserve"> die Workshop-Szene; die Beobachtung zum nachlassenden Prüfverhalten bei selbstgebauten Werkzeugen; die Szene vom Vier-Augen-Prinzip, das zu null Augen wird, samt der These, dass Formulierungsqualität als Hinweis auf gedankliche Arbeit entwertet ist; die Einschätzung, dass Kapitalintensität an der Modellspitze konzentrierend wirkt (Marktanteils- und Compute-Zahlen wurden für dieses Buch </w:t>
      </w:r>
      <w:r>
        <w:rPr>
          <w:b/>
        </w:rPr>
        <w:t>nicht</w:t>
      </w:r>
      <w:r>
        <w:t xml:space="preserve"> belastbar recherchiert und werden bewusst nicht genannt); die Deutung des Rechenzentrumsausbaus als Verhandlungsposition gegenüber Netzbetreibern, Kommunen und Regierungen und als Verstärker bestehender Gefälle; die Deutung der GPAI-Kategorie als Hinweis auf ein Nadelöhr; die Lesart, dass Rechts- und Compliance-Kosten als Marktzutrittsschranke wirken; die Deutung, warum Edisons Angstkampagne scheiterte, samt Kehrseite; die Einordnung der Sicherheitsrahmenwerke als Selbstverpflichtung; die Deutung der Weltuntergangsdebatte als Ablenkung; die Forderungen nach Wettbewerbsrecht, nach Austauschbarkeit in der öffentlichen Beschaffung und nach handlungsfähiger Technikfolgenabschätzung; sämtliche Handlungsempfehlungen an Unternehmen.</w:t>
      </w:r>
    </w:p>
    <w:sectPr w:rsidR="00FC693F" w:rsidRPr="0006063C" w:rsidSect="00034616">
      <w:footerReference w:type="default" r:id="rId9"/>
      <w:pgSz w:w="8640" w:h="12960"/>
      <w:pgMar w:top="1077" w:right="850" w:bottom="1077" w:left="964" w:header="720" w:footer="720" w:gutter="90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lein"/>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iesstext">
    <w:name w:val="Fliesstext"/>
    <w:pPr>
      <w:widowControl/>
      <w:spacing w:before="0" w:after="0" w:line="300" w:lineRule="exact"/>
      <w:jc w:val="both"/>
    </w:pPr>
    <w:rPr>
      <w:rFonts w:ascii="Georgia" w:hAnsi="Georgia"/>
      <w:b w:val="0"/>
      <w:i w:val="0"/>
      <w:sz w:val="21"/>
    </w:rPr>
  </w:style>
  <w:style w:type="paragraph" w:customStyle="1" w:styleId="FliesstextErst">
    <w:name w:val="FliesstextErst"/>
    <w:pPr>
      <w:widowControl/>
      <w:spacing w:before="0" w:after="0" w:line="300" w:lineRule="exact"/>
      <w:jc w:val="both"/>
    </w:pPr>
    <w:rPr>
      <w:rFonts w:ascii="Georgia" w:hAnsi="Georgia"/>
      <w:b w:val="0"/>
      <w:i w:val="0"/>
      <w:sz w:val="21"/>
    </w:rPr>
  </w:style>
  <w:style w:type="paragraph" w:customStyle="1" w:styleId="KapitelNummer">
    <w:name w:val="KapitelNummer"/>
    <w:pPr>
      <w:widowControl/>
      <w:spacing w:before="0" w:after="120" w:line="260" w:lineRule="exact"/>
      <w:jc w:val="left"/>
    </w:pPr>
    <w:rPr>
      <w:rFonts w:ascii="Georgia" w:hAnsi="Georgia"/>
      <w:b w:val="0"/>
      <w:i w:val="0"/>
      <w:sz w:val="22"/>
    </w:rPr>
  </w:style>
  <w:style w:type="paragraph" w:customStyle="1" w:styleId="KapitelTitel">
    <w:name w:val="KapitelTitel"/>
    <w:pPr>
      <w:widowControl/>
      <w:spacing w:before="0" w:after="480" w:line="480" w:lineRule="exact"/>
      <w:jc w:val="left"/>
    </w:pPr>
    <w:rPr>
      <w:rFonts w:ascii="Georgia" w:hAnsi="Georgia"/>
      <w:b/>
      <w:i w:val="0"/>
      <w:sz w:val="40"/>
    </w:rPr>
  </w:style>
  <w:style w:type="paragraph" w:customStyle="1" w:styleId="Zwischen">
    <w:name w:val="Zwischen"/>
    <w:pPr>
      <w:widowControl/>
      <w:spacing w:before="360" w:after="120" w:line="320" w:lineRule="exact"/>
      <w:jc w:val="left"/>
    </w:pPr>
    <w:rPr>
      <w:rFonts w:ascii="Georgia" w:hAnsi="Georgia"/>
      <w:b/>
      <w:i w:val="0"/>
      <w:sz w:val="26"/>
    </w:rPr>
  </w:style>
  <w:style w:type="paragraph" w:customStyle="1" w:styleId="TeilLabel">
    <w:name w:val="TeilLabel"/>
    <w:pPr>
      <w:widowControl/>
      <w:spacing w:before="0" w:after="200" w:line="280" w:lineRule="exact"/>
      <w:jc w:val="center"/>
    </w:pPr>
    <w:rPr>
      <w:rFonts w:ascii="Georgia" w:hAnsi="Georgia"/>
      <w:b w:val="0"/>
      <w:i w:val="0"/>
      <w:sz w:val="24"/>
    </w:rPr>
  </w:style>
  <w:style w:type="paragraph" w:customStyle="1" w:styleId="TeilTitel">
    <w:name w:val="TeilTitel"/>
    <w:pPr>
      <w:widowControl/>
      <w:spacing w:before="0" w:after="0" w:line="440" w:lineRule="exact"/>
      <w:jc w:val="center"/>
    </w:pPr>
    <w:rPr>
      <w:rFonts w:ascii="Georgia" w:hAnsi="Georgia"/>
      <w:b/>
      <w:i w:val="0"/>
      <w:sz w:val="36"/>
    </w:rPr>
  </w:style>
  <w:style w:type="paragraph" w:customStyle="1" w:styleId="TitelHaupt">
    <w:name w:val="TitelHaupt"/>
    <w:pPr>
      <w:widowControl/>
      <w:spacing w:before="0" w:after="280" w:line="600" w:lineRule="exact"/>
      <w:jc w:val="center"/>
    </w:pPr>
    <w:rPr>
      <w:rFonts w:ascii="Georgia" w:hAnsi="Georgia"/>
      <w:b/>
      <w:i w:val="0"/>
      <w:sz w:val="52"/>
    </w:rPr>
  </w:style>
  <w:style w:type="paragraph" w:customStyle="1" w:styleId="TitelUnter">
    <w:name w:val="TitelUnter"/>
    <w:pPr>
      <w:widowControl/>
      <w:spacing w:before="0" w:after="800" w:line="340" w:lineRule="exact"/>
      <w:jc w:val="center"/>
    </w:pPr>
    <w:rPr>
      <w:rFonts w:ascii="Georgia" w:hAnsi="Georgia"/>
      <w:b w:val="0"/>
      <w:i/>
      <w:sz w:val="26"/>
    </w:rPr>
  </w:style>
  <w:style w:type="paragraph" w:customStyle="1" w:styleId="TitelAutor">
    <w:name w:val="TitelAutor"/>
    <w:pPr>
      <w:widowControl/>
      <w:spacing w:before="0" w:after="0" w:line="360" w:lineRule="exact"/>
      <w:jc w:val="center"/>
    </w:pPr>
    <w:rPr>
      <w:rFonts w:ascii="Georgia" w:hAnsi="Georgia"/>
      <w:b w:val="0"/>
      <w:i w:val="0"/>
      <w:sz w:val="30"/>
    </w:rPr>
  </w:style>
  <w:style w:type="paragraph" w:customStyle="1" w:styleId="Klein">
    <w:name w:val="Klein"/>
    <w:pPr>
      <w:widowControl/>
      <w:spacing w:before="0" w:after="80" w:line="240" w:lineRule="exact"/>
      <w:jc w:val="left"/>
    </w:pPr>
    <w:rPr>
      <w:rFonts w:ascii="Georgia" w:hAnsi="Georgia"/>
      <w:b w:val="0"/>
      <w:i w:val="0"/>
      <w:sz w:val="18"/>
    </w:rPr>
  </w:style>
  <w:style w:type="paragraph" w:customStyle="1" w:styleId="Anmerkung">
    <w:name w:val="Anmerkung"/>
    <w:pPr>
      <w:widowControl/>
      <w:spacing w:before="0" w:after="80" w:line="240" w:lineRule="exact"/>
      <w:jc w:val="left"/>
    </w:pPr>
    <w:rPr>
      <w:rFonts w:ascii="Georgia" w:hAnsi="Georgia"/>
      <w:b w:val="0"/>
      <w:i w:val="0"/>
      <w:sz w:val="18"/>
    </w:rPr>
  </w:style>
  <w:style w:type="paragraph" w:customStyle="1" w:styleId="InhaltEintrag">
    <w:name w:val="InhaltEintrag"/>
    <w:pPr>
      <w:widowControl/>
      <w:spacing w:before="0" w:after="100" w:line="280" w:lineRule="exact"/>
      <w:jc w:val="left"/>
    </w:pPr>
    <w:rPr>
      <w:rFonts w:ascii="Georgia" w:hAnsi="Georg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