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spacing w:before="140" w:after="30"/>
        <w:jc w:val="center"/>
      </w:pPr>
      <w:r>
        <w:rPr>
          <w:b/>
          <w:sz w:val="26"/>
          <w:szCs w:val="26"/>
        </w:rPr>
        <w:t xml:space="preserve">UNIVERSIDAD AUTÓNOMA JUAN MISAEL SARACHO</w:t>
      </w:r>
    </w:p>
    <w:p>
      <w:pPr>
        <w:spacing w:before="0" w:after="0"/>
        <w:jc w:val="center"/>
      </w:pPr>
      <w:r>
        <w:rPr>
          <w:sz w:val="19"/>
          <w:szCs w:val="19"/>
        </w:rPr>
        <w:t xml:space="preserve">FACULTAD DE CIENCIAS DE LA INGENIERÍA DE RECURSOS NATURALES Y TECNOLOGÍAS</w:t>
      </w:r>
    </w:p>
    <w:p>
      <w:pPr>
        <w:spacing w:before="0" w:after="0"/>
        <w:jc w:val="center"/>
      </w:pPr>
      <w:r>
        <w:rPr>
          <w:sz w:val="19"/>
          <w:szCs w:val="19"/>
        </w:rPr>
        <w:t xml:space="preserve">CARRERA DE INGENIERÍA INFORMÁTICA</w:t>
      </w: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60"/>
        <w:jc w:val="center"/>
      </w:pPr>
      <w:r>
        <w:rPr>
          <w:b/>
          <w:sz w:val="22"/>
          <w:szCs w:val="22"/>
        </w:rPr>
        <w:t xml:space="preserve">INFORME TÉCNICO FINAL</w:t>
      </w:r>
    </w:p>
    <w:p>
      <w:pPr>
        <w:spacing w:before="0" w:after="60"/>
        <w:jc w:val="center"/>
      </w:pPr>
      <w:r>
        <w:rPr>
          <w:b/>
          <w:sz w:val="28"/>
          <w:szCs w:val="28"/>
        </w:rPr>
        <w:t xml:space="preserve">Sistema RAG Multi-Dominio para la Consulta de Normativa Financiera y Tributaria de Bolivia con Búsqueda Híbrida (Vectorial + Léxica)</w:t>
      </w: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tbl>
      <w:tblPr>
        <w:tblW w:w="0" w:type="auto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</w:tblPr>
      <w:tblGrid>
        <w:gridCol w:w="3000"/>
        <w:gridCol w:w="6978"/>
      </w:tblGrid>
      <w:tr>
        <w:trPr>
          <w:cantSplit/>
        </w:trPr>
        <w:tc>
          <w:tcPr>
            <w:tcW w:w="3000" w:type="dxa"/>
            <w:vAlign w:val="center"/>
          </w:tcPr>
          <w:p>
            <w:pPr>
              <w:spacing w:before="10" w:after="10"/>
            </w:pPr>
            <w:r>
              <w:rPr>
                <w:sz w:val="20"/>
                <w:szCs w:val="20"/>
              </w:rPr>
              <w:t xml:space="preserve">Materia</w:t>
            </w:r>
          </w:p>
        </w:tc>
        <w:tc>
          <w:tcPr>
            <w:tcW w:w="6978" w:type="dxa"/>
            <w:vAlign w:val="center"/>
          </w:tcPr>
          <w:p>
            <w:pPr>
              <w:spacing w:before="10" w:after="10"/>
            </w:pPr>
            <w:r>
              <w:rPr>
                <w:sz w:val="20"/>
                <w:szCs w:val="20"/>
              </w:rPr>
              <w:t xml:space="preserve">TEL420 – Sistemas Paralelos (IIY) – G1/2026</w:t>
            </w:r>
          </w:p>
        </w:tc>
      </w:tr>
      <w:tr>
        <w:trPr>
          <w:cantSplit/>
        </w:trPr>
        <w:tc>
          <w:tcPr>
            <w:tcW w:w="3000" w:type="dxa"/>
            <w:vAlign w:val="center"/>
          </w:tcPr>
          <w:p>
            <w:pPr>
              <w:spacing w:before="10" w:after="10"/>
            </w:pPr>
            <w:r>
              <w:rPr>
                <w:sz w:val="20"/>
                <w:szCs w:val="20"/>
              </w:rPr>
              <w:t xml:space="preserve">Docente</w:t>
            </w:r>
          </w:p>
        </w:tc>
        <w:tc>
          <w:tcPr>
            <w:tcW w:w="6978" w:type="dxa"/>
            <w:vAlign w:val="center"/>
          </w:tcPr>
          <w:p>
            <w:pPr>
              <w:spacing w:before="10" w:after="10"/>
            </w:pPr>
            <w:r>
              <w:rPr>
                <w:sz w:val="20"/>
                <w:szCs w:val="20"/>
              </w:rPr>
              <w:t xml:space="preserve">Ing. Elías Cassal Baldiviezo</w:t>
            </w:r>
          </w:p>
        </w:tc>
      </w:tr>
      <w:tr>
        <w:trPr>
          <w:cantSplit/>
        </w:trPr>
        <w:tc>
          <w:tcPr>
            <w:tcW w:w="3000" w:type="dxa"/>
            <w:vAlign w:val="center"/>
          </w:tcPr>
          <w:p>
            <w:pPr>
              <w:spacing w:before="10" w:after="10"/>
            </w:pPr>
            <w:r>
              <w:rPr>
                <w:sz w:val="20"/>
                <w:szCs w:val="20"/>
              </w:rPr>
              <w:t xml:space="preserve">Estudiante</w:t>
            </w:r>
          </w:p>
        </w:tc>
        <w:tc>
          <w:tcPr>
            <w:tcW w:w="6978" w:type="dxa"/>
            <w:vAlign w:val="center"/>
          </w:tcPr>
          <w:p>
            <w:pPr>
              <w:spacing w:before="10" w:after="10"/>
            </w:pPr>
            <w:r>
              <w:rPr>
                <w:sz w:val="20"/>
                <w:szCs w:val="20"/>
              </w:rPr>
              <w:t xml:space="preserve">Helen Abigail Soto Renjifo</w:t>
            </w:r>
          </w:p>
        </w:tc>
      </w:tr>
      <w:tr>
        <w:trPr>
          <w:cantSplit/>
        </w:trPr>
        <w:tc>
          <w:tcPr>
            <w:tcW w:w="3000" w:type="dxa"/>
            <w:vAlign w:val="center"/>
          </w:tcPr>
          <w:p>
            <w:pPr>
              <w:spacing w:before="10" w:after="10"/>
            </w:pPr>
            <w:r>
              <w:rPr>
                <w:sz w:val="20"/>
                <w:szCs w:val="20"/>
              </w:rPr>
              <w:t xml:space="preserve">Registro Universitario</w:t>
            </w:r>
          </w:p>
        </w:tc>
        <w:tc>
          <w:tcPr>
            <w:tcW w:w="6978" w:type="dxa"/>
            <w:vAlign w:val="center"/>
          </w:tcPr>
          <w:p>
            <w:pPr>
              <w:spacing w:before="10" w:after="10"/>
            </w:pPr>
            <w:r>
              <w:rPr>
                <w:sz w:val="20"/>
                <w:szCs w:val="20"/>
              </w:rPr>
              <w:t xml:space="preserve">e123181</w:t>
            </w:r>
          </w:p>
        </w:tc>
      </w:tr>
      <w:tr>
        <w:trPr>
          <w:cantSplit/>
        </w:trPr>
        <w:tc>
          <w:tcPr>
            <w:tcW w:w="3000" w:type="dxa"/>
            <w:vAlign w:val="center"/>
          </w:tcPr>
          <w:p>
            <w:pPr>
              <w:spacing w:before="10" w:after="10"/>
            </w:pPr>
            <w:r>
              <w:rPr>
                <w:sz w:val="20"/>
                <w:szCs w:val="20"/>
              </w:rPr>
              <w:t xml:space="preserve">Cédula de Identidad</w:t>
            </w:r>
          </w:p>
        </w:tc>
        <w:tc>
          <w:tcPr>
            <w:tcW w:w="6978" w:type="dxa"/>
            <w:vAlign w:val="center"/>
          </w:tcPr>
          <w:p>
            <w:pPr>
              <w:spacing w:before="10" w:after="10"/>
            </w:pPr>
            <w:r>
              <w:rPr>
                <w:sz w:val="20"/>
                <w:szCs w:val="20"/>
              </w:rPr>
              <w:t xml:space="preserve">10633918</w:t>
            </w:r>
          </w:p>
        </w:tc>
      </w:tr>
      <w:tr>
        <w:trPr>
          <w:cantSplit/>
        </w:trPr>
        <w:tc>
          <w:tcPr>
            <w:tcW w:w="3000" w:type="dxa"/>
            <w:vAlign w:val="center"/>
          </w:tcPr>
          <w:p>
            <w:pPr>
              <w:spacing w:before="10" w:after="10"/>
            </w:pPr>
            <w:r>
              <w:rPr>
                <w:sz w:val="20"/>
                <w:szCs w:val="20"/>
              </w:rPr>
              <w:t xml:space="preserve">Fecha</w:t>
            </w:r>
          </w:p>
        </w:tc>
        <w:tc>
          <w:tcPr>
            <w:tcW w:w="6978" w:type="dxa"/>
            <w:vAlign w:val="center"/>
          </w:tcPr>
          <w:p>
            <w:pPr>
              <w:spacing w:before="10" w:after="10"/>
            </w:pPr>
            <w:r>
              <w:rPr>
                <w:sz w:val="20"/>
                <w:szCs w:val="20"/>
              </w:rPr>
              <w:t xml:space="preserve">Octubre de 2026</w:t>
            </w:r>
          </w:p>
        </w:tc>
      </w:tr>
    </w:tbl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30"/>
        <w:jc w:val="center"/>
      </w:pPr>
      <w:r>
        <w:rPr>
          <w:i/>
          <w:sz w:val="19"/>
          <w:szCs w:val="19"/>
        </w:rPr>
        <w:t xml:space="preserve">Proyecto rag-multidominio — Pipeline RAG con PostgreSQL + pgvector</w:t>
      </w:r>
    </w:p>
    <w:p>
      <w:r>
        <w:br w:type="page"/>
      </w:r>
    </w:p>
    <w:p>
      <w:pPr>
        <w:keepNext/>
        <w:spacing w:before="90" w:after="40"/>
      </w:pPr>
      <w:r>
        <w:rPr>
          <w:b/>
          <w:color w:val="1F3864"/>
          <w:sz w:val="24"/>
          <w:szCs w:val="24"/>
        </w:rPr>
        <w:t xml:space="preserve">1. Contexto, problema y objetivos</w:t>
      </w:r>
    </w:p>
    <w:p>
      <w:pPr>
        <w:spacing w:before="0" w:after="30"/>
      </w:pPr>
      <w:r>
        <w:rPr>
          <w:b/>
          <w:sz w:val="20"/>
          <w:szCs w:val="20"/>
        </w:rPr>
        <w:t xml:space="preserve">Contexto. </w:t>
      </w:r>
      <w:r>
        <w:rPr>
          <w:sz w:val="20"/>
          <w:szCs w:val="20"/>
        </w:rPr>
        <w:t xml:space="preserve">El proyecto aborda la consulta de normativa boliviana de dos dominios: financiero (Banco Central de Bolivia y ASFI) y tributario (Impuestos Nacionales y Aduana). La información oficial es extensa y dispersa, lo que dificulta obtener respuestas trazables.</w:t>
      </w:r>
    </w:p>
    <w:p>
      <w:pPr>
        <w:spacing w:before="0" w:after="30"/>
      </w:pPr>
      <w:r>
        <w:rPr>
          <w:b/>
          <w:sz w:val="20"/>
          <w:szCs w:val="20"/>
        </w:rPr>
        <w:t xml:space="preserve">Problema. </w:t>
      </w:r>
      <w:r>
        <w:rPr>
          <w:sz w:val="20"/>
          <w:szCs w:val="20"/>
        </w:rPr>
        <w:t xml:space="preserve">Se requiere recuperar evidencia verificable, citando la fuente, con aislamiento estricto por dominio y tolerancia a los límites de la API de Gemini (429 / RESOURCE_EXHAUSTED / cuota agotada), sin inventar datos.</w:t>
      </w:r>
    </w:p>
    <w:p>
      <w:pPr>
        <w:spacing w:before="0" w:after="30"/>
      </w:pPr>
      <w:r>
        <w:rPr>
          <w:b/>
          <w:sz w:val="20"/>
          <w:szCs w:val="20"/>
        </w:rPr>
        <w:t xml:space="preserve">Objetivo general. </w:t>
      </w:r>
      <w:r>
        <w:rPr>
          <w:sz w:val="20"/>
          <w:szCs w:val="20"/>
        </w:rPr>
        <w:t xml:space="preserve">Construir un sistema RAG multi-dominio con aislamiento estricto entre colecciones y presentación de fuentes verificables.</w:t>
      </w:r>
    </w:p>
    <w:p>
      <w:pPr>
        <w:spacing w:before="0" w:after="30"/>
      </w:pPr>
      <w:r>
        <w:rPr>
          <w:b/>
          <w:sz w:val="20"/>
          <w:szCs w:val="20"/>
        </w:rPr>
        <w:t xml:space="preserve">Objetivos específicos: </w:t>
      </w:r>
      <w:r>
        <w:rPr>
          <w:sz w:val="20"/>
          <w:szCs w:val="20"/>
        </w:rPr>
        <w:t xml:space="preserve">ingesta web concurrente y troceado en fragmentos solapados; embeddings de 768 dimensiones en PostgreSQL + pgvector; búsqueda vectorial (conservada) y búsqueda léxica nativa de PostgreSQL; recuperación híbrida mediante Reciprocal Rank Fusion (RRF); fallback léxico si falla el embedding; y chat web con fuentes y pruebas automatizadas.</w:t>
      </w:r>
    </w:p>
    <w:p>
      <w:pPr>
        <w:jc w:val="center"/>
        <w:spacing w:before="40" w:after="20"/>
      </w:pPr>
      <w:r>
        <w:drawing>
          <wp:inline distT="0" distB="0" distL="0" distR="0">
            <wp:extent cx="6336030" cy="3722417"/>
            <wp:docPr id="1" name="Imagen 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g1.png"/>
                    <pic:cNvPicPr/>
                  </pic:nvPicPr>
                  <pic:blipFill>
                    <a:blip r:embed="rIdImg1"/>
                    <a:stretch>
                      <a:fillRect/>
                    </a:stretch>
                  </pic:blipFill>
                  <pic:spPr>
                    <a:xfrm>
                      <a:off x="0" y="0"/>
                      <a:ext cx="6336030" cy="37224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60"/>
        <w:jc w:val="center"/>
      </w:pPr>
      <w:r>
        <w:rPr>
          <w:i/>
          <w:sz w:val="17"/>
          <w:szCs w:val="17"/>
        </w:rPr>
        <w:t xml:space="preserve">Figura 1. Arquitectura y flujo concurrente del sistema.</w:t>
      </w:r>
    </w:p>
    <w:p>
      <w:r>
        <w:br w:type="page"/>
      </w:r>
    </w:p>
    <w:p>
      <w:pPr>
        <w:keepNext/>
        <w:spacing w:before="90" w:after="40"/>
      </w:pPr>
      <w:r>
        <w:rPr>
          <w:b/>
          <w:color w:val="1F3864"/>
          <w:sz w:val="24"/>
          <w:szCs w:val="24"/>
        </w:rPr>
        <w:t xml:space="preserve">2. Arquitectura técnica y aislamiento</w:t>
      </w:r>
    </w:p>
    <w:p>
      <w:pPr>
        <w:keepNext/>
        <w:spacing w:before="55" w:after="25"/>
      </w:pPr>
      <w:r>
        <w:rPr>
          <w:b/>
          <w:color w:val="2E5496"/>
          <w:sz w:val="20"/>
          <w:szCs w:val="20"/>
        </w:rPr>
        <w:t xml:space="preserve">2.1 Servicios y almacenamiento</w:t>
      </w:r>
    </w:p>
    <w:p>
      <w:pPr>
        <w:spacing w:before="0" w:after="30"/>
      </w:pPr>
      <w:r>
        <w:rPr>
          <w:sz w:val="20"/>
          <w:szCs w:val="20"/>
        </w:rPr>
        <w:t xml:space="preserve">Backend FastAPI (Python 3.12); PostgreSQL 16 + pgvector 0.8.7; embeddings gemini-embedding-001 (768 dimensiones); generación con Gemini a temperatura 0.0; despliegue con Docker Compose. La tabla </w:t>
      </w:r>
      <w:r>
        <w:rPr>
          <w:rFonts w:ascii="Consolas" w:hAnsi="Consolas" w:cs="Consolas"/>
          <w:sz w:val="19"/>
          <w:szCs w:val="19"/>
        </w:rPr>
        <w:t xml:space="preserve">normativa_bancaria</w:t>
      </w:r>
      <w:r>
        <w:rPr>
          <w:sz w:val="20"/>
          <w:szCs w:val="20"/>
        </w:rPr>
        <w:t xml:space="preserve">(id, coleccion_id, contenido, embedding vector(768), origen_url, created_at) tiene un índice por coleccion_id.</w:t>
      </w:r>
    </w:p>
    <w:p>
      <w:pPr>
        <w:keepNext/>
        <w:spacing w:before="55" w:after="25"/>
      </w:pPr>
      <w:r>
        <w:rPr>
          <w:b/>
          <w:color w:val="2E5496"/>
          <w:sz w:val="20"/>
          <w:szCs w:val="20"/>
        </w:rPr>
        <w:t xml:space="preserve">2.2 Aislamiento por coleccion_id</w:t>
      </w:r>
    </w:p>
    <w:p>
      <w:pPr>
        <w:spacing w:before="0" w:after="30"/>
      </w:pPr>
      <w:r>
        <w:rPr>
          <w:sz w:val="20"/>
          <w:szCs w:val="20"/>
        </w:rPr>
        <w:t xml:space="preserve">La columna coleccion_id es obligatoria (CHECK no vacío) e indexada. La recuperación vectorial exige la colección como primer parámetro y el servicio verifica que toda evidencia pertenezca a la colección pedida antes de invocar al LLM (si no, ErrorContaminacion). El aislamiento se aplica tanto a la búsqueda vectorial como a la léxica.</w:t>
      </w:r>
    </w:p>
    <w:p>
      <w:pPr>
        <w:keepNext/>
        <w:spacing w:before="55" w:after="25"/>
      </w:pPr>
      <w:r>
        <w:rPr>
          <w:b/>
          <w:color w:val="2E5496"/>
          <w:sz w:val="20"/>
          <w:szCs w:val="20"/>
        </w:rPr>
        <w:t xml:space="preserve">2.3 Función SQL/RPC match_normativa_coleccion</w:t>
      </w:r>
    </w:p>
    <w:p>
      <w:pPr>
        <w:spacing w:before="0" w:after="30"/>
      </w:pPr>
      <w:r>
        <w:rPr>
          <w:sz w:val="20"/>
          <w:szCs w:val="20"/>
        </w:rPr>
        <w:t xml:space="preserve">Resuelve la búsqueda vectorial por similitud dentro de una sola colección. Es una función </w:t>
      </w:r>
      <w:r>
        <w:rPr>
          <w:rFonts w:ascii="Consolas" w:hAnsi="Consolas" w:cs="Consolas"/>
          <w:sz w:val="18"/>
          <w:szCs w:val="18"/>
        </w:rPr>
        <w:t xml:space="preserve">LANGUAGE sql STABLE</w:t>
      </w:r>
      <w:r>
        <w:rPr>
          <w:sz w:val="20"/>
          <w:szCs w:val="20"/>
        </w:rPr>
        <w:t xml:space="preserve"> que recibe los parámetros de la tabla y devuelve evidencia:</w:t>
      </w:r>
    </w:p>
    <w:tbl>
      <w:tblPr>
        <w:tblW w:w="0" w:type="auto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</w:tblPr>
      <w:tblGrid>
        <w:gridCol w:w="2000"/>
        <w:gridCol w:w="2500"/>
        <w:gridCol w:w="5478"/>
      </w:tblGrid>
      <w:tr>
        <w:trPr>
          <w:cantSplit/>
        </w:trPr>
        <w:tc>
          <w:tcPr>
            <w:tcW w:w="2000" w:type="dxa"/>
            <w:shd w:val="clear" w:color="auto" w:fill="D9E2F3"/>
            <w:vAlign w:val="center"/>
          </w:tcPr>
          <w:p>
            <w:pPr>
              <w:keepNext/>
              <w:spacing w:before="10" w:after="10"/>
            </w:pPr>
            <w:r>
              <w:rPr>
                <w:b/>
                <w:sz w:val="17"/>
                <w:szCs w:val="17"/>
              </w:rPr>
              <w:t xml:space="preserve">Parámetro</w:t>
            </w:r>
          </w:p>
        </w:tc>
        <w:tc>
          <w:tcPr>
            <w:tcW w:w="2500" w:type="dxa"/>
            <w:shd w:val="clear" w:color="auto" w:fill="D9E2F3"/>
            <w:vAlign w:val="center"/>
          </w:tcPr>
          <w:p>
            <w:pPr>
              <w:keepNext/>
              <w:spacing w:before="10" w:after="10"/>
            </w:pPr>
            <w:r>
              <w:rPr>
                <w:b/>
                <w:sz w:val="17"/>
                <w:szCs w:val="17"/>
              </w:rPr>
              <w:t xml:space="preserve">Tipo / valor</w:t>
            </w:r>
          </w:p>
        </w:tc>
        <w:tc>
          <w:tcPr>
            <w:tcW w:w="5478" w:type="dxa"/>
            <w:shd w:val="clear" w:color="auto" w:fill="D9E2F3"/>
            <w:vAlign w:val="center"/>
          </w:tcPr>
          <w:p>
            <w:pPr>
              <w:keepNext/>
              <w:spacing w:before="10" w:after="10"/>
            </w:pPr>
            <w:r>
              <w:rPr>
                <w:b/>
                <w:sz w:val="17"/>
                <w:szCs w:val="17"/>
              </w:rPr>
              <w:t xml:space="preserve">Función</w:t>
            </w:r>
          </w:p>
        </w:tc>
      </w:tr>
      <w:tr>
        <w:trPr>
          <w:cantSplit/>
        </w:trPr>
        <w:tc>
          <w:tcPr>
            <w:tcW w:w="2000" w:type="dxa"/>
            <w:vAlign w:val="center"/>
          </w:tcPr>
          <w:p>
            <w:pPr>
              <w:spacing w:before="10" w:after="10"/>
            </w:pPr>
            <w:r>
              <w:rPr>
                <w:sz w:val="17"/>
                <w:szCs w:val="17"/>
              </w:rPr>
              <w:t xml:space="preserve">p_coleccion_id</w:t>
            </w:r>
          </w:p>
        </w:tc>
        <w:tc>
          <w:tcPr>
            <w:tcW w:w="2500" w:type="dxa"/>
            <w:vAlign w:val="center"/>
          </w:tcPr>
          <w:p>
            <w:pPr>
              <w:spacing w:before="10" w:after="10"/>
            </w:pPr>
            <w:r>
              <w:rPr>
                <w:sz w:val="17"/>
                <w:szCs w:val="17"/>
              </w:rPr>
              <w:t xml:space="preserve">varchar (1.º, obligatorio)</w:t>
            </w:r>
          </w:p>
        </w:tc>
        <w:tc>
          <w:tcPr>
            <w:tcW w:w="5478" w:type="dxa"/>
            <w:vAlign w:val="center"/>
          </w:tcPr>
          <w:p>
            <w:pPr>
              <w:spacing w:before="10" w:after="10"/>
            </w:pPr>
            <w:r>
              <w:rPr>
                <w:sz w:val="17"/>
                <w:szCs w:val="17"/>
              </w:rPr>
              <w:t xml:space="preserve">Aísla: filtra nb.coleccion_id = p_coleccion_id</w:t>
            </w:r>
          </w:p>
        </w:tc>
      </w:tr>
      <w:tr>
        <w:trPr>
          <w:cantSplit/>
        </w:trPr>
        <w:tc>
          <w:tcPr>
            <w:tcW w:w="2000" w:type="dxa"/>
            <w:vAlign w:val="center"/>
          </w:tcPr>
          <w:p>
            <w:pPr>
              <w:spacing w:before="10" w:after="10"/>
            </w:pPr>
            <w:r>
              <w:rPr>
                <w:sz w:val="17"/>
                <w:szCs w:val="17"/>
              </w:rPr>
              <w:t xml:space="preserve">p_query_embedding</w:t>
            </w:r>
          </w:p>
        </w:tc>
        <w:tc>
          <w:tcPr>
            <w:tcW w:w="2500" w:type="dxa"/>
            <w:vAlign w:val="center"/>
          </w:tcPr>
          <w:p>
            <w:pPr>
              <w:spacing w:before="10" w:after="10"/>
            </w:pPr>
            <w:r>
              <w:rPr>
                <w:sz w:val="17"/>
                <w:szCs w:val="17"/>
              </w:rPr>
              <w:t xml:space="preserve">vector (768)</w:t>
            </w:r>
          </w:p>
        </w:tc>
        <w:tc>
          <w:tcPr>
            <w:tcW w:w="5478" w:type="dxa"/>
            <w:vAlign w:val="center"/>
          </w:tcPr>
          <w:p>
            <w:pPr>
              <w:spacing w:before="10" w:after="10"/>
            </w:pPr>
            <w:r>
              <w:rPr>
                <w:sz w:val="17"/>
                <w:szCs w:val="17"/>
              </w:rPr>
              <w:t xml:space="preserve">Embedding de la consulta</w:t>
            </w:r>
          </w:p>
        </w:tc>
      </w:tr>
      <w:tr>
        <w:trPr>
          <w:cantSplit/>
        </w:trPr>
        <w:tc>
          <w:tcPr>
            <w:tcW w:w="2000" w:type="dxa"/>
            <w:vAlign w:val="center"/>
          </w:tcPr>
          <w:p>
            <w:pPr>
              <w:spacing w:before="10" w:after="10"/>
            </w:pPr>
            <w:r>
              <w:rPr>
                <w:sz w:val="17"/>
                <w:szCs w:val="17"/>
              </w:rPr>
              <w:t xml:space="preserve">p_match_threshold</w:t>
            </w:r>
          </w:p>
        </w:tc>
        <w:tc>
          <w:tcPr>
            <w:tcW w:w="2500" w:type="dxa"/>
            <w:vAlign w:val="center"/>
          </w:tcPr>
          <w:p>
            <w:pPr>
              <w:spacing w:before="10" w:after="10"/>
            </w:pPr>
            <w:r>
              <w:rPr>
                <w:sz w:val="17"/>
                <w:szCs w:val="17"/>
              </w:rPr>
              <w:t xml:space="preserve">double, por defecto 0.5</w:t>
            </w:r>
          </w:p>
        </w:tc>
        <w:tc>
          <w:tcPr>
            <w:tcW w:w="5478" w:type="dxa"/>
            <w:vAlign w:val="center"/>
          </w:tcPr>
          <w:p>
            <w:pPr>
              <w:spacing w:before="10" w:after="10"/>
            </w:pPr>
            <w:r>
              <w:rPr>
                <w:sz w:val="17"/>
                <w:szCs w:val="17"/>
              </w:rPr>
              <w:t xml:space="preserve">Similitud mínima aceptada</w:t>
            </w:r>
          </w:p>
        </w:tc>
      </w:tr>
      <w:tr>
        <w:trPr>
          <w:cantSplit/>
        </w:trPr>
        <w:tc>
          <w:tcPr>
            <w:tcW w:w="2000" w:type="dxa"/>
            <w:vAlign w:val="center"/>
          </w:tcPr>
          <w:p>
            <w:pPr>
              <w:spacing w:before="10" w:after="10"/>
            </w:pPr>
            <w:r>
              <w:rPr>
                <w:sz w:val="17"/>
                <w:szCs w:val="17"/>
              </w:rPr>
              <w:t xml:space="preserve">p_match_count</w:t>
            </w:r>
          </w:p>
        </w:tc>
        <w:tc>
          <w:tcPr>
            <w:tcW w:w="2500" w:type="dxa"/>
            <w:vAlign w:val="center"/>
          </w:tcPr>
          <w:p>
            <w:pPr>
              <w:spacing w:before="10" w:after="10"/>
            </w:pPr>
            <w:r>
              <w:rPr>
                <w:sz w:val="17"/>
                <w:szCs w:val="17"/>
              </w:rPr>
              <w:t xml:space="preserve">integer, por defecto 10</w:t>
            </w:r>
          </w:p>
        </w:tc>
        <w:tc>
          <w:tcPr>
            <w:tcW w:w="5478" w:type="dxa"/>
            <w:vAlign w:val="center"/>
          </w:tcPr>
          <w:p>
            <w:pPr>
              <w:spacing w:before="10" w:after="10"/>
            </w:pPr>
            <w:r>
              <w:rPr>
                <w:sz w:val="17"/>
                <w:szCs w:val="17"/>
              </w:rPr>
              <w:t xml:space="preserve">Límite de resultados (top-k)</w:t>
            </w:r>
          </w:p>
        </w:tc>
      </w:tr>
    </w:tbl>
    <w:p>
      <w:pPr>
        <w:spacing w:before="0" w:after="0"/>
      </w:pPr>
    </w:p>
    <w:p>
      <w:pPr>
        <w:spacing w:before="0" w:after="30"/>
      </w:pPr>
      <w:r>
        <w:rPr>
          <w:sz w:val="20"/>
          <w:szCs w:val="20"/>
        </w:rPr>
        <w:t xml:space="preserve">Usa pgvector con el operador coseno </w:t>
      </w:r>
      <w:r>
        <w:rPr>
          <w:rFonts w:ascii="Consolas" w:hAnsi="Consolas" w:cs="Consolas"/>
          <w:sz w:val="18"/>
          <w:szCs w:val="18"/>
        </w:rPr>
        <w:t xml:space="preserve">&lt;=&gt;</w:t>
      </w:r>
      <w:r>
        <w:rPr>
          <w:sz w:val="20"/>
          <w:szCs w:val="20"/>
        </w:rPr>
        <w:t xml:space="preserve"> (distancia), y expone similitud = 1 − distancia. El umbral p_match_threshold descarta evidencia poco relevante y p_match_count acota el número de filas. El filtro obligatorio por p_coleccion_id evita la contaminación entre colecciones: la RPC nunca devuelve filas de otra colección.</w:t>
      </w:r>
    </w:p>
    <w:p>
      <w:pPr>
        <w:keepNext/>
        <w:spacing w:before="55" w:after="25"/>
      </w:pPr>
      <w:r>
        <w:rPr>
          <w:b/>
          <w:color w:val="2E5496"/>
          <w:sz w:val="20"/>
          <w:szCs w:val="20"/>
        </w:rPr>
        <w:t xml:space="preserve">2.4 Recuperación vectorial, léxica e híbrida</w:t>
      </w:r>
    </w:p>
    <w:p>
      <w:pPr>
        <w:spacing w:before="0" w:after="30"/>
      </w:pPr>
      <w:r>
        <w:rPr>
          <w:b/>
          <w:sz w:val="20"/>
          <w:szCs w:val="20"/>
        </w:rPr>
        <w:t xml:space="preserve">Vectorial: </w:t>
      </w:r>
      <w:r>
        <w:rPr>
          <w:sz w:val="20"/>
          <w:szCs w:val="20"/>
        </w:rPr>
        <w:t xml:space="preserve">la RPC anterior, sobre pgvector y distancia coseno (recuperación semántica).</w:t>
      </w:r>
    </w:p>
    <w:p>
      <w:pPr>
        <w:spacing w:before="0" w:after="30"/>
      </w:pPr>
      <w:r>
        <w:rPr>
          <w:b/>
          <w:sz w:val="20"/>
          <w:szCs w:val="20"/>
        </w:rPr>
        <w:t xml:space="preserve">Léxica: </w:t>
      </w:r>
      <w:r>
        <w:rPr>
          <w:sz w:val="20"/>
          <w:szCs w:val="20"/>
        </w:rPr>
        <w:t xml:space="preserve">texto completo nativo de PostgreSQL (diccionario spanish, sin pg_trgm ni unaccent). Extrae los lexemas de la consulta y exige intersección ≥ 1 o coincidencia de frase exacta (resoluciones/artículos), con orden reproducible. Complementa a la vectorial, no la sustituye.</w:t>
      </w:r>
    </w:p>
    <w:p>
      <w:pPr>
        <w:spacing w:before="0" w:after="30"/>
      </w:pPr>
      <w:r>
        <w:rPr>
          <w:b/>
          <w:sz w:val="20"/>
          <w:szCs w:val="20"/>
        </w:rPr>
        <w:t xml:space="preserve">Híbrida: </w:t>
      </w:r>
      <w:r>
        <w:rPr>
          <w:sz w:val="20"/>
          <w:szCs w:val="20"/>
        </w:rPr>
        <w:t xml:space="preserve">fusión por RRF (Σ 1/(k+rank), k = 60) con bono por coincidencia exacta y deduplicación por id. La similitud solo se conserva si el fragmento provino de la búsqueda vectorial; para resultados solo-léxicos queda en None.</w:t>
      </w:r>
    </w:p>
    <w:p>
      <w:r>
        <w:br w:type="page"/>
      </w:r>
    </w:p>
    <w:p>
      <w:pPr>
        <w:keepNext/>
        <w:spacing w:before="90" w:after="40"/>
      </w:pPr>
      <w:r>
        <w:rPr>
          <w:b/>
          <w:color w:val="1F3864"/>
          <w:sz w:val="24"/>
          <w:szCs w:val="24"/>
        </w:rPr>
        <w:t xml:space="preserve">3. Pruebas y benchmark</w:t>
      </w:r>
    </w:p>
    <w:p>
      <w:pPr>
        <w:keepNext/>
        <w:spacing w:before="55" w:after="25"/>
      </w:pPr>
      <w:r>
        <w:rPr>
          <w:b/>
          <w:color w:val="2E5496"/>
          <w:sz w:val="20"/>
          <w:szCs w:val="20"/>
        </w:rPr>
        <w:t xml:space="preserve">3.1 Pruebas automatizadas (FASE 9)</w:t>
      </w:r>
    </w:p>
    <w:p>
      <w:pPr>
        <w:spacing w:before="0" w:after="30"/>
      </w:pPr>
      <w:r>
        <w:rPr>
          <w:sz w:val="20"/>
          <w:szCs w:val="20"/>
        </w:rPr>
        <w:t xml:space="preserve">347 aprobadas, 0 fallidas y 0 omitidas (1 advertencia no relacionada). Ejecutadas offline con </w:t>
      </w:r>
      <w:r>
        <w:rPr>
          <w:rFonts w:ascii="Consolas" w:hAnsi="Consolas" w:cs="Consolas"/>
          <w:sz w:val="18"/>
          <w:szCs w:val="18"/>
        </w:rPr>
        <w:t xml:space="preserve">pytest</w:t>
      </w:r>
      <w:r>
        <w:rPr>
          <w:sz w:val="20"/>
          <w:szCs w:val="20"/>
        </w:rPr>
        <w:t xml:space="preserve">; las de aislamiento y búsqueda léxica operan contra PostgreSQL en solo lectura.</w:t>
      </w:r>
    </w:p>
    <w:p>
      <w:pPr>
        <w:keepNext/>
        <w:spacing w:before="55" w:after="25"/>
      </w:pPr>
      <w:r>
        <w:rPr>
          <w:b/>
          <w:color w:val="2E5496"/>
          <w:sz w:val="20"/>
          <w:szCs w:val="20"/>
        </w:rPr>
        <w:t xml:space="preserve">3.2 Benchmark de concurrencia (scraping)</w:t>
      </w:r>
    </w:p>
    <w:p>
      <w:pPr>
        <w:spacing w:before="0" w:after="30"/>
      </w:pPr>
      <w:r>
        <w:rPr>
          <w:sz w:val="20"/>
          <w:szCs w:val="20"/>
        </w:rPr>
        <w:t xml:space="preserve">10 URLs oficiales, 3 repeticiones por nivel y carga idéntica (hash b5053f6c8…b20d). Mide solo la fase de scraping (descarga y extracción de contenido), sin embeddings ni inserciones. Fórmulas: S(p) = T(1)/T(p) y E(p) = S(p)/p, con T(1) = 6.931249 s.</w:t>
      </w:r>
    </w:p>
    <w:tbl>
      <w:tblPr>
        <w:tblW w:w="0" w:type="auto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</w:tblPr>
      <w:tblGrid>
        <w:gridCol w:w="2600"/>
        <w:gridCol w:w="2600"/>
        <w:gridCol w:w="2400"/>
        <w:gridCol w:w="2378"/>
      </w:tblGrid>
      <w:tr>
        <w:trPr>
          <w:cantSplit/>
        </w:trPr>
        <w:tc>
          <w:tcPr>
            <w:tcW w:w="2600" w:type="dxa"/>
            <w:shd w:val="clear" w:color="auto" w:fill="D9E2F3"/>
            <w:vAlign w:val="center"/>
          </w:tcPr>
          <w:p>
            <w:pPr>
              <w:keepNext/>
              <w:spacing w:before="10" w:after="10"/>
            </w:pPr>
            <w:r>
              <w:rPr>
                <w:b/>
                <w:sz w:val="18"/>
                <w:szCs w:val="18"/>
              </w:rPr>
              <w:t xml:space="preserve">Trabajadores</w:t>
            </w:r>
          </w:p>
        </w:tc>
        <w:tc>
          <w:tcPr>
            <w:tcW w:w="2600" w:type="dxa"/>
            <w:shd w:val="clear" w:color="auto" w:fill="D9E2F3"/>
            <w:vAlign w:val="center"/>
          </w:tcPr>
          <w:p>
            <w:pPr>
              <w:keepNext/>
              <w:spacing w:before="10" w:after="10"/>
            </w:pPr>
            <w:r>
              <w:rPr>
                <w:b/>
                <w:sz w:val="18"/>
                <w:szCs w:val="18"/>
              </w:rPr>
              <w:t xml:space="preserve">Tiempo medio (s)</w:t>
            </w:r>
          </w:p>
        </w:tc>
        <w:tc>
          <w:tcPr>
            <w:tcW w:w="2400" w:type="dxa"/>
            <w:shd w:val="clear" w:color="auto" w:fill="D9E2F3"/>
            <w:vAlign w:val="center"/>
          </w:tcPr>
          <w:p>
            <w:pPr>
              <w:keepNext/>
              <w:spacing w:before="10" w:after="10"/>
            </w:pPr>
            <w:r>
              <w:rPr>
                <w:b/>
                <w:sz w:val="18"/>
                <w:szCs w:val="18"/>
              </w:rPr>
              <w:t xml:space="preserve">Speedup S(p)</w:t>
            </w:r>
          </w:p>
        </w:tc>
        <w:tc>
          <w:tcPr>
            <w:tcW w:w="2378" w:type="dxa"/>
            <w:shd w:val="clear" w:color="auto" w:fill="D9E2F3"/>
            <w:vAlign w:val="center"/>
          </w:tcPr>
          <w:p>
            <w:pPr>
              <w:keepNext/>
              <w:spacing w:before="10" w:after="10"/>
            </w:pPr>
            <w:r>
              <w:rPr>
                <w:b/>
                <w:sz w:val="18"/>
                <w:szCs w:val="18"/>
              </w:rPr>
              <w:t xml:space="preserve">Eficiencia E(p)</w:t>
            </w:r>
          </w:p>
        </w:tc>
      </w:tr>
      <w:tr>
        <w:trPr>
          <w:cantSplit/>
        </w:trPr>
        <w:tc>
          <w:tcPr>
            <w:tcW w:w="2600" w:type="dxa"/>
            <w:vAlign w:val="center"/>
          </w:tcPr>
          <w:p>
            <w:pPr>
              <w:spacing w:before="10" w:after="10"/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w="2600" w:type="dxa"/>
            <w:vAlign w:val="center"/>
          </w:tcPr>
          <w:p>
            <w:pPr>
              <w:spacing w:before="10" w:after="10"/>
            </w:pPr>
            <w:r>
              <w:rPr>
                <w:sz w:val="18"/>
                <w:szCs w:val="18"/>
              </w:rPr>
              <w:t xml:space="preserve">6.931249</w:t>
            </w:r>
          </w:p>
        </w:tc>
        <w:tc>
          <w:tcPr>
            <w:tcW w:w="2400" w:type="dxa"/>
            <w:vAlign w:val="center"/>
          </w:tcPr>
          <w:p>
            <w:pPr>
              <w:spacing w:before="10" w:after="10"/>
            </w:pPr>
            <w:r>
              <w:rPr>
                <w:sz w:val="18"/>
                <w:szCs w:val="18"/>
              </w:rPr>
              <w:t xml:space="preserve">1.0000</w:t>
            </w:r>
          </w:p>
        </w:tc>
        <w:tc>
          <w:tcPr>
            <w:tcW w:w="2378" w:type="dxa"/>
            <w:vAlign w:val="center"/>
          </w:tcPr>
          <w:p>
            <w:pPr>
              <w:spacing w:before="10" w:after="10"/>
            </w:pPr>
            <w:r>
              <w:rPr>
                <w:sz w:val="18"/>
                <w:szCs w:val="18"/>
              </w:rPr>
              <w:t xml:space="preserve">1.0000</w:t>
            </w:r>
          </w:p>
        </w:tc>
      </w:tr>
      <w:tr>
        <w:trPr>
          <w:cantSplit/>
        </w:trPr>
        <w:tc>
          <w:tcPr>
            <w:tcW w:w="2600" w:type="dxa"/>
            <w:vAlign w:val="center"/>
          </w:tcPr>
          <w:p>
            <w:pPr>
              <w:spacing w:before="10" w:after="10"/>
            </w:pPr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w="2600" w:type="dxa"/>
            <w:vAlign w:val="center"/>
          </w:tcPr>
          <w:p>
            <w:pPr>
              <w:spacing w:before="10" w:after="10"/>
            </w:pPr>
            <w:r>
              <w:rPr>
                <w:sz w:val="18"/>
                <w:szCs w:val="18"/>
              </w:rPr>
              <w:t xml:space="preserve">3.040423</w:t>
            </w:r>
          </w:p>
        </w:tc>
        <w:tc>
          <w:tcPr>
            <w:tcW w:w="2400" w:type="dxa"/>
            <w:vAlign w:val="center"/>
          </w:tcPr>
          <w:p>
            <w:pPr>
              <w:spacing w:before="10" w:after="10"/>
            </w:pPr>
            <w:r>
              <w:rPr>
                <w:sz w:val="18"/>
                <w:szCs w:val="18"/>
              </w:rPr>
              <w:t xml:space="preserve">2.2797</w:t>
            </w:r>
          </w:p>
        </w:tc>
        <w:tc>
          <w:tcPr>
            <w:tcW w:w="2378" w:type="dxa"/>
            <w:vAlign w:val="center"/>
          </w:tcPr>
          <w:p>
            <w:pPr>
              <w:spacing w:before="10" w:after="10"/>
            </w:pPr>
            <w:r>
              <w:rPr>
                <w:sz w:val="18"/>
                <w:szCs w:val="18"/>
              </w:rPr>
              <w:t xml:space="preserve">1.1398</w:t>
            </w:r>
          </w:p>
        </w:tc>
      </w:tr>
      <w:tr>
        <w:trPr>
          <w:cantSplit/>
        </w:trPr>
        <w:tc>
          <w:tcPr>
            <w:tcW w:w="2600" w:type="dxa"/>
            <w:vAlign w:val="center"/>
          </w:tcPr>
          <w:p>
            <w:pPr>
              <w:spacing w:before="10" w:after="10"/>
            </w:pPr>
            <w:r>
              <w:rPr>
                <w:sz w:val="18"/>
                <w:szCs w:val="18"/>
              </w:rPr>
              <w:t xml:space="preserve">4</w:t>
            </w:r>
          </w:p>
        </w:tc>
        <w:tc>
          <w:tcPr>
            <w:tcW w:w="2600" w:type="dxa"/>
            <w:vAlign w:val="center"/>
          </w:tcPr>
          <w:p>
            <w:pPr>
              <w:spacing w:before="10" w:after="10"/>
            </w:pPr>
            <w:r>
              <w:rPr>
                <w:sz w:val="18"/>
                <w:szCs w:val="18"/>
              </w:rPr>
              <w:t xml:space="preserve">2.198843</w:t>
            </w:r>
          </w:p>
        </w:tc>
        <w:tc>
          <w:tcPr>
            <w:tcW w:w="2400" w:type="dxa"/>
            <w:vAlign w:val="center"/>
          </w:tcPr>
          <w:p>
            <w:pPr>
              <w:spacing w:before="10" w:after="10"/>
            </w:pPr>
            <w:r>
              <w:rPr>
                <w:sz w:val="18"/>
                <w:szCs w:val="18"/>
              </w:rPr>
              <w:t xml:space="preserve">3.1522</w:t>
            </w:r>
          </w:p>
        </w:tc>
        <w:tc>
          <w:tcPr>
            <w:tcW w:w="2378" w:type="dxa"/>
            <w:vAlign w:val="center"/>
          </w:tcPr>
          <w:p>
            <w:pPr>
              <w:spacing w:before="10" w:after="10"/>
            </w:pPr>
            <w:r>
              <w:rPr>
                <w:sz w:val="18"/>
                <w:szCs w:val="18"/>
              </w:rPr>
              <w:t xml:space="preserve">0.7881</w:t>
            </w:r>
          </w:p>
        </w:tc>
      </w:tr>
      <w:tr>
        <w:trPr>
          <w:cantSplit/>
        </w:trPr>
        <w:tc>
          <w:tcPr>
            <w:tcW w:w="2600" w:type="dxa"/>
            <w:vAlign w:val="center"/>
          </w:tcPr>
          <w:p>
            <w:pPr>
              <w:spacing w:before="10" w:after="10"/>
            </w:pPr>
            <w:r>
              <w:rPr>
                <w:sz w:val="18"/>
                <w:szCs w:val="18"/>
              </w:rPr>
              <w:t xml:space="preserve">8</w:t>
            </w:r>
          </w:p>
        </w:tc>
        <w:tc>
          <w:tcPr>
            <w:tcW w:w="2600" w:type="dxa"/>
            <w:vAlign w:val="center"/>
          </w:tcPr>
          <w:p>
            <w:pPr>
              <w:spacing w:before="10" w:after="10"/>
            </w:pPr>
            <w:r>
              <w:rPr>
                <w:sz w:val="18"/>
                <w:szCs w:val="18"/>
              </w:rPr>
              <w:t xml:space="preserve">1.773352</w:t>
            </w:r>
          </w:p>
        </w:tc>
        <w:tc>
          <w:tcPr>
            <w:tcW w:w="2400" w:type="dxa"/>
            <w:vAlign w:val="center"/>
          </w:tcPr>
          <w:p>
            <w:pPr>
              <w:spacing w:before="10" w:after="10"/>
            </w:pPr>
            <w:r>
              <w:rPr>
                <w:sz w:val="18"/>
                <w:szCs w:val="18"/>
              </w:rPr>
              <w:t xml:space="preserve">3.9086</w:t>
            </w:r>
          </w:p>
        </w:tc>
        <w:tc>
          <w:tcPr>
            <w:tcW w:w="2378" w:type="dxa"/>
            <w:vAlign w:val="center"/>
          </w:tcPr>
          <w:p>
            <w:pPr>
              <w:spacing w:before="10" w:after="10"/>
            </w:pPr>
            <w:r>
              <w:rPr>
                <w:sz w:val="18"/>
                <w:szCs w:val="18"/>
              </w:rPr>
              <w:t xml:space="preserve">0.4886</w:t>
            </w:r>
          </w:p>
        </w:tc>
      </w:tr>
    </w:tbl>
    <w:p>
      <w:pPr>
        <w:spacing w:before="0" w:after="0"/>
      </w:pPr>
    </w:p>
    <w:p>
      <w:pPr>
        <w:jc w:val="center"/>
        <w:spacing w:before="40" w:after="20"/>
      </w:pPr>
      <w:r>
        <w:drawing>
          <wp:inline distT="0" distB="0" distL="0" distR="0">
            <wp:extent cx="6336030" cy="2631889"/>
            <wp:docPr id="2" name="Imagen 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g2.png"/>
                    <pic:cNvPicPr/>
                  </pic:nvPicPr>
                  <pic:blipFill>
                    <a:blip r:embed="rIdImg2"/>
                    <a:stretch>
                      <a:fillRect/>
                    </a:stretch>
                  </pic:blipFill>
                  <pic:spPr>
                    <a:xfrm>
                      <a:off x="0" y="0"/>
                      <a:ext cx="6336030" cy="26318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60"/>
        <w:jc w:val="center"/>
      </w:pPr>
      <w:r>
        <w:rPr>
          <w:i/>
          <w:sz w:val="17"/>
          <w:szCs w:val="17"/>
        </w:rPr>
        <w:t xml:space="preserve">Figura 2. Speedup frente al número de trabajadores (con ideal S(p) = p).</w:t>
      </w:r>
    </w:p>
    <w:p>
      <w:pPr>
        <w:jc w:val="center"/>
        <w:spacing w:before="40" w:after="20"/>
      </w:pPr>
      <w:r>
        <w:drawing>
          <wp:inline distT="0" distB="0" distL="0" distR="0">
            <wp:extent cx="6336030" cy="2631889"/>
            <wp:docPr id="3" name="Imagen 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g3.png"/>
                    <pic:cNvPicPr/>
                  </pic:nvPicPr>
                  <pic:blipFill>
                    <a:blip r:embed="rIdImg3"/>
                    <a:stretch>
                      <a:fillRect/>
                    </a:stretch>
                  </pic:blipFill>
                  <pic:spPr>
                    <a:xfrm>
                      <a:off x="0" y="0"/>
                      <a:ext cx="6336030" cy="26318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60"/>
        <w:jc w:val="center"/>
      </w:pPr>
      <w:r>
        <w:rPr>
          <w:i/>
          <w:sz w:val="17"/>
          <w:szCs w:val="17"/>
        </w:rPr>
        <w:t xml:space="preserve">Figura 3. Eficiencia frente al número de trabajadores (con ideal E(p) = 1).</w:t>
      </w:r>
    </w:p>
    <w:p>
      <w:r>
        <w:br w:type="page"/>
      </w:r>
    </w:p>
    <w:p>
      <w:pPr>
        <w:keepNext/>
        <w:spacing w:before="90" w:after="40"/>
      </w:pPr>
      <w:r>
        <w:rPr>
          <w:b/>
          <w:color w:val="1F3864"/>
          <w:sz w:val="24"/>
          <w:szCs w:val="24"/>
        </w:rPr>
        <w:t xml:space="preserve">4. Interpretación y escalabilidad</w:t>
      </w:r>
    </w:p>
    <w:p>
      <w:pPr>
        <w:spacing w:before="0" w:after="30"/>
      </w:pPr>
      <w:r>
        <w:rPr>
          <w:sz w:val="20"/>
          <w:szCs w:val="20"/>
        </w:rPr>
        <w:t xml:space="preserve">El scraping concurrente redujo el tiempo y alcanzó un speedup de 3.91× con 8 trabajadores. La eficiencia con 2 trabajadores es mayor que 1 (1.1398): un resultado aparentemente superlineal que se explica por el solapamiento de las esperas de red y la variabilidad de las mediciones, por lo que debe interpretarse con cautela y no como prueba concluyente. A partir de 4 trabajadores la eficiencia disminuye, coherente con los límites del recurso paralelizable.</w:t>
      </w:r>
    </w:p>
    <w:p>
      <w:pPr>
        <w:spacing w:before="0" w:after="30"/>
      </w:pPr>
      <w:r>
        <w:rPr>
          <w:b/>
          <w:sz w:val="20"/>
          <w:szCs w:val="20"/>
        </w:rPr>
        <w:t xml:space="preserve">Escalabilidad y límites de API de terceros. </w:t>
      </w:r>
      <w:r>
        <w:rPr>
          <w:sz w:val="20"/>
          <w:szCs w:val="20"/>
        </w:rPr>
        <w:t xml:space="preserve">La concurrencia solapa las esperas de red y reduce el tiempo en cargas apropiadas, pero más trabajadores no garantizan una aceleración proporcional. Los embeddings dependen de los límites, la cuota y la disponibilidad del proveedor externo: los errores 429 / RESOURCE_EXHAUSTED pueden impedir que la ingesta integral termine aunque el scraping sea más rápido, y los 5xx provocan reintentos que aumentan la latencia. El batching, la concurrencia limitada, el backoff y los reintentos finitos ayudan a gestionar estos límites, pero no eliminan las cuotas. Conforme a la ley de Amdahl, la parte no paralelizable y el cuello de botella más restrictivo (red, proveedor de embeddings, base de datos) limitan el speedup total. Por ello no se afirma un speedup integral de ingesta.</w:t>
      </w:r>
    </w:p>
    <w:p>
      <w:pPr>
        <w:keepNext/>
        <w:spacing w:before="90" w:after="40"/>
      </w:pPr>
      <w:r>
        <w:rPr>
          <w:b/>
          <w:color w:val="1F3864"/>
          <w:sz w:val="24"/>
          <w:szCs w:val="24"/>
        </w:rPr>
        <w:t xml:space="preserve">5. Conclusiones y limitaciones</w:t>
      </w:r>
    </w:p>
    <w:p>
      <w:pPr>
        <w:spacing w:before="0" w:after="30"/>
      </w:pPr>
      <w:r>
        <w:rPr>
          <w:b/>
          <w:sz w:val="20"/>
          <w:szCs w:val="20"/>
        </w:rPr>
        <w:t xml:space="preserve">Conclusiones. </w:t>
      </w:r>
      <w:r>
        <w:rPr>
          <w:sz w:val="20"/>
          <w:szCs w:val="20"/>
        </w:rPr>
        <w:t xml:space="preserve">El sistema integra ingesta concurrente, aislamiento estricto por coleccion_id y búsqueda híbrida; la fusión RRF mejora la recuperación de identificadores sin renunciar a la semántica; ante fallo del embedding se continúa con la búsqueda léxica; y el chat degrada a solo-recuperación si la generación responde 503.</w:t>
      </w:r>
    </w:p>
    <w:p>
      <w:pPr>
        <w:spacing w:before="0" w:after="30"/>
      </w:pPr>
      <w:r>
        <w:rPr>
          <w:b/>
          <w:sz w:val="20"/>
          <w:szCs w:val="20"/>
        </w:rPr>
        <w:t xml:space="preserve">Limitaciones. </w:t>
      </w:r>
      <w:r>
        <w:rPr>
          <w:sz w:val="20"/>
          <w:szCs w:val="20"/>
        </w:rPr>
        <w:t xml:space="preserve">Las 347 pruebas aprobadas corresponden a la FASE 9; las pruebas offline no demuestran por sí solas que toda respuesta real del chat sea correcta. La generación real con Gemini y la búsqueda vectorial de preguntas nuevas no quedaron validadas en la FASE 9 por los problemas de cuota. La colección tributaria tiene cobertura insuficiente para responder con evidencia sobre IVA, y el benchmark integral quedó limitado por los errores 429. El benchmark de la Figura 2 mide solo el scraping y no los embeddings ni las inserciones.</w:t>
      </w:r>
    </w:p>
    <w:sectPr>
      <w:pgSz w:w="11906" w:h="16839"/>
      <w:pgMar w:top="850" w:right="964" w:bottom="850" w:left="964" w:header="567" w:footer="567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0"/>
        <w:szCs w:val="20"/>
      </w:rPr>
    </w:rPrDefault>
    <w:pPrDefault>
      <w:pPr>
        <w:spacing w:after="30" w:line="240" w:lineRule="auto"/>
      </w:pPr>
    </w:pPrDefault>
  </w:docDefaults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Img1" Type="http://schemas.openxmlformats.org/officeDocument/2006/relationships/image" Target="media/figura1_arquitectura.png"/><Relationship Id="rIdImg2" Type="http://schemas.openxmlformats.org/officeDocument/2006/relationships/image" Target="media/figura2_speedup.png"/><Relationship Id="rIdImg3" Type="http://schemas.openxmlformats.org/officeDocument/2006/relationships/image" Target="media/figura3_eficiencia.png"/></Relationships>
</file>