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rFonts w:ascii="Arial" w:cs="Arial" w:eastAsia="Arial" w:hAnsi="Arial"/>
          <w:b/>
          <w:bCs/>
          <w:color w:val="2E4057"/>
          <w:sz w:val="52"/>
          <w:szCs w:val="52"/>
        </w:rPr>
        <w:t xml:space="preserve">sakane-memex</w:t>
      </w:r>
    </w:p>
    <w:p>
      <w:pPr>
        <w:spacing w:before="0" w:after="200"/>
        <w:jc w:val="center"/>
      </w:pPr>
      <w:r>
        <w:rPr>
          <w:rFonts w:ascii="Arial" w:cs="Arial" w:eastAsia="Arial" w:hAnsi="Arial"/>
          <w:color w:val="4A6FA5"/>
          <w:sz w:val="36"/>
          <w:szCs w:val="36"/>
        </w:rPr>
        <w:t xml:space="preserve">知識グラフ構造分析レポート</w:t>
      </w:r>
    </w:p>
    <w:p>
      <w:pPr>
        <w:spacing w:before="0" w:after="800"/>
        <w:jc w:val="center"/>
      </w:pPr>
      <w:r>
        <w:rPr>
          <w:rFonts w:ascii="Arial" w:cs="Arial" w:eastAsia="Arial" w:hAnsi="Arial"/>
          <w:i/>
          <w:iCs/>
          <w:color w:val="888888"/>
          <w:sz w:val="22"/>
          <w:szCs w:val="22"/>
        </w:rPr>
        <w:t xml:space="preserve">Personal Semantic Knowledge Base — Sakane Structural Corpus</w:t>
      </w:r>
    </w:p>
    <w:p>
      <w:pPr>
        <w:spacing w:before="0" w:after="100"/>
        <w:jc w:val="center"/>
      </w:pPr>
      <w:r>
        <w:rPr>
          <w:rFonts w:ascii="Arial" w:cs="Arial" w:eastAsia="Arial" w:hAnsi="Arial"/>
          <w:color w:val="888888"/>
          <w:sz w:val="20"/>
          <w:szCs w:val="20"/>
        </w:rPr>
        <w:t xml:space="preserve">生成日: 2026-03-10</w:t>
      </w:r>
    </w:p>
    <w:p>
      <w:pPr>
        <w:spacing w:before="0" w:after="100"/>
        <w:jc w:val="center"/>
      </w:pPr>
      <w:r>
        <w:rPr>
          <w:rFonts w:ascii="Arial" w:cs="Arial" w:eastAsia="Arial" w:hAnsi="Arial"/>
          <w:color w:val="AAAAAA"/>
          <w:sz w:val="18"/>
          <w:szCs w:val="18"/>
        </w:rPr>
        <w:t xml:space="preserve">Embedding: qwen3-embedding:latest  |  LLM: qwen3:latest  |  Store: ChromaDB</w:t>
      </w:r>
    </w:p>
    <w:p>
      <w:pPr>
        <w:spacing w:before="0" w:after="2000"/>
        <w:jc w:val="center"/>
      </w:pPr>
      <w:r>
        <w:rPr>
          <w:rFonts w:ascii="Arial" w:cs="Arial" w:eastAsia="Arial" w:hAnsi="Arial"/>
          <w:color w:val="AAAAAA"/>
          <w:sz w:val="18"/>
          <w:szCs w:val="18"/>
        </w:rPr>
        <w:t xml:space="preserve">Total Corpus: 619 entries  |  1,759 nodes  |  1,257 edges</w:t>
      </w:r>
    </w:p>
    <w:p>
      <w:pPr>
        <w:pBdr>
          <w:bottom w:val="single" w:color="2E4057" w:sz="4" w:space="1"/>
        </w:pBdr>
        <w:spacing w:before="200" w:after="200"/>
      </w:pPr>
    </w:p>
    <w:p>
      <w:r>
        <w:br w:type="page"/>
      </w:r>
    </w:p>
    <w:p>
      <w:pPr>
        <w:pStyle w:val="Heading1"/>
        <w:spacing w:before="360" w:after="200"/>
      </w:pPr>
      <w:r>
        <w:rPr>
          <w:rFonts w:ascii="Arial" w:cs="Arial" w:eastAsia="Arial" w:hAnsi="Arial"/>
          <w:b/>
          <w:bCs/>
          <w:sz w:val="32"/>
          <w:szCs w:val="32"/>
        </w:rPr>
        <w:t xml:space="preserve">1. コーパス全体の知的構造サマリー</w:t>
      </w:r>
    </w:p>
    <w:p>
      <w:pPr>
        <w:spacing w:before="100" w:after="100"/>
        <w:jc w:val="both"/>
      </w:pPr>
      <w:r>
        <w:rPr>
          <w:rFonts w:ascii="Arial" w:cs="Arial" w:eastAsia="Arial" w:hAnsi="Arial"/>
          <w:sz w:val="22"/>
          <w:szCs w:val="22"/>
        </w:rPr>
        <w:t xml:space="preserve">本レポートは、坂根康之が2025〜2026年にかけて蓄積した619エントリのバズワードコーパスを、qwen3-embeddingによるベクトル化とqwen3によるLLM分析を経て構築した知識グラフの解析結果を言語化したものである。グラフは1,759ノード（概念）と1,257エッジ（概念間関係）で構成される。</w:t>
      </w:r>
    </w:p>
    <w:p>
      <w:pPr>
        <w:spacing w:before="100" w:after="100"/>
        <w:jc w:val="both"/>
      </w:pPr>
      <w:r>
        <w:rPr>
          <w:rFonts w:ascii="Arial" w:cs="Arial" w:eastAsia="Arial" w:hAnsi="Arial"/>
          <w:sz w:val="22"/>
          <w:szCs w:val="22"/>
        </w:rPr>
        <w:t xml:space="preserve">コーパスの最大の特徴は、サイバーセキュリティのプラクティショナーとしての出発点でありながら、知的関心が一様ではなく多層的に分散している点にある。技術・戦略・実装を扱う「技術戦略的」パラダイムが最多（48%）を占める一方、「認知科学的」（31%）と「哲学的」（16%）が合算で47%に達しており、技術軸と思考軸がほぼ拮抗している。この二軸構造は、単なる技術トレンドの記録ではなく、知的フレームワーク構築を志向するコーパスであることを示している。</w:t>
      </w:r>
    </w:p>
    <w:p>
      <w:pPr>
        <w:spacing w:before="100" w:after="100"/>
        <w:jc w:val="both"/>
      </w:pPr>
      <w:r>
        <w:rPr>
          <w:rFonts w:ascii="Arial" w:cs="Arial" w:eastAsia="Arial" w:hAnsi="Arial"/>
          <w:sz w:val="22"/>
          <w:szCs w:val="22"/>
        </w:rPr>
        <w:t xml:space="preserve">グラフのトポロジーから読み取れる最重要の知見は、「認知プロセス」が出現頻度（freq=34）・次数（degree=40）ともにコーパス最大のハブ概念であるという事実である。これは、技術実装・戦略立案・哲学的考察のいずれの文脈においても「人間の認知」が媒介概念として機能していることを意味する。すなわち、このコーパスの暗黙の統一原理は「認知を通じた世界の再解釈」であると解釈できる。</w:t>
      </w:r>
    </w:p>
    <w:p>
      <w:pPr>
        <w:spacing w:before="100" w:after="100"/>
        <w:jc w:val="both"/>
      </w:pPr>
      <w:r>
        <w:rPr>
          <w:rFonts w:ascii="Arial" w:cs="Arial" w:eastAsia="Arial" w:hAnsi="Arial"/>
          <w:sz w:val="22"/>
          <w:szCs w:val="22"/>
        </w:rPr>
        <w:t xml:space="preserve">エッジ構造を見ると、最強結合（weight=7）は「認知プロセス ↔ 言語構造」であり、「言語が認知を形成し、認知が言語を制約する」という双方向的な関係性がコーパスの基底に埋め込まれている。これはウィトゲンシュタイン的な「意味とは使用である」の実践的反映と見なせる。</w:t>
      </w:r>
    </w:p>
    <w:p>
      <w:pPr>
        <w:pBdr>
          <w:bottom w:val="single" w:color="2E4057" w:sz="4" w:space="1"/>
        </w:pBdr>
        <w:spacing w:before="200" w:after="200"/>
      </w:pPr>
    </w:p>
    <w:p>
      <w:pPr>
        <w:pStyle w:val="Heading1"/>
        <w:spacing w:before="360" w:after="200"/>
      </w:pPr>
      <w:r>
        <w:rPr>
          <w:rFonts w:ascii="Arial" w:cs="Arial" w:eastAsia="Arial" w:hAnsi="Arial"/>
          <w:b/>
          <w:bCs/>
          <w:sz w:val="32"/>
          <w:szCs w:val="32"/>
        </w:rPr>
        <w:t xml:space="preserve">2. パラダイム分布の解釈</w:t>
      </w:r>
    </w:p>
    <w:p>
      <w:pPr>
        <w:pStyle w:val="Heading2"/>
        <w:spacing w:before="280" w:after="160"/>
      </w:pPr>
      <w:r>
        <w:rPr>
          <w:rFonts w:ascii="Arial" w:cs="Arial" w:eastAsia="Arial" w:hAnsi="Arial"/>
          <w:b/>
          <w:bCs/>
          <w:sz w:val="26"/>
          <w:szCs w:val="26"/>
        </w:rPr>
        <w:t xml:space="preserve">2.1 分布の全体像</w:t>
      </w:r>
    </w:p>
    <w:p>
      <w:pPr>
        <w:spacing w:before="160" w:after="16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3960"/>
      </w:tblGrid>
      <w:tr>
        <w:trPr>
          <w:tblHeader/>
        </w:trPr>
        <w:tc>
          <w:tcPr>
            <w:tcW w:type="dxa" w:w="280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パラダイム</w:t>
            </w:r>
          </w:p>
        </w:tc>
        <w:tc>
          <w:tcPr>
            <w:tcW w:type="dxa" w:w="120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件数</w:t>
            </w:r>
          </w:p>
        </w:tc>
        <w:tc>
          <w:tcPr>
            <w:tcW w:type="dxa" w:w="120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比率</w:t>
            </w:r>
          </w:p>
        </w:tc>
        <w:tc>
          <w:tcPr>
            <w:tcW w:type="dxa" w:w="3960"/>
            <w:tcBorders>
              <w:top w:val="single" w:color="CCCCCC" w:sz="1"/>
              <w:left w:val="single" w:color="CCCCCC" w:sz="1"/>
              <w:bottom w:val="single" w:color="CCCCCC" w:sz="1"/>
              <w:right w:val="single" w:color="CCCCCC" w:sz="1"/>
            </w:tcBorders>
            <w:shd w:fill="2E4057"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解釈</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技術戦略的</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297</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48%</w:t>
            </w:r>
          </w:p>
        </w:tc>
        <w:tc>
          <w:tcPr>
            <w:tcW w:type="dxa" w:w="3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実装・プラットフォーム・ビジネス戦略</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認知科学的</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情報処理・学習・意思決定の認知モデル</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哲学的</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100</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16%</w:t>
            </w:r>
          </w:p>
        </w:tc>
        <w:tc>
          <w:tcPr>
            <w:tcW w:type="dxa" w:w="3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存在・意味・倫理・知識論</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社会工学的</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行動変容・社会システム設計</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存在論的</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1%</w:t>
            </w:r>
          </w:p>
        </w:tc>
        <w:tc>
          <w:tcPr>
            <w:tcW w:type="dxa" w:w="39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tcPr>
          <w:p>
            <w:r>
              <w:rPr>
                <w:rFonts w:ascii="Arial" w:cs="Arial" w:eastAsia="Arial" w:hAnsi="Arial"/>
                <w:sz w:val="20"/>
                <w:szCs w:val="20"/>
              </w:rPr>
              <w:t xml:space="preserve">実在・本質の探究</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その他</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生物学的・言語哲学的・文化記憶理論等</w:t>
            </w:r>
          </w:p>
        </w:tc>
      </w:tr>
    </w:tbl>
    <w:p>
      <w:pPr>
        <w:spacing w:before="160" w:after="160"/>
      </w:pPr>
    </w:p>
    <w:p>
      <w:pPr>
        <w:pStyle w:val="Heading2"/>
        <w:spacing w:before="280" w:after="160"/>
      </w:pPr>
      <w:r>
        <w:rPr>
          <w:rFonts w:ascii="Arial" w:cs="Arial" w:eastAsia="Arial" w:hAnsi="Arial"/>
          <w:b/>
          <w:bCs/>
          <w:sz w:val="26"/>
          <w:szCs w:val="26"/>
        </w:rPr>
        <w:t xml:space="preserve">2.2 技術戦略的（48%）の実態</w:t>
      </w:r>
    </w:p>
    <w:p>
      <w:pPr>
        <w:spacing w:before="100" w:after="100"/>
        <w:jc w:val="both"/>
      </w:pPr>
      <w:r>
        <w:rPr>
          <w:rFonts w:ascii="Arial" w:cs="Arial" w:eastAsia="Arial" w:hAnsi="Arial"/>
          <w:sz w:val="22"/>
          <w:szCs w:val="22"/>
        </w:rPr>
        <w:t xml:space="preserve">最多パラダイムだが、その内容は単純な技術トレンドの羅列ではない。クラウドコンピューティング（freq=11）、自然言語処理（freq=10）、機械学習（freq=6）が上位を占めるが、これらはいずれも「認知プロセス」と共起しており、純粋な技術概念として独立しているのではなく、認知・戦略的文脈に埋め込まれた形で機能している。技術を認知的フレームワークで解釈する視点が一貫している。</w:t>
      </w:r>
    </w:p>
    <w:p>
      <w:pPr>
        <w:pStyle w:val="Heading2"/>
        <w:spacing w:before="280" w:after="160"/>
      </w:pPr>
      <w:r>
        <w:rPr>
          <w:rFonts w:ascii="Arial" w:cs="Arial" w:eastAsia="Arial" w:hAnsi="Arial"/>
          <w:b/>
          <w:bCs/>
          <w:sz w:val="26"/>
          <w:szCs w:val="26"/>
        </w:rPr>
        <w:t xml:space="preserve">2.3 認知科学的（31%）が第2位である意味</w:t>
      </w:r>
    </w:p>
    <w:p>
      <w:pPr>
        <w:spacing w:before="100" w:after="100"/>
        <w:jc w:val="both"/>
      </w:pPr>
      <w:r>
        <w:rPr>
          <w:rFonts w:ascii="Arial" w:cs="Arial" w:eastAsia="Arial" w:hAnsi="Arial"/>
          <w:sz w:val="22"/>
          <w:szCs w:val="22"/>
        </w:rPr>
        <w:t xml:space="preserve">サイバーセキュリティのプラクティショナーのコーパスにおいて認知科学的パラダイムが31%を占めることは統計的に顕著である。「言語構造」（freq=8）、「認知アーキテクチャ」（freq=7）、「認知的枠組み」（freq=7）が高頻度ノードに並ぶことからも、技術的問題を認知的問題として再定義する知的習慣が形成されていることが読み取れる。2027年SaaSスタートアップが認知心理学を基盤とする設計である事実と完全に整合する。</w:t>
      </w:r>
    </w:p>
    <w:p>
      <w:pPr>
        <w:pStyle w:val="Heading2"/>
        <w:spacing w:before="280" w:after="160"/>
      </w:pPr>
      <w:r>
        <w:rPr>
          <w:rFonts w:ascii="Arial" w:cs="Arial" w:eastAsia="Arial" w:hAnsi="Arial"/>
          <w:b/>
          <w:bCs/>
          <w:sz w:val="26"/>
          <w:szCs w:val="26"/>
        </w:rPr>
        <w:t xml:space="preserve">2.4 哲学的（16%）の位置づけ</w:t>
      </w:r>
    </w:p>
    <w:p>
      <w:pPr>
        <w:spacing w:before="100" w:after="100"/>
        <w:jc w:val="both"/>
      </w:pPr>
      <w:r>
        <w:rPr>
          <w:rFonts w:ascii="Arial" w:cs="Arial" w:eastAsia="Arial" w:hAnsi="Arial"/>
          <w:sz w:val="22"/>
          <w:szCs w:val="22"/>
        </w:rPr>
        <w:t xml:space="preserve">「哲学的」パラダイムは技術・認知の両概念群をつなぐ「メタ言語」として機能している。「ai」（freq=8）が哲学的・認知科学的・技術戦略的の三パラダイムにまたがって出現するのがその典型例である。AIという概念が技術的実装の対象であると同時に、存在論的・認識論的問いの対象でもあるという複眼的把握が一貫している。</w:t>
      </w:r>
    </w:p>
    <w:p>
      <w:pPr>
        <w:pBdr>
          <w:bottom w:val="single" w:color="2E4057" w:sz="4" w:space="1"/>
        </w:pBdr>
        <w:spacing w:before="200" w:after="200"/>
      </w:pPr>
    </w:p>
    <w:p>
      <w:pPr>
        <w:pStyle w:val="Heading1"/>
        <w:spacing w:before="360" w:after="200"/>
      </w:pPr>
      <w:r>
        <w:rPr>
          <w:rFonts w:ascii="Arial" w:cs="Arial" w:eastAsia="Arial" w:hAnsi="Arial"/>
          <w:b/>
          <w:bCs/>
          <w:sz w:val="32"/>
          <w:szCs w:val="32"/>
        </w:rPr>
        <w:t xml:space="preserve">3. Top概念の意味的位置づけ</w:t>
      </w:r>
    </w:p>
    <w:p>
      <w:pPr>
        <w:pStyle w:val="Heading2"/>
        <w:spacing w:before="280" w:after="160"/>
      </w:pPr>
      <w:r>
        <w:rPr>
          <w:rFonts w:ascii="Arial" w:cs="Arial" w:eastAsia="Arial" w:hAnsi="Arial"/>
          <w:b/>
          <w:bCs/>
          <w:sz w:val="26"/>
          <w:szCs w:val="26"/>
        </w:rPr>
        <w:t xml:space="preserve">3.1 「認知プロセス」がハブである理由</w:t>
      </w:r>
    </w:p>
    <w:p>
      <w:pPr>
        <w:spacing w:before="100" w:after="100"/>
        <w:jc w:val="both"/>
      </w:pPr>
      <w:r>
        <w:rPr>
          <w:rFonts w:ascii="Arial" w:cs="Arial" w:eastAsia="Arial" w:hAnsi="Arial"/>
          <w:sz w:val="22"/>
          <w:szCs w:val="22"/>
        </w:rPr>
        <w:t xml:space="preserve">freq=34・degree=40という圧倒的な数値は、「認知プロセス」がコーパス内で34の文脈に出現し、40の異なる概念と直接結合していることを意味する。これは単なる高頻度語ではなく、コーパスの意味的重心として機能している証拠である。</w:t>
      </w:r>
    </w:p>
    <w:p>
      <w:pPr>
        <w:spacing w:before="100" w:after="100"/>
        <w:jc w:val="both"/>
      </w:pPr>
      <w:r>
        <w:rPr>
          <w:rFonts w:ascii="Arial" w:cs="Arial" w:eastAsia="Arial" w:hAnsi="Arial"/>
          <w:sz w:val="22"/>
          <w:szCs w:val="22"/>
        </w:rPr>
        <w:t xml:space="preserve">最強エッジ（weight=7）が「認知プロセス ↔ 言語構造」であることは示唆的だ。言語哲学（ウィトゲンシュタイン・オースティン）と認知科学（チョムスキー・レイコフ）の交差点がコーパスの最深部にある。さらに「認知プロセス → 意味構築」（w=3）、「言語 → 認知プロセス」（w=3）というエッジが示すように、「言語が認知を形成し、認知が意味を構築する」という三段のカスケードがグラフ構造として可視化されている。</w:t>
      </w:r>
    </w:p>
    <w:p>
      <w:pPr>
        <w:spacing w:before="100" w:after="100"/>
        <w:jc w:val="both"/>
      </w:pPr>
      <w:r>
        <w:rPr>
          <w:rFonts w:ascii="Arial" w:cs="Arial" w:eastAsia="Arial" w:hAnsi="Arial"/>
          <w:sz w:val="22"/>
          <w:szCs w:val="22"/>
        </w:rPr>
        <w:t xml:space="preserve">これはプラグマティクスや記号論の観点からも自然な構造であり、坂根コーパスがその知的関心を意識的・無意識的に言語哲学的問いへと収束させていることを示す。</w:t>
      </w:r>
    </w:p>
    <w:p>
      <w:pPr>
        <w:pStyle w:val="Heading2"/>
        <w:spacing w:before="280" w:after="160"/>
      </w:pPr>
      <w:r>
        <w:rPr>
          <w:rFonts w:ascii="Arial" w:cs="Arial" w:eastAsia="Arial" w:hAnsi="Arial"/>
          <w:b/>
          <w:bCs/>
          <w:sz w:val="26"/>
          <w:szCs w:val="26"/>
        </w:rPr>
        <w:t xml:space="preserve">3.2 技術概念群の特異な位置</w:t>
      </w:r>
    </w:p>
    <w:p>
      <w:pPr>
        <w:spacing w:before="100" w:after="100"/>
        <w:jc w:val="both"/>
      </w:pPr>
      <w:r>
        <w:rPr>
          <w:rFonts w:ascii="Arial" w:cs="Arial" w:eastAsia="Arial" w:hAnsi="Arial"/>
          <w:sz w:val="22"/>
          <w:szCs w:val="22"/>
        </w:rPr>
        <w:t xml:space="preserve">「クラウドコンピューティング」（freq=11）は純粋に技術戦略的パラダイムに属し、「インフェレンスエンドポイント」との強結合（w=4）を持つ。これはMLOps・AIインフラへの実践的関与を反映している。同様に「自然言語処理」（freq=10）も技術戦略的文脈で高頻度だが、「機械学習モデル ↔ インフェレンスエンドポイント」（w=4）というエッジとともに、AI実装の具体的パイプラインへの関心を示す。</w:t>
      </w:r>
    </w:p>
    <w:p>
      <w:pPr>
        <w:spacing w:before="100" w:after="100"/>
        <w:jc w:val="both"/>
      </w:pPr>
      <w:r>
        <w:rPr>
          <w:rFonts w:ascii="Arial" w:cs="Arial" w:eastAsia="Arial" w:hAnsi="Arial"/>
          <w:sz w:val="22"/>
          <w:szCs w:val="22"/>
        </w:rPr>
        <w:t xml:space="preserve">注目すべきは「ai」（freq=8）が「哲学的」パラダイムで初出している点だ。AIを技術ではなく哲学的問いとして最初に捉える視点が、その後の技術戦略的・認知科学的展開の基底にある。</w:t>
      </w:r>
    </w:p>
    <w:p>
      <w:pPr>
        <w:pStyle w:val="Heading2"/>
        <w:spacing w:before="280" w:after="160"/>
      </w:pPr>
      <w:r>
        <w:rPr>
          <w:rFonts w:ascii="Arial" w:cs="Arial" w:eastAsia="Arial" w:hAnsi="Arial"/>
          <w:b/>
          <w:bCs/>
          <w:sz w:val="26"/>
          <w:szCs w:val="26"/>
        </w:rPr>
        <w:t xml:space="preserve">3.3 「論理的推論」と「社会的影響」の位置</w:t>
      </w:r>
    </w:p>
    <w:p>
      <w:pPr>
        <w:spacing w:before="100" w:after="100"/>
        <w:jc w:val="both"/>
      </w:pPr>
      <w:r>
        <w:rPr>
          <w:rFonts w:ascii="Arial" w:cs="Arial" w:eastAsia="Arial" w:hAnsi="Arial"/>
          <w:sz w:val="22"/>
          <w:szCs w:val="22"/>
        </w:rPr>
        <w:t xml:space="preserve">「論理的推論」（freq=4）は認知科学的・技術戦略的の両パラダイムにまたがって出現する。これはAIシステムの推論能力を技術的に実装する関心と、人間の推論プロセスを認知科学的に理解する関心が並存していることを示す。「社会的影響」（freq=4）が哲学的・社会工学的・技術戦略的の三パラダイムにまたがることは、技術の社会的帰結への複眼的視点を反映する。</w:t>
      </w:r>
    </w:p>
    <w:p>
      <w:pPr>
        <w:pBdr>
          <w:bottom w:val="single" w:color="2E4057" w:sz="4" w:space="1"/>
        </w:pBdr>
        <w:spacing w:before="200" w:after="200"/>
      </w:pPr>
    </w:p>
    <w:p>
      <w:pPr>
        <w:pStyle w:val="Heading1"/>
        <w:spacing w:before="360" w:after="200"/>
      </w:pPr>
      <w:r>
        <w:rPr>
          <w:rFonts w:ascii="Arial" w:cs="Arial" w:eastAsia="Arial" w:hAnsi="Arial"/>
          <w:b/>
          <w:bCs/>
          <w:sz w:val="32"/>
          <w:szCs w:val="32"/>
        </w:rPr>
        <w:t xml:space="preserve">4. 総括：コーパスが示す知的プロフィール</w:t>
      </w:r>
    </w:p>
    <w:p>
      <w:pPr>
        <w:spacing w:before="100" w:after="100"/>
        <w:jc w:val="both"/>
      </w:pPr>
      <w:r>
        <w:rPr>
          <w:rFonts w:ascii="Arial" w:cs="Arial" w:eastAsia="Arial" w:hAnsi="Arial"/>
          <w:sz w:val="22"/>
          <w:szCs w:val="22"/>
        </w:rPr>
        <w:t xml:space="preserve">本コーパスの知識グラフ構造から浮かび上がる坂根コーパスの知的プロフィールは、以下の三層構造として整理できる。</w:t>
      </w:r>
    </w:p>
    <w:p>
      <w:pPr>
        <w:pStyle w:val="ListParagraph"/>
        <w:numPr>
          <w:ilvl w:val="0"/>
          <w:numId w:val="2"/>
        </w:numPr>
        <w:spacing w:before="60" w:after="60"/>
      </w:pPr>
      <w:r>
        <w:rPr>
          <w:rFonts w:ascii="Arial" w:cs="Arial" w:eastAsia="Arial" w:hAnsi="Arial"/>
          <w:sz w:val="22"/>
          <w:szCs w:val="22"/>
        </w:rPr>
        <w:t xml:space="preserve">基底層（哲学的）：言語・存在・意味論への問いが、技術・認知双方の概念群を下支えするメタフレームとして機能している。</w:t>
      </w:r>
    </w:p>
    <w:p>
      <w:pPr>
        <w:pStyle w:val="ListParagraph"/>
        <w:numPr>
          <w:ilvl w:val="0"/>
          <w:numId w:val="2"/>
        </w:numPr>
        <w:spacing w:before="60" w:after="60"/>
      </w:pPr>
      <w:r>
        <w:rPr>
          <w:rFonts w:ascii="Arial" w:cs="Arial" w:eastAsia="Arial" w:hAnsi="Arial"/>
          <w:sz w:val="22"/>
          <w:szCs w:val="22"/>
        </w:rPr>
        <w:t xml:space="preserve">媒介層（認知科学的）：認知プロセス・認知アーキテクチャ・言語構造が、哲学的問いと技術的実装をつなぐ翻訳装置として機能している。「認知プロセス」ハブはこの層の核心である。</w:t>
      </w:r>
    </w:p>
    <w:p>
      <w:pPr>
        <w:pStyle w:val="ListParagraph"/>
        <w:numPr>
          <w:ilvl w:val="0"/>
          <w:numId w:val="2"/>
        </w:numPr>
        <w:spacing w:before="60" w:after="60"/>
      </w:pPr>
      <w:r>
        <w:rPr>
          <w:rFonts w:ascii="Arial" w:cs="Arial" w:eastAsia="Arial" w:hAnsi="Arial"/>
          <w:sz w:val="22"/>
          <w:szCs w:val="22"/>
        </w:rPr>
        <w:t xml:space="preserve">表層（技術戦略的）：クラウド・NLP・MLという実装技術が、認知・哲学的基盤の上に乗った応用層として位置づけられる。</w:t>
      </w:r>
    </w:p>
    <w:p>
      <w:pPr>
        <w:spacing w:before="200" w:after="100"/>
      </w:pPr>
    </w:p>
    <w:p>
      <w:pPr>
        <w:spacing w:before="100" w:after="100"/>
        <w:jc w:val="both"/>
      </w:pPr>
      <w:r>
        <w:rPr>
          <w:rFonts w:ascii="Arial" w:cs="Arial" w:eastAsia="Arial" w:hAnsi="Arial"/>
          <w:sz w:val="22"/>
          <w:szCs w:val="22"/>
        </w:rPr>
        <w:t xml:space="preserve">この三層構造は、坂根氏が2027年に向けて設計する認知心理学基盤のSaaSプロダクトの知的根拠を、コーパス内の無意識的蓄積として先取りしていると解釈できる。プロダクト設計の方向性と知的蓄積の構造的整合性は高く、コーパスは単なるメモではなく、思考の外部化装置として機能している。</w:t>
      </w:r>
    </w:p>
    <w:p>
      <w:pPr>
        <w:spacing w:before="100" w:after="100"/>
        <w:jc w:val="both"/>
      </w:pPr>
      <w:r>
        <w:rPr>
          <w:rFonts w:ascii="Arial" w:cs="Arial" w:eastAsia="Arial" w:hAnsi="Arial"/>
          <w:sz w:val="22"/>
          <w:szCs w:val="22"/>
        </w:rPr>
        <w:t xml:space="preserve">今後の知識グラフ活用における推奨アクションは、「認知プロセス」ハブを起点とした概念クラスタリングの実施と、哲学的パラダイム群（100件）の時系列分析による思考変遷の可視化である。</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8"/>
        <w:szCs w:val="18"/>
      </w:rPr>
      <w:t xml:space="preserve">sakane-memex 知識グラフ分析レポート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4057"/>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2026-03-10T04:57:07.582Z</dcterms:created>
  <dcterms:modified xsi:type="dcterms:W3CDTF">2026-03-10T04:57:07.583Z</dcterms:modified>
</cp:coreProperties>
</file>

<file path=docProps/custom.xml><?xml version="1.0" encoding="utf-8"?>
<Properties xmlns="http://schemas.openxmlformats.org/officeDocument/2006/custom-properties" xmlns:vt="http://schemas.openxmlformats.org/officeDocument/2006/docPropsVTypes"/>
</file>