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BIZ-CBSTM03A.md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3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924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405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CBSTM03A.cbl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93 line reference(s) checked, all within bounds (max: 924)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4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DDname(s) in Appendix A not found in SELECT/ASSIGN statements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7/12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29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CUST-DOB-YYYY-MM-DD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FD-ACCT-ID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FD-CUST-ID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FD-TRNXS-ID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FD-XREF-CARD-NUM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TRNX-FILE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ddname_accuracy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4 DDname(s) in Appendix A not found in SELECT/ASSIGN statements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TRNXFILE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Verdict: CONDITIONAL</w:t>
      </w:r>
      <w:r>
        <w:rPr>
          <w:rFonts w:ascii="Calibri" w:hAnsi="Calibri"/>
          <w:b w:val="0"/>
          <w:i w:val="0"/>
          <w:sz w:val="20"/>
        </w:rPr>
        <w:t xml:space="preserve"> — 5 passed · 0 failed · 1 warned · 0 skipped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ALTER/GO TO state machine, PSA/TCB/TIOT traversal, main loop, and 2D table load accurately described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file-status error paths and bare CEE3ABD call verified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migration notes verified including 51×10 array bounds, ALTER/GO TO, and CEE3ABD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copybook fields and FD inline layouts match source exactly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CBSTM03B call interface (operation codes, LK-M03B-AREA parameter) accurately described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Phase 1 ddname_accuracy WARN (TRNXFILE/XREFFILE/CUSTFILE/ACCTFILE) not explained in document body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S1 — Program Flow: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accurately describes the two-phase startup: the ALTER/GO TO state machine at 0000-MAIN initializing execution entry points for 1000-PROCESS-TRNX-FILE, 2000-PROCESS-XREF-FILE, 3000-PROCESS-CUST-FILE, and 4000-PROCESS-ACCT-FILE before each file-read loop. The PSA/TCB/TIOT control-block traversal for job-name extraction (lines 37–60) is correctly described with the POINTER arithmetic. The in-memory 51-row × 10-column transaction array and the CBSTM03B subroutine delegation for all file I/O are both accurately documented. The main statement-generation loop structure matches source.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S2 — Error Handling: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error paths verified against source: STMT-FILE and HTML-FILE open-error checks with CEE3ABD invocation, CBSTM03B status propagation via LK-M03B-STATUS, and the program's own CEE3ABD call at line 922 (bare, without USING). The document correctly notes that CBSTM03B owns file-status capture and that CBSTM03A evaluates the returned status code.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S3 — Migration Notes: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12 migration notes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51×10 fixed array boundary (line ~250 area) — overflow risk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ALTER/GO TO eliminated by Java: state machine must be replaced with explicit control flow.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PSA/TCB/TIOT (mainframe-only control blocks) cannot migrate as-is —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CEE3ABD bare call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COMP-3 fields from referenced copybooks flagged for BigDecimal mapping.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S4 — Copybook Fields: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Fields from COSTM01, CVACT03Y, CVCUS01Y (CUSTREC referenced as), and CVACT01Y all verified. No COMP-3 fields in CVACT01Y (all display) — the document correctly characterizes the account record layout. The ACCT-EXPIRAION-DATE typo in CVACT01Y is noted. CVACT03Y XREF-ACCT-ID is PIC 9(11) display (not COMP-3) — correctly described.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S5 — External Calls: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CBSTM03B is called with USING LK-M03B-AREA. The document correctly lists all operation codes: 'O' (open), 'C' (close), 'R' (read), 'N' (read next). Call-site line numbers, LK-M03B-DD values (TRNXFILE, XREFFILE, CUSTFILE, ACCTFILE), and LK-M03B-STATUS propagation are all accurately described.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S6 — Completeness: WARN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Phase 1 mechanical check flagged four DDnames (TRNXFILE, XREFFILE, CUSTFILE, ACCTFILE) as not found in CBSTM03A's SELECT/ASSIGN statements. This is correct — these DDnames live in CBSTM03B. The BIZ document's Appendix A table uses logical names (TRNX-FILE, CUST-FILE, ACCT-FILE, XREF-FILE) which differ from the actual COBOL SELECT names in CBSTM03B (TRNXFILE, CUSTFILE, ACCTFILE, XREFFILE — no hyphen). A developer consulting Appendix A to configure JCL DD statements would need to cross-reference CBSTM03B to obtain the correct DDnames. A note in Appendix A directing the reader to CBSTM03B Appendix A for authoritative DDnames would prevent this confusion.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