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b/>
          <w:bCs/>
          <w:color w:val="1F3864"/>
          <w:sz w:val="40"/>
          <w:szCs w:val="40"/>
        </w:rPr>
        <w:t xml:space="preserve">Software Requirements Specification</w:t>
      </w:r>
    </w:p>
    <w:p>
      <w:pPr>
        <w:spacing w:after="600"/>
        <w:jc w:val="center"/>
      </w:pPr>
      <w:r>
        <w:rPr>
          <w:b/>
          <w:bCs/>
          <w:color w:val="2E5395"/>
          <w:sz w:val="30"/>
          <w:szCs w:val="30"/>
        </w:rPr>
        <w:t xml:space="preserve">Sakar Robotics Fleet, Customer, and Inventory Management Platform</w:t>
      </w:r>
    </w:p>
    <w:p>
      <w:pPr>
        <w:spacing w:after="1000"/>
        <w:jc w:val="center"/>
      </w:pPr>
      <w:r>
        <w:rPr>
          <w:i/>
          <w:iCs/>
          <w:sz w:val="22"/>
          <w:szCs w:val="22"/>
        </w:rPr>
        <w:t xml:space="preserve">Prepared for business stakeholders, product management, design, and engineering teams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Document Property</w:t>
            </w:r>
          </w:p>
        </w:tc>
        <w:tc>
          <w:tcPr>
            <w:tcW w:type="dxa" w:w="57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Value</w:t>
            </w:r>
          </w:p>
        </w:tc>
      </w:tr>
      <w:tr>
        <w:tc>
          <w:tcPr>
            <w:tcW w:type="dxa" w:w="3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Document Title</w:t>
            </w:r>
          </w:p>
        </w:tc>
        <w:tc>
          <w:tcPr>
            <w:tcW w:type="dxa" w:w="5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SRS — Sakar Robotics Fleet, Customer, and Inventory Management Platform</w:t>
            </w:r>
          </w:p>
        </w:tc>
      </w:tr>
      <w:tr>
        <w:tc>
          <w:tcPr>
            <w:tcW w:type="dxa" w:w="3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Version</w:t>
            </w:r>
          </w:p>
        </w:tc>
        <w:tc>
          <w:tcPr>
            <w:tcW w:type="dxa" w:w="5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1.0 (Draft)</w:t>
            </w:r>
          </w:p>
        </w:tc>
      </w:tr>
      <w:tr>
        <w:tc>
          <w:tcPr>
            <w:tcW w:type="dxa" w:w="3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Date</w:t>
            </w:r>
          </w:p>
        </w:tc>
        <w:tc>
          <w:tcPr>
            <w:tcW w:type="dxa" w:w="5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21 August 2026</w:t>
            </w:r>
          </w:p>
        </w:tc>
      </w:tr>
      <w:tr>
        <w:tc>
          <w:tcPr>
            <w:tcW w:type="dxa" w:w="3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Classification</w:t>
            </w:r>
          </w:p>
        </w:tc>
        <w:tc>
          <w:tcPr>
            <w:tcW w:type="dxa" w:w="5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Internal — Confidential</w:t>
            </w:r>
          </w:p>
        </w:tc>
      </w:tr>
      <w:tr>
        <w:tc>
          <w:tcPr>
            <w:tcW w:type="dxa" w:w="3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Prepared For</w:t>
            </w:r>
          </w:p>
        </w:tc>
        <w:tc>
          <w:tcPr>
            <w:tcW w:type="dxa" w:w="5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Robotics business stakeholders, product managers, designers, developers</w:t>
            </w:r>
          </w:p>
        </w:tc>
      </w:tr>
      <w:tr>
        <w:tc>
          <w:tcPr>
            <w:tcW w:type="dxa" w:w="3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Product Owner</w:t>
            </w:r>
          </w:p>
        </w:tc>
        <w:tc>
          <w:tcPr>
            <w:tcW w:type="dxa" w:w="5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Robotics — to be assigned</w:t>
            </w:r>
          </w:p>
        </w:tc>
      </w:tr>
      <w:tr>
        <w:tc>
          <w:tcPr>
            <w:tcW w:type="dxa" w:w="3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Status</w:t>
            </w:r>
          </w:p>
        </w:tc>
        <w:tc>
          <w:tcPr>
            <w:tcW w:type="dxa" w:w="5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Draft — pending stakeholder review (see Section 15)</w:t>
            </w:r>
          </w:p>
        </w:tc>
      </w:tr>
    </w:tbl>
    <w:p>
      <w:r>
        <w:br w:type="page"/>
      </w:r>
    </w:p>
    <w:p>
      <w:pPr>
        <w:pStyle w:val="Heading1"/>
        <w:spacing w:after="200" w:before="420"/>
      </w:pPr>
      <w: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pPr>
        <w:spacing w:after="160"/>
      </w:pPr>
      <w:r>
        <w:rPr>
          <w:i/>
          <w:iCs/>
          <w:color w:val="555555"/>
          <w:sz w:val="18"/>
          <w:szCs w:val="18"/>
        </w:rPr>
        <w:t xml:space="preserve">Field codes: right-click the table above and choose “Update Field” after opening in Word to populate section page numbers.</w:t>
      </w:r>
    </w:p>
    <w:p>
      <w:r>
        <w:br w:type="page"/>
      </w:r>
    </w:p>
    <w:p>
      <w:pPr>
        <w:pStyle w:val="Heading1"/>
        <w:spacing w:after="200" w:before="420"/>
      </w:pPr>
      <w:r>
        <w:t xml:space="preserve">1. Executive Summary</w:t>
      </w:r>
    </w:p>
    <w:p>
      <w:pPr>
        <w:spacing w:after="160"/>
      </w:pPr>
      <w:r>
        <w:rPr>
          <w:b w:val="false"/>
          <w:bCs w:val="false"/>
          <w:i w:val="false"/>
          <w:iCs w:val="false"/>
        </w:rPr>
        <w:t xml:space="preserve">Sakar Robotics distributes, deploys, and supports Keenon commercial service robots through a multi-tier business network of distributors, sub-distributors, and direct clients. Today this business is coordinated through spreadsheets, email, and the Keenon vendor portal, which makes it difficult to track which organization owns which robot, who is authorized to see which customer's data, how spare parts and consumables are consumed across the network, and whether a robot is actually online and completing tasks.</w:t>
      </w:r>
    </w:p>
    <w:p>
      <w:pPr>
        <w:spacing w:after="160"/>
      </w:pPr>
      <w:r>
        <w:rPr>
          <w:b w:val="false"/>
          <w:bCs w:val="false"/>
          <w:i w:val="false"/>
          <w:iCs w:val="false"/>
        </w:rPr>
        <w:t xml:space="preserve">This document specifies the requirements for the Sakar Robotics Fleet, Customer, and Inventory Management Platform (“the Platform”): a web-based system that models Sakar Robotics' business hierarchy, enforces strict role-based and organization-based access control, manages the robot fleet lifecycle end-to-end, tracks service inventory (consumables and spare parts), and integrates with the Keenon Open Platform to synchronize robot telemetry and dispatch tasks.</w:t>
      </w:r>
    </w:p>
    <w:p>
      <w:pPr>
        <w:spacing w:after="160"/>
      </w:pPr>
      <w:r>
        <w:rPr>
          <w:b w:val="false"/>
          <w:bCs w:val="false"/>
          <w:i w:val="false"/>
          <w:iCs w:val="false"/>
        </w:rPr>
        <w:t xml:space="preserve">The Platform is designed around one non-negotiable principle: every organization in the network can see and act on its own data and the data of its authorized descendants — and nothing else. Distributors and sub-distributors must never be able to view, search, export, or modify data belonging to Sakar's direct clients, sibling distributors, or unrelated branches of the hierarchy. This is enforced structurally through organization-scoped data access, not merely through UI hiding.</w:t>
      </w:r>
    </w:p>
    <w:p>
      <w:pPr>
        <w:pStyle w:val="Heading2"/>
        <w:spacing w:after="140" w:before="280"/>
      </w:pPr>
      <w:r>
        <w:t xml:space="preserve">1.1 Document Purpose</w:t>
      </w:r>
    </w:p>
    <w:p>
      <w:pPr>
        <w:spacing w:after="160"/>
      </w:pPr>
      <w:r>
        <w:rPr>
          <w:b w:val="false"/>
          <w:bCs w:val="false"/>
          <w:i w:val="false"/>
          <w:iCs w:val="false"/>
        </w:rPr>
        <w:t xml:space="preserve">This SRS defines the functional and non-functional requirements, data model, access-control rules, Keenon integration contract, and delivery roadmap for the Platform. It is intended to align business stakeholders, product managers, UX designers, and engineers on a single source of truth before design and development begin.</w:t>
      </w:r>
    </w:p>
    <w:p>
      <w:pPr>
        <w:pStyle w:val="Heading2"/>
        <w:spacing w:after="140" w:before="280"/>
      </w:pPr>
      <w:r>
        <w:t xml:space="preserve">1.2 Intended Audience</w:t>
      </w:r>
    </w:p>
    <w:p>
      <w:pPr>
        <w:pStyle w:val="ListParagraph"/>
        <w:numPr>
          <w:ilvl w:val="0"/>
          <w:numId w:val="1"/>
        </w:numPr>
        <w:spacing w:after="70"/>
      </w:pPr>
      <w:r>
        <w:t xml:space="preserve">Business stakeholders — validate that the platform reflects real Sakar Robotics business rules and revenue model.</w:t>
      </w:r>
    </w:p>
    <w:p>
      <w:pPr>
        <w:pStyle w:val="ListParagraph"/>
        <w:numPr>
          <w:ilvl w:val="0"/>
          <w:numId w:val="1"/>
        </w:numPr>
        <w:spacing w:after="70"/>
      </w:pPr>
      <w:r>
        <w:t xml:space="preserve">Product managers — use this document to scope releases, write backlogs, and prioritize the MVP.</w:t>
      </w:r>
    </w:p>
    <w:p>
      <w:pPr>
        <w:pStyle w:val="ListParagraph"/>
        <w:numPr>
          <w:ilvl w:val="0"/>
          <w:numId w:val="1"/>
        </w:numPr>
        <w:spacing w:after="70"/>
      </w:pPr>
      <w:r>
        <w:t xml:space="preserve">UX/UI designers — use the roles, workflows, and permission matrix to design role-appropriate screens.</w:t>
      </w:r>
    </w:p>
    <w:p>
      <w:pPr>
        <w:pStyle w:val="ListParagraph"/>
        <w:numPr>
          <w:ilvl w:val="0"/>
          <w:numId w:val="1"/>
        </w:numPr>
        <w:spacing w:after="70"/>
      </w:pPr>
      <w:r>
        <w:t xml:space="preserve">Developers and architects — use the data model, API integration, and security requirements to design the system.</w:t>
      </w:r>
    </w:p>
    <w:p>
      <w:pPr>
        <w:pStyle w:val="Heading1"/>
        <w:spacing w:after="200" w:before="420"/>
      </w:pPr>
      <w:r>
        <w:t xml:space="preserve">2. Business Objectives</w:t>
      </w:r>
    </w:p>
    <w:p>
      <w:pPr>
        <w:spacing w:after="160"/>
      </w:pPr>
      <w:r>
        <w:rPr>
          <w:b w:val="false"/>
          <w:bCs w:val="false"/>
          <w:i w:val="false"/>
          <w:iCs w:val="false"/>
        </w:rPr>
        <w:t xml:space="preserve">The Platform must deliver measurable business value in addition to functional correctness. Key objectives: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2600"/>
        <w:gridCol w:w="3860"/>
        <w:gridCol w:w="220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w:t>
            </w:r>
          </w:p>
        </w:tc>
        <w:tc>
          <w:tcPr>
            <w:tcW w:type="dxa" w:w="26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Objective</w:t>
            </w:r>
          </w:p>
        </w:tc>
        <w:tc>
          <w:tcPr>
            <w:tcW w:type="dxa" w:w="38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Description</w:t>
            </w:r>
          </w:p>
        </w:tc>
        <w:tc>
          <w:tcPr>
            <w:tcW w:type="dxa" w:w="22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Success Metric</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O1</w:t>
            </w:r>
          </w:p>
        </w:tc>
        <w:tc>
          <w:tcPr>
            <w:tcW w:type="dxa" w:w="2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Centralize the sales/service hierarchy</w:t>
            </w:r>
          </w:p>
        </w:tc>
        <w:tc>
          <w:tcPr>
            <w:tcW w:type="dxa" w:w="3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Model Sakar Robotics, distributors, sub-distributors, and clients in one system of record instead of spreadsheets.</w:t>
            </w:r>
          </w:p>
        </w:tc>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100% of active partners and clients onboarded within Phase 1</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O2</w:t>
            </w:r>
          </w:p>
        </w:tc>
        <w:tc>
          <w:tcPr>
            <w:tcW w:type="dxa" w:w="2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Guarantee data isolation between partners</w:t>
            </w:r>
          </w:p>
        </w:tc>
        <w:tc>
          <w:tcPr>
            <w:tcW w:type="dxa" w:w="3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Prevent any distributor/sub-distributor from viewing another partner's customers, robots, or inventory.</w:t>
            </w:r>
          </w:p>
        </w:tc>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Zero cross-tenant data-access incidents in audit review</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O3</w:t>
            </w:r>
          </w:p>
        </w:tc>
        <w:tc>
          <w:tcPr>
            <w:tcW w:type="dxa" w:w="2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Provide full fleet visibility</w:t>
            </w:r>
          </w:p>
        </w:tc>
        <w:tc>
          <w:tcPr>
            <w:tcW w:type="dxa" w:w="3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Give Sakar Admin real-time visibility into every robot's status, location, battery, and task history.</w:t>
            </w:r>
          </w:p>
        </w:tc>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 95% of active robots report live status via Keenon sync</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O4</w:t>
            </w:r>
          </w:p>
        </w:tc>
        <w:tc>
          <w:tcPr>
            <w:tcW w:type="dxa" w:w="2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Reduce service downtime</w:t>
            </w:r>
          </w:p>
        </w:tc>
        <w:tc>
          <w:tcPr>
            <w:tcW w:type="dxa" w:w="3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Track spare parts and consumables so technicians can see stock availability before a service visit.</w:t>
            </w:r>
          </w:p>
        </w:tc>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Reduce parts-related repeat visits by a target %, to be set with Ops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O5</w:t>
            </w:r>
          </w:p>
        </w:tc>
        <w:tc>
          <w:tcPr>
            <w:tcW w:type="dxa" w:w="2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Enable partner self-service</w:t>
            </w:r>
          </w:p>
        </w:tc>
        <w:tc>
          <w:tcPr>
            <w:tcW w:type="dxa" w:w="3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Let distributors and clients manage their own users, sites, and operators without Sakar involvement.</w:t>
            </w:r>
          </w:p>
        </w:tc>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 80% of partner-level admin actions performed without a Sakar support ticket</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O6</w:t>
            </w:r>
          </w:p>
        </w:tc>
        <w:tc>
          <w:tcPr>
            <w:tcW w:type="dxa" w:w="2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business growth</w:t>
            </w:r>
          </w:p>
        </w:tc>
        <w:tc>
          <w:tcPr>
            <w:tcW w:type="dxa" w:w="3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Allow Sakar to onboard new distributors, sub-distributors, and clients without re-architecture.</w:t>
            </w:r>
          </w:p>
        </w:tc>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Onboarding a new partner requires configuration only, no code changes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O7</w:t>
            </w:r>
          </w:p>
        </w:tc>
        <w:tc>
          <w:tcPr>
            <w:tcW w:type="dxa" w:w="2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Provide auditability and compliance</w:t>
            </w:r>
          </w:p>
        </w:tc>
        <w:tc>
          <w:tcPr>
            <w:tcW w:type="dxa" w:w="3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Maintain a complete, tamper-resistant audit trail of who did what, where, and when.</w:t>
            </w:r>
          </w:p>
        </w:tc>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100% of create/update/delete/export actions logged and retrievable</w:t>
            </w:r>
          </w:p>
        </w:tc>
      </w:tr>
    </w:tbl>
    <w:p>
      <w:pPr>
        <w:pStyle w:val="Heading1"/>
        <w:spacing w:after="200" w:before="420"/>
      </w:pPr>
      <w:r>
        <w:t xml:space="preserve">3. User Roles and Organization Hierarchy</w:t>
      </w:r>
    </w:p>
    <w:p>
      <w:pPr>
        <w:spacing w:after="160"/>
      </w:pPr>
      <w:r>
        <w:rPr>
          <w:b w:val="false"/>
          <w:bCs w:val="false"/>
          <w:i w:val="false"/>
          <w:iCs w:val="false"/>
        </w:rPr>
        <w:t xml:space="preserve">The Platform's access model is built on two intersecting concepts: the Organization Hierarchy (who reports to whom in the business network) and Roles (what a given user is allowed to do). A user's effective permissions are always the intersection of their Role and the Organization scope they belong to.</w:t>
      </w:r>
    </w:p>
    <w:p>
      <w:pPr>
        <w:pStyle w:val="Heading2"/>
        <w:spacing w:after="140" w:before="280"/>
      </w:pPr>
      <w:r>
        <w:t xml:space="preserve">3.1 Organization Hierarchy</w:t>
      </w:r>
    </w:p>
    <w:p>
      <w:pPr>
        <w:spacing w:after="200"/>
      </w:pPr>
      <w:r>
        <w:rPr>
          <w:rFonts w:ascii="Consolas" w:cs="Consolas" w:eastAsia="Consolas" w:hAnsi="Consolas"/>
          <w:sz w:val="19"/>
          <w:szCs w:val="19"/>
        </w:rPr>
        <w:t xml:space="preserve">Sakar Robotics (Root Organization)
  └─ Sakar Admin / Sakar Staff  (operate on behalf of the root organization)
       ├─ Distributor
       │    ├─ Sub-distributor
       │    │    └─ Client
       │    └─ Client  (direct client of the Distributor, no sub-distributor layer)
       └─ Direct Client  (client of Sakar Robotics with no distributor intermediary)</w:t>
      </w:r>
    </w:p>
    <w:p>
      <w:pPr>
        <w:spacing w:after="160"/>
      </w:pPr>
      <w:r>
        <w:rPr>
          <w:i/>
          <w:iCs/>
          <w:color w:val="555555"/>
          <w:sz w:val="18"/>
          <w:szCs w:val="18"/>
        </w:rPr>
        <w:t xml:space="preserve">A Client node under a Sub-distributor, a Client node directly under a Distributor, and a Direct Client node under Sakar Robotics are structurally identical records — only their parent organization differs.</w:t>
      </w:r>
    </w:p>
    <w:p>
      <w:pPr>
        <w:pStyle w:val="Heading2"/>
        <w:spacing w:after="140" w:before="280"/>
      </w:pPr>
      <w:r>
        <w:t xml:space="preserve">3.2 Organization Node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760"/>
        <w:gridCol w:w="4600"/>
      </w:tblGrid>
      <w:tr>
        <w:trPr>
          <w:tblHeader/>
        </w:trPr>
        <w:tc>
          <w:tcPr>
            <w:tcW w:type="dxa" w:w="20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Node</w:t>
            </w:r>
          </w:p>
        </w:tc>
        <w:tc>
          <w:tcPr>
            <w:tcW w:type="dxa" w:w="27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Created / Managed By</w:t>
            </w:r>
          </w:p>
        </w:tc>
        <w:tc>
          <w:tcPr>
            <w:tcW w:type="dxa" w:w="46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Scope of Authority</w:t>
            </w:r>
          </w:p>
        </w:tc>
      </w:tr>
      <w:tr>
        <w:tc>
          <w:tcPr>
            <w:tcW w:type="dxa" w:w="2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Robotics (Root)</w:t>
            </w:r>
          </w:p>
        </w:tc>
        <w:tc>
          <w:tcPr>
            <w:tcW w:type="dxa" w:w="2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System-provisioned at deployment</w:t>
            </w:r>
          </w:p>
        </w:tc>
        <w:tc>
          <w:tcPr>
            <w:tcW w:type="dxa" w:w="4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Represents the company; not directly editable</w:t>
            </w:r>
          </w:p>
        </w:tc>
      </w:tr>
      <w:tr>
        <w:tc>
          <w:tcPr>
            <w:tcW w:type="dxa" w:w="2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2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Robotics (initial setup)</w:t>
            </w:r>
          </w:p>
        </w:tc>
        <w:tc>
          <w:tcPr>
            <w:tcW w:type="dxa" w:w="4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Full unrestricted access to all organizations, users, robots, inventory, and reports</w:t>
            </w:r>
          </w:p>
        </w:tc>
      </w:tr>
      <w:tr>
        <w:tc>
          <w:tcPr>
            <w:tcW w:type="dxa" w:w="2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Staff (Authorized)</w:t>
            </w:r>
          </w:p>
        </w:tc>
        <w:tc>
          <w:tcPr>
            <w:tcW w:type="dxa" w:w="2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4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Elevated staff granted permission to create Distributors and/or Direct Clients</w:t>
            </w:r>
          </w:p>
        </w:tc>
      </w:tr>
      <w:tr>
        <w:tc>
          <w:tcPr>
            <w:tcW w:type="dxa" w:w="2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Staff (Standard)</w:t>
            </w:r>
          </w:p>
        </w:tc>
        <w:tc>
          <w:tcPr>
            <w:tcW w:type="dxa" w:w="2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4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Operational/support staff with view access within an assigned scope; cannot create organizations</w:t>
            </w:r>
          </w:p>
        </w:tc>
      </w:tr>
      <w:tr>
        <w:tc>
          <w:tcPr>
            <w:tcW w:type="dxa" w:w="2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w:t>
            </w:r>
          </w:p>
        </w:tc>
        <w:tc>
          <w:tcPr>
            <w:tcW w:type="dxa" w:w="2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or Authorized Sakar Staff</w:t>
            </w:r>
          </w:p>
        </w:tc>
        <w:tc>
          <w:tcPr>
            <w:tcW w:type="dxa" w:w="4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Manages its own Sub-distributors and Clients only; no visibility into other Distributors</w:t>
            </w:r>
          </w:p>
        </w:tc>
      </w:tr>
      <w:tr>
        <w:tc>
          <w:tcPr>
            <w:tcW w:type="dxa" w:w="2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Sub-distributor</w:t>
            </w:r>
          </w:p>
        </w:tc>
        <w:tc>
          <w:tcPr>
            <w:tcW w:type="dxa" w:w="2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Its parent Distributor</w:t>
            </w:r>
          </w:p>
        </w:tc>
        <w:tc>
          <w:tcPr>
            <w:tcW w:type="dxa" w:w="4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Manages its own Clients only; no visibility into sibling Sub-distributors or the Distributor's other branches</w:t>
            </w:r>
          </w:p>
        </w:tc>
      </w:tr>
      <w:tr>
        <w:tc>
          <w:tcPr>
            <w:tcW w:type="dxa" w:w="2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w:t>
            </w:r>
          </w:p>
        </w:tc>
        <w:tc>
          <w:tcPr>
            <w:tcW w:type="dxa" w:w="27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Its parent Distributor or Sub-distributor</w:t>
            </w:r>
          </w:p>
        </w:tc>
        <w:tc>
          <w:tcPr>
            <w:tcW w:type="dxa" w:w="46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Manages its own internal users, sites, and robot operators only</w:t>
            </w:r>
          </w:p>
        </w:tc>
      </w:tr>
      <w:tr>
        <w:tc>
          <w:tcPr>
            <w:tcW w:type="dxa" w:w="2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Direct Client</w:t>
            </w:r>
          </w:p>
        </w:tc>
        <w:tc>
          <w:tcPr>
            <w:tcW w:type="dxa" w:w="27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 or Authorized Sakar Staff</w:t>
            </w:r>
          </w:p>
        </w:tc>
        <w:tc>
          <w:tcPr>
            <w:tcW w:type="dxa" w:w="46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Functionally identical to Client; reports directly to Sakar Robotics</w:t>
            </w:r>
          </w:p>
        </w:tc>
      </w:tr>
    </w:tbl>
    <w:p>
      <w:pPr>
        <w:pStyle w:val="Heading2"/>
        <w:spacing w:after="140" w:before="280"/>
      </w:pPr>
      <w:r>
        <w:t xml:space="preserve">3.3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800"/>
        <w:gridCol w:w="4560"/>
      </w:tblGrid>
      <w:tr>
        <w:trPr>
          <w:tblHeader/>
        </w:trPr>
        <w:tc>
          <w:tcPr>
            <w:tcW w:type="dxa" w:w="30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Role</w:t>
            </w:r>
          </w:p>
        </w:tc>
        <w:tc>
          <w:tcPr>
            <w:tcW w:type="dxa" w:w="18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Organization Level</w:t>
            </w:r>
          </w:p>
        </w:tc>
        <w:tc>
          <w:tcPr>
            <w:tcW w:type="dxa" w:w="45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Primary Responsibilities</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Robotics (root)</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Full platform administration: users, all organizations, robots, inventory, Keenon integration config, global reporting</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Staff — Authorized</w:t>
            </w:r>
          </w:p>
        </w:tc>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Robotics (root)</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Create/manage Distributors and Direct Clients per granted permission flags; assist with fleet and inventory setup</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Staff — Standard</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Robotics (root)</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Read-only operational support within an assigned scope; escalates changes to Sakar Admin</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Distributor Admin</w:t>
            </w:r>
          </w:p>
        </w:tc>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Distributor</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Manage own Sub-distributors, Clients, sites, users, inventory allocation, and reporting</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Staff</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View-only operational role within the Distributor's own organization tree</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Sub-distributor Admin</w:t>
            </w:r>
          </w:p>
        </w:tc>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Sub-distributor</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Manage own Clients, sites, users, inventory allocation, and reporting</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Sub-distributor Staff</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Sub-distributor</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View-only operational role within the Sub-distributor's own organization tree</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Admin (incl. Direct Client Admin)</w:t>
            </w:r>
          </w:p>
        </w:tc>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 Direct Client</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Manage own internal users, sites, robot operators, inventory consumption, and site-level reporting</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 User / Site Manager</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 / Direct Client</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Day-to-day site operations: view robots, view/consume inventory, view site reports</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 Operator</w:t>
            </w:r>
          </w:p>
        </w:tc>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 Direct Client</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Send permitted robot tasks at an assigned site; view assigned robot status</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Technician</w:t>
            </w:r>
          </w:p>
        </w:tc>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Any organization performing service</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Perform service visits; consume spare parts/consumables; record service history</w:t>
            </w:r>
          </w:p>
        </w:tc>
      </w:tr>
    </w:tbl>
    <w:p>
      <w:pPr>
        <w:pStyle w:val="Heading1"/>
        <w:spacing w:after="200" w:before="420"/>
      </w:pPr>
      <w:r>
        <w:t xml:space="preserve">4. Functional Requirements</w:t>
      </w:r>
    </w:p>
    <w:p>
      <w:pPr>
        <w:spacing w:after="160"/>
      </w:pPr>
      <w:r>
        <w:rPr>
          <w:b w:val="false"/>
          <w:bCs w:val="false"/>
          <w:i w:val="false"/>
          <w:iCs w:val="false"/>
        </w:rPr>
        <w:t xml:space="preserve">Requirements are grouped by module and prioritized using MoSCoW (Must / Should / Could).</w:t>
      </w:r>
    </w:p>
    <w:p>
      <w:pPr>
        <w:pStyle w:val="Heading2"/>
        <w:spacing w:after="140" w:before="280"/>
      </w:pPr>
      <w:r>
        <w:t xml:space="preserve">4.1 Organization &amp; Access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Support a hierarchical organization model with types Root, Distributor, Sub-distributor, Client, and Direct Client.</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 can create, edit, deactivate, and reactivate any organization or user account in the system.</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can grant granular “Authorized Staff” permission flags to Sakar Staff accounts (e.g. “Can create Distributors”, “Can create Direct Clients”).</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Authorized Sakar Staff can create and manage only Distributor and Direct Client organizations, limited to their granted flags.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OAM-5</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Distributor Admin can create and manage only Sub-distributor and Client organizations that are descendants of their own organization.</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OAM-6</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Sub-distributor Admin can create and manage only Client organizations that are descendants of their own organization.</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OAM-7</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Client Admin can create and manage only internal users, sites, and robot operators within their own organization.</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OAM-8</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Every organization record stores an immutable parent-organization reference and a materialized hierarchy path used for scoped-query enforcement.</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OAM-9</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system prevents deletion of an organization that has active descendants, users, robots, or inventory, unless a cascading deactivation is explicitly confirmed by Sakar Admin.</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OAM-10</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Organizations and users can be deactivated (soft-disabled) without losing historical records.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Should</w:t>
            </w:r>
          </w:p>
        </w:tc>
      </w:tr>
    </w:tbl>
    <w:p>
      <w:pPr>
        <w:pStyle w:val="Heading2"/>
        <w:spacing w:after="140" w:before="280"/>
      </w:pPr>
      <w:r>
        <w:t xml:space="preserve">4.2 User &amp; Role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URM-1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Create a user with name, email, phone, organization, and role; send an email invitation with an expiring activation link.</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URM-2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Enforce a configurable password policy and support optional multi-factor authentication (MFA).</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URM-3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Role assignment is always scoped to the assigning user's own organization or an authorized descendant — a user can never be created in an organization the creator cannot access.</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URM-4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Users can view and edit their own profile (name, phone, password, MFA) but not their role or organization.</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Should</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URM-5</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and organization admins can suspend or reactivate a user account within their scope.</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bl>
    <w:p>
      <w:pPr>
        <w:pStyle w:val="Heading2"/>
        <w:spacing w:after="140" w:before="280"/>
      </w:pPr>
      <w:r>
        <w:t xml:space="preserve">4.3 Robot Fleet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RFM-1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Register a robot with model, serial number, Keenon robot ID, ownership organization, warranty period, and commissioning date.</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RFM-2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Assign a robot to a client organization and a specific customer site; reassignment is logged with before/after values.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RFM-3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Track robot lifecycle status: In Stock, Allocated, Commissioned, Active, Under Service, Decommissioned, Lost/Damaged.</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RFM-4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Link a Sakar robot record to a Keenon robot ID; enforce a one-to-one mapping and reject duplicate links.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RFM-5</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Display live telemetry (status, battery level, location, current task) synchronized from the Keenon Open Platform.</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RFM-6</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Maintain a full service history per robot, including parts consumed and technician notes.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RFM-7</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can bulk-import robots via CSV/Excel upload.</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Could</w:t>
            </w:r>
          </w:p>
        </w:tc>
      </w:tr>
    </w:tbl>
    <w:p>
      <w:pPr>
        <w:pStyle w:val="Heading2"/>
        <w:spacing w:after="140" w:before="280"/>
      </w:pPr>
      <w:r>
        <w:t xml:space="preserve">4.4 Customer &amp; Site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CSM-1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Create and manage customer sites with name, address, geolocation, contact person, and operating hours.</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CSM-2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site always belongs to exactly one client (or direct client) organization.</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CSM-3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client organization may have multiple sites; each site has its own robot allocation and inventory context.</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CSM-4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View all robots and their status at a given site.</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bl>
    <w:p>
      <w:pPr>
        <w:pStyle w:val="Heading2"/>
        <w:spacing w:after="140" w:before="280"/>
      </w:pPr>
      <w:r>
        <w:t xml:space="preserve">4.5 Task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TM-1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Send a robot task (remote call, multi-point delivery, return-to-origin, or vertical-specific task) to a robot within the sender's authorized scope.</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TM-2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Display task status history: Queued, Dispatched, In Progress, Completed, Failed, Cancelled.</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TM-3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Restrict which task types an operator may send, based on role, site, and robot vertical (hotel, hospital, cleaning, elevator-enabled).</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TM-4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Record initiating user, organization, robot, site, and timestamp for every task for audit purposes.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bl>
    <w:p>
      <w:pPr>
        <w:pStyle w:val="Heading2"/>
        <w:spacing w:after="140" w:before="280"/>
      </w:pPr>
      <w:r>
        <w:t xml:space="preserve">4.6 Inventory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Maintain inventory records for robots, consumables, and spare parts, each associated with an owning organization.</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INV-2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stock transactions: Received, Allocated, Transferred, Installed, Consumed (service), Returned, Damaged/Lost, and Adjusted.</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Support configurable reorder levels with automatic low-stock alerts.</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INV-4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periodic stock audits (cycle counts) with variance reporting.</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Should</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INV-5</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Scope inventory visibility to the user's organization and authorized descendants; Sakar Admin has global visibility.</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bl>
    <w:p>
      <w:pPr>
        <w:spacing w:after="160"/>
      </w:pPr>
      <w:r>
        <w:rPr>
          <w:i/>
          <w:iCs/>
          <w:color w:val="555555"/>
          <w:sz w:val="18"/>
          <w:szCs w:val="18"/>
        </w:rPr>
        <w:t xml:space="preserve">See Section 8 for the full inventory data model, item categories, and transaction rules.</w:t>
      </w:r>
    </w:p>
    <w:p>
      <w:pPr>
        <w:pStyle w:val="Heading2"/>
        <w:spacing w:after="140" w:before="280"/>
      </w:pPr>
      <w:r>
        <w:t xml:space="preserve">4.7 Keenon Open Platform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KIN-1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Store and manage Keenon Open Platform credentials (client ID, client secret, access/refresh tokens, callback URL, IP whitelist) server-side only.</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KIN-2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Synchronize stores, robots, scenes, maps, points, robot status, battery, location, and task status from Keenon.</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KIN-3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Support remote call, multi-point delivery, return-to-origin, and vertical APIs (hotel, hospital, cleaning, elevator) where applicable to the robot model.</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KIN-4</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Map every Keenon store ID and robot ID to exactly one Sakar client organization and customer site.</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KIN-5</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Receive and process Keenon callbacks for live task and status updates, with signature validation and retry handling.</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bl>
    <w:p>
      <w:pPr>
        <w:spacing w:after="160"/>
      </w:pPr>
      <w:r>
        <w:rPr>
          <w:i/>
          <w:iCs/>
          <w:color w:val="555555"/>
          <w:sz w:val="18"/>
          <w:szCs w:val="18"/>
        </w:rPr>
        <w:t xml:space="preserve">See Section 7 for the complete Keenon integration specification.</w:t>
      </w:r>
    </w:p>
    <w:p>
      <w:pPr>
        <w:pStyle w:val="Heading2"/>
        <w:spacing w:after="140" w:before="280"/>
      </w:pPr>
      <w:r>
        <w:t xml:space="preserve">4.8 Dashboards, Reporting, Security &amp;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6960"/>
        <w:gridCol w:w="1500"/>
      </w:tblGrid>
      <w:tr>
        <w:trPr>
          <w:tblHeader/>
        </w:trPr>
        <w:tc>
          <w:tcPr>
            <w:tcW w:type="dxa" w:w="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ID</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1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Priority</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RPT-1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Provide role-appropriate dashboards summarizing fleet status, tasks, and inventory within the viewer's scope.</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RPT-2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Provide exportable reports (CSV/Excel/PDF) scoped to the viewer's organization and authorized descendants.</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SEC-1</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Enforce role-based access control (RBAC) combined with organization-based access control (OBAC) on every request.</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SEC-2</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Record an immutable audit log entry for every create, update, delete, export, login, and permission change.</w:t>
            </w:r>
          </w:p>
        </w:tc>
        <w:tc>
          <w:tcPr>
            <w:tcW w:type="dxa" w:w="1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Must</w:t>
            </w:r>
          </w:p>
        </w:tc>
      </w:tr>
      <w:tr>
        <w:tc>
          <w:tcPr>
            <w:tcW w:type="dxa" w:w="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SEC-3</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Deny and log any attempt to access an organization outside the requester's authorized hierarchy scope.</w:t>
            </w:r>
          </w:p>
        </w:tc>
        <w:tc>
          <w:tcPr>
            <w:tcW w:type="dxa" w:w="1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Must</w:t>
            </w:r>
          </w:p>
        </w:tc>
      </w:tr>
    </w:tbl>
    <w:p>
      <w:pPr>
        <w:spacing w:after="160"/>
      </w:pPr>
      <w:r>
        <w:rPr>
          <w:i/>
          <w:iCs/>
          <w:color w:val="555555"/>
          <w:sz w:val="18"/>
          <w:szCs w:val="18"/>
        </w:rPr>
        <w:t xml:space="preserve">See Sections 9 and 10 for full reporting and security requirements.</w:t>
      </w:r>
    </w:p>
    <w:p>
      <w:r>
        <w:br w:type="page"/>
      </w:r>
    </w:p>
    <w:p>
      <w:pPr>
        <w:pStyle w:val="Heading1"/>
        <w:spacing w:after="200" w:before="420"/>
      </w:pPr>
      <w:r>
        <w:t xml:space="preserve">5. Permissions and Authorization Matrix</w:t>
      </w:r>
    </w:p>
    <w:p>
      <w:pPr>
        <w:spacing w:after="160"/>
      </w:pPr>
      <w:r>
        <w:rPr>
          <w:b w:val="false"/>
          <w:bCs w:val="false"/>
          <w:i w:val="false"/>
          <w:iCs w:val="false"/>
        </w:rPr>
        <w:t xml:space="preserve">The matrix below defines, per role, the level of access to each resource category. “Own + descendants” means the role's own organization plus any organization structurally beneath it in the hierarchy that the role is authorized to manage — never a sibling or unrelated 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rPr>
          <w:tblHeader/>
        </w:trPr>
        <w:tc>
          <w:tcPr>
            <w:tcW w:type="dxa" w:w="14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Symbol</w:t>
            </w:r>
          </w:p>
        </w:tc>
        <w:tc>
          <w:tcPr>
            <w:tcW w:type="dxa" w:w="7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Meaning</w:t>
            </w:r>
          </w:p>
        </w:tc>
      </w:tr>
      <w:tr>
        <w:tc>
          <w:tcPr>
            <w:tcW w:type="dxa" w:w="1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7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Full manage (create, edit, delete/deactivate), global (all organizations)</w:t>
            </w:r>
          </w:p>
        </w:tc>
      </w:tr>
      <w:tr>
        <w:tc>
          <w:tcPr>
            <w:tcW w:type="dxa" w:w="1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7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Full manage, scoped strictly to own organization + authorized descendants</w:t>
            </w:r>
          </w:p>
        </w:tc>
      </w:tr>
      <w:tr>
        <w:tc>
          <w:tcPr>
            <w:tcW w:type="dxa" w:w="1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7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View only, scoped to own organization + authorized descendants</w:t>
            </w:r>
          </w:p>
        </w:tc>
      </w:tr>
      <w:tr>
        <w:tc>
          <w:tcPr>
            <w:tcW w:type="dxa" w:w="1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VG</w:t>
            </w:r>
          </w:p>
        </w:tc>
        <w:tc>
          <w:tcPr>
            <w:tcW w:type="dxa" w:w="7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View only, global (all organizations) — no edit rights</w:t>
            </w:r>
          </w:p>
        </w:tc>
      </w:tr>
      <w:tr>
        <w:tc>
          <w:tcPr>
            <w:tcW w:type="dxa" w:w="1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7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No access</w:t>
            </w:r>
          </w:p>
        </w:tc>
      </w:tr>
    </w:tbl>
    <w:p>
      <w:pPr>
        <w:pStyle w:val="Heading2"/>
        <w:spacing w:after="140" w:before="280"/>
      </w:pPr>
      <w:r>
        <w:t xml:space="preserve">5.1 Organization &amp; User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300"/>
        <w:gridCol w:w="1300"/>
        <w:gridCol w:w="1300"/>
        <w:gridCol w:w="1300"/>
        <w:gridCol w:w="1230"/>
        <w:gridCol w:w="1030"/>
      </w:tblGrid>
      <w:tr>
        <w:trPr>
          <w:tblHeader/>
        </w:trPr>
        <w:tc>
          <w:tcPr>
            <w:tcW w:type="dxa" w:w="1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Role</w:t>
            </w:r>
          </w:p>
        </w:tc>
        <w:tc>
          <w:tcPr>
            <w:tcW w:type="dxa" w:w="1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Sakar Staff Accounts</w:t>
            </w:r>
          </w:p>
        </w:tc>
        <w:tc>
          <w:tcPr>
            <w:tcW w:type="dxa" w:w="1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Distributor Orgs</w:t>
            </w:r>
          </w:p>
        </w:tc>
        <w:tc>
          <w:tcPr>
            <w:tcW w:type="dxa" w:w="1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Sub-distributor Orgs</w:t>
            </w:r>
          </w:p>
        </w:tc>
        <w:tc>
          <w:tcPr>
            <w:tcW w:type="dxa" w:w="1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Client Orgs</w:t>
            </w:r>
          </w:p>
        </w:tc>
        <w:tc>
          <w:tcPr>
            <w:tcW w:type="dxa" w:w="123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Sites</w:t>
            </w:r>
          </w:p>
        </w:tc>
        <w:tc>
          <w:tcPr>
            <w:tcW w:type="dxa" w:w="103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Own-Org Users</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Staff — Authorized</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(assigned)</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(assigned, Direct Clients)</w:t>
            </w:r>
          </w:p>
        </w:tc>
        <w:tc>
          <w:tcPr>
            <w:tcW w:type="dxa" w:w="12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(assigned)</w:t>
            </w:r>
          </w:p>
        </w:tc>
        <w:tc>
          <w:tcPr>
            <w:tcW w:type="dxa" w:w="10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Staff — Standard</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Distributor Admin</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2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0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Staff</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Sub-distributor Admin</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2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0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Sub-distributor Staff</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Admin</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2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(own)</w:t>
            </w:r>
          </w:p>
        </w:tc>
        <w:tc>
          <w:tcPr>
            <w:tcW w:type="dxa" w:w="10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(own)</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 User</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(limited)</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 Operator</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2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Technician</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2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03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bl>
    <w:p>
      <w:pPr>
        <w:pStyle w:val="Heading2"/>
        <w:spacing w:after="140" w:before="280"/>
      </w:pPr>
      <w:r>
        <w:t xml:space="preserve">5.2 Fleet, Inventory, Reporting &amp; System</w:t>
      </w:r>
    </w:p>
    <w:tbl>
      <w:tblPr>
        <w:tblW w:type="dxa" w:w="9361"/>
        <w:tblBorders>
          <w:top w:val="single" w:color="auto" w:sz="4"/>
          <w:left w:val="single" w:color="auto" w:sz="4"/>
          <w:bottom w:val="single" w:color="auto" w:sz="4"/>
          <w:right w:val="single" w:color="auto" w:sz="4"/>
          <w:insideH w:val="single" w:color="auto" w:sz="4"/>
          <w:insideV w:val="single" w:color="auto" w:sz="4"/>
        </w:tblBorders>
      </w:tblPr>
      <w:tblGrid>
        <w:gridCol w:w="1750"/>
        <w:gridCol w:w="1290"/>
        <w:gridCol w:w="1244"/>
        <w:gridCol w:w="1336"/>
        <w:gridCol w:w="1336"/>
        <w:gridCol w:w="1290"/>
        <w:gridCol w:w="1115"/>
      </w:tblGrid>
      <w:tr>
        <w:trPr>
          <w:tblHeader/>
        </w:trPr>
        <w:tc>
          <w:tcPr>
            <w:tcW w:type="dxa" w:w="175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Role</w:t>
            </w:r>
          </w:p>
        </w:tc>
        <w:tc>
          <w:tcPr>
            <w:tcW w:type="dxa" w:w="129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Robots &amp; Keenon Mapping</w:t>
            </w:r>
          </w:p>
        </w:tc>
        <w:tc>
          <w:tcPr>
            <w:tcW w:type="dxa" w:w="1244"/>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Send Robot Tasks</w:t>
            </w:r>
          </w:p>
        </w:tc>
        <w:tc>
          <w:tcPr>
            <w:tcW w:type="dxa" w:w="1336"/>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Inventory</w:t>
            </w:r>
          </w:p>
        </w:tc>
        <w:tc>
          <w:tcPr>
            <w:tcW w:type="dxa" w:w="1336"/>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Reports &amp; Dashboards</w:t>
            </w:r>
          </w:p>
        </w:tc>
        <w:tc>
          <w:tcPr>
            <w:tcW w:type="dxa" w:w="129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Keenon API Credentials</w:t>
            </w:r>
          </w:p>
        </w:tc>
        <w:tc>
          <w:tcPr>
            <w:tcW w:type="dxa" w:w="1115"/>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Audit Logs</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(global)</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(global)</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(global)</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(global)</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(global)</w:t>
            </w:r>
          </w:p>
        </w:tc>
      </w:tr>
      <w:tr>
        <w:tc>
          <w:tcPr>
            <w:tcW w:type="dxa" w:w="175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Staff — Authorized</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(assigned)</w:t>
            </w:r>
          </w:p>
        </w:tc>
        <w:tc>
          <w:tcPr>
            <w:tcW w:type="dxa" w:w="1244"/>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(assigned)</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VG</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VG</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Staff — Standard</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(assigned)</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(assigned)</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VG</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r>
        <w:tc>
          <w:tcPr>
            <w:tcW w:type="dxa" w:w="175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Distributor Admin</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c>
          <w:tcPr>
            <w:tcW w:type="dxa" w:w="1244"/>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Staff</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r>
        <w:tc>
          <w:tcPr>
            <w:tcW w:type="dxa" w:w="175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Sub-distributor Admin</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c>
          <w:tcPr>
            <w:tcW w:type="dxa" w:w="1244"/>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Sub-distributor Staff</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r>
        <w:tc>
          <w:tcPr>
            <w:tcW w:type="dxa" w:w="175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Admin</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 (own)</w:t>
            </w:r>
          </w:p>
        </w:tc>
        <w:tc>
          <w:tcPr>
            <w:tcW w:type="dxa" w:w="1244"/>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(delegated, own)</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(own)</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(own)</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 (own)</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 User</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(own)</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(if permitted)</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 consume</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(own)</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r>
        <w:tc>
          <w:tcPr>
            <w:tcW w:type="dxa" w:w="175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 Operator</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 (assigned)</w:t>
            </w:r>
          </w:p>
        </w:tc>
        <w:tc>
          <w:tcPr>
            <w:tcW w:type="dxa" w:w="1244"/>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 (permitted types only)</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29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w:t>
            </w:r>
          </w:p>
        </w:tc>
      </w:tr>
      <w:tr>
        <w:tc>
          <w:tcPr>
            <w:tcW w:type="dxa" w:w="175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Technician</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V (assigned)</w:t>
            </w:r>
          </w:p>
        </w:tc>
        <w:tc>
          <w:tcPr>
            <w:tcW w:type="dxa" w:w="1244"/>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 (consume/service, own org)</w:t>
            </w:r>
          </w:p>
        </w:tc>
        <w:tc>
          <w:tcPr>
            <w:tcW w:type="dxa" w:w="1336"/>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29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c>
          <w:tcPr>
            <w:tcW w:type="dxa" w:w="1115"/>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t>
            </w:r>
          </w:p>
        </w:tc>
      </w:tr>
    </w:tbl>
    <w:p>
      <w:pPr>
        <w:spacing w:after="160"/>
      </w:pPr>
      <w:r>
        <w:rPr>
          <w:i/>
          <w:iCs/>
          <w:color w:val="555555"/>
          <w:sz w:val="18"/>
          <w:szCs w:val="18"/>
        </w:rPr>
        <w:t xml:space="preserve">Note: “V*” for Robots &amp; Keenon Mapping under Distributor/Sub-distributor reflects that Keenon store/robot mapping is created and owned by Sakar Admin (see Workflow 4, Section 12) — partners can view but not alter the mapping.</w:t>
      </w:r>
    </w:p>
    <w:p>
      <w:r>
        <w:br w:type="page"/>
      </w:r>
    </w:p>
    <w:p>
      <w:pPr>
        <w:pStyle w:val="Heading1"/>
        <w:spacing w:after="200" w:before="420"/>
      </w:pPr>
      <w:r>
        <w:t xml:space="preserve">6. Data Model / Key Entities</w:t>
      </w:r>
    </w:p>
    <w:p>
      <w:pPr>
        <w:spacing w:after="160"/>
      </w:pPr>
      <w:r>
        <w:rPr>
          <w:b w:val="false"/>
          <w:bCs w:val="false"/>
          <w:i w:val="false"/>
          <w:iCs w:val="false"/>
        </w:rPr>
        <w:t xml:space="preserve">Every user-facing entity is associated with an owning Organization, directly or via a parent entity, so that access control can be enforced consistently at the data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4360"/>
        <w:gridCol w:w="3100"/>
      </w:tblGrid>
      <w:tr>
        <w:trPr>
          <w:tblHeader/>
        </w:trPr>
        <w:tc>
          <w:tcPr>
            <w:tcW w:type="dxa" w:w="1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Entity</w:t>
            </w:r>
          </w:p>
        </w:tc>
        <w:tc>
          <w:tcPr>
            <w:tcW w:type="dxa" w:w="43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Key Attributes</w:t>
            </w:r>
          </w:p>
        </w:tc>
        <w:tc>
          <w:tcPr>
            <w:tcW w:type="dxa" w:w="31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Relationships</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Organization</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name, type (Root/Distributor/SubDistributor/Client/DirectClient), parent_org_id, hierarchy_path, status</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Self-referencing tree; parent of Users, Sites, Robots, Inventory</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User</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org_id, name, email, phone, role_id, status, mfa_enabled, last_login</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Belongs to one Organization; has one Role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Role</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name, scope_level, description</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Referenced by User; associated with a set of Permissions</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Permission</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role_id, resource, action (create/read/update/delete/export)</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Belongs to a Role; evaluated together with Organization scope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Site</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client_org_id, name, address, geo_lat, geo_lng, contact_name, contact_phone, operating_hours, status</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Belongs to one Client/Direct Client Organization; parent of Robot assignments</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model, serial_number, keenon_robot_id, owner_org_id, assigned_client_org_id, assigned_site_id, warranty_start, warranty_end, commissioning_date, status, last_synced_at</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Owned by an Organization; assigned to a Client Org + Site; linked 1:1 to a Keenon Robot Mapping</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ServiceRecord</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robot_id, technician_user_id, service_date, description, parts_consumed[], labor_notes</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Belongs to a Robot; references StockTransactions for parts consumed</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Task</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robot_id, org_id, site_id, task_type, keenon_task_id, initiated_by_user_id, status, created_at, completed_at, payload</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Belongs to a Robot and the initiating Organization/User</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InventoryItem</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category (Robot/Consumable/SparePart), sku, name, description, unit, reorder_level, owner_org_id</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Owned by an Organization; subject of StockTransactions</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StockTransaction</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inventory_item_id, org_id, site_id, type (Received/Allocated/Transferred/Installed/Consumed/Returned/Damaged/Lost/Adjusted/Audited), quantity, from_org_id, to_org_id, reference_robot_id, performed_by_user_id, timestamp, notes</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References an InventoryItem, an Organization, optionally a Robot and Site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KeenonStoreMapping</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keenon_store_id, client_org_id, site_id, sync_status, last_synced_at</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Maps one Keenon store to one Client Organization + Site</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KeenonRobotMapping</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keenon_robot_id, sakar_robot_id, store_mapping_id</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Maps one Keenon robot to one Sakar Robot record</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KeenonCredential</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client_id, client_secret_encrypted, access_token_encrypted, refresh_token_encrypted, token_expires_at, callback_url, ip_whitelist, approved_permissions</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Server-side only; never returned to any frontend client</w:t>
            </w:r>
          </w:p>
        </w:tc>
      </w:tr>
      <w:tr>
        <w:tc>
          <w:tcPr>
            <w:tcW w:type="dxa" w:w="1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AuditLog</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id, actor_user_id, actor_org_id, action, resource_type, resource_id, before_state, after_state, ip_address, timestamp</w:t>
            </w:r>
          </w:p>
        </w:tc>
        <w:tc>
          <w:tcPr>
            <w:tcW w:type="dxa" w:w="3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References the acting User/Organization and the affected resource</w:t>
            </w:r>
          </w:p>
        </w:tc>
      </w:tr>
      <w:tr>
        <w:tc>
          <w:tcPr>
            <w:tcW w:type="dxa" w:w="1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Notification</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id, user_id, org_id, type, message, read_status, created_at</w:t>
            </w:r>
          </w:p>
        </w:tc>
        <w:tc>
          <w:tcPr>
            <w:tcW w:type="dxa" w:w="3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Belongs to a User within an Organization</w:t>
            </w:r>
          </w:p>
        </w:tc>
      </w:tr>
    </w:tbl>
    <w:p>
      <w:pPr>
        <w:pStyle w:val="Heading2"/>
        <w:spacing w:after="140" w:before="280"/>
      </w:pPr>
      <w:r>
        <w:t xml:space="preserve">6.1 Key Relationships</w:t>
      </w:r>
    </w:p>
    <w:p>
      <w:pPr>
        <w:pStyle w:val="ListParagraph"/>
        <w:numPr>
          <w:ilvl w:val="0"/>
          <w:numId w:val="1"/>
        </w:numPr>
        <w:spacing w:after="70"/>
      </w:pPr>
      <w:r>
        <w:t xml:space="preserve">Organization is self-referencing (parent_org_id) and carries a materialized hierarchy_path (e.g. “/root/dist-12/subdist-04/client-31”) used to enforce scoped access in every query.</w:t>
      </w:r>
    </w:p>
    <w:p>
      <w:pPr>
        <w:pStyle w:val="ListParagraph"/>
        <w:numPr>
          <w:ilvl w:val="0"/>
          <w:numId w:val="1"/>
        </w:numPr>
        <w:spacing w:after="70"/>
      </w:pPr>
      <w:r>
        <w:t xml:space="preserve">Every Robot, Task, InventoryItem, StockTransaction, and Site record carries an organization reference — there is no orphaned or organization-less business data.</w:t>
      </w:r>
    </w:p>
    <w:p>
      <w:pPr>
        <w:pStyle w:val="ListParagraph"/>
        <w:numPr>
          <w:ilvl w:val="0"/>
          <w:numId w:val="1"/>
        </w:numPr>
        <w:spacing w:after="70"/>
      </w:pPr>
      <w:r>
        <w:t xml:space="preserve">A Robot is owned by Sakar Robotics (or a partner, if resold) but assigned to exactly one Client Organization and one Site at a time; historical assignments are preserved for audit.</w:t>
      </w:r>
    </w:p>
    <w:p>
      <w:pPr>
        <w:pStyle w:val="ListParagraph"/>
        <w:numPr>
          <w:ilvl w:val="0"/>
          <w:numId w:val="1"/>
        </w:numPr>
        <w:spacing w:after="70"/>
      </w:pPr>
      <w:r>
        <w:t xml:space="preserve">KeenonStoreMapping and KeenonRobotMapping form the bridge between Keenon's identifiers and Sakar's organization/robot records; they are maintained exclusively by Sakar Admin.</w:t>
      </w:r>
    </w:p>
    <w:p>
      <w:r>
        <w:br w:type="page"/>
      </w:r>
    </w:p>
    <w:p>
      <w:pPr>
        <w:pStyle w:val="Heading1"/>
        <w:spacing w:after="200" w:before="420"/>
      </w:pPr>
      <w:r>
        <w:t xml:space="preserve">7. Keenon Open Platform API Integration</w:t>
      </w:r>
    </w:p>
    <w:p>
      <w:pPr>
        <w:spacing w:after="160"/>
      </w:pPr>
      <w:r>
        <w:rPr>
          <w:b w:val="false"/>
          <w:bCs w:val="false"/>
          <w:i w:val="false"/>
          <w:iCs w:val="false"/>
        </w:rPr>
        <w:t xml:space="preserve">The Platform integrates with the Keenon Open Platform as a server-to-server backend integration. No Keenon credential, secret, or raw token is ever exposed to a browser or mobile client.</w:t>
      </w:r>
    </w:p>
    <w:p>
      <w:pPr>
        <w:pStyle w:val="Heading2"/>
        <w:spacing w:after="140" w:before="280"/>
      </w:pPr>
      <w:r>
        <w:t xml:space="preserve">7.1 Credential &amp; Connection Management</w:t>
      </w:r>
    </w:p>
    <w:p>
      <w:pPr>
        <w:pStyle w:val="ListParagraph"/>
        <w:numPr>
          <w:ilvl w:val="0"/>
          <w:numId w:val="1"/>
        </w:numPr>
        <w:spacing w:after="70"/>
      </w:pPr>
      <w:r>
        <w:t xml:space="preserve">Store client ID, client secret, access token, and refresh token encrypted at rest, accessible only to backend services.</w:t>
      </w:r>
    </w:p>
    <w:p>
      <w:pPr>
        <w:pStyle w:val="ListParagraph"/>
        <w:numPr>
          <w:ilvl w:val="0"/>
          <w:numId w:val="1"/>
        </w:numPr>
        <w:spacing w:after="70"/>
      </w:pPr>
      <w:r>
        <w:t xml:space="preserve">Maintain the approved store permissions granted by Keenon for this integration.</w:t>
      </w:r>
    </w:p>
    <w:p>
      <w:pPr>
        <w:pStyle w:val="ListParagraph"/>
        <w:numPr>
          <w:ilvl w:val="0"/>
          <w:numId w:val="1"/>
        </w:numPr>
        <w:spacing w:after="70"/>
      </w:pPr>
      <w:r>
        <w:t xml:space="preserve">Configure and validate the callback URL registered with Keenon.</w:t>
      </w:r>
    </w:p>
    <w:p>
      <w:pPr>
        <w:pStyle w:val="ListParagraph"/>
        <w:numPr>
          <w:ilvl w:val="0"/>
          <w:numId w:val="1"/>
        </w:numPr>
        <w:spacing w:after="70"/>
      </w:pPr>
      <w:r>
        <w:t xml:space="preserve">Maintain and enforce an IP whitelist for both outbound calls to Keenon and inbound callbacks from Keenon.</w:t>
      </w:r>
    </w:p>
    <w:p>
      <w:pPr>
        <w:pStyle w:val="ListParagraph"/>
        <w:numPr>
          <w:ilvl w:val="0"/>
          <w:numId w:val="1"/>
        </w:numPr>
        <w:spacing w:after="70"/>
      </w:pPr>
      <w:r>
        <w:t xml:space="preserve">Automatically refresh access tokens before expiry; alert Sakar Admin on refresh failure.</w:t>
      </w:r>
    </w:p>
    <w:p>
      <w:pPr>
        <w:pStyle w:val="Heading2"/>
        <w:spacing w:after="140" w:before="280"/>
      </w:pPr>
      <w:r>
        <w:t xml:space="preserve">7.2 Data Synchronization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3400"/>
        <w:gridCol w:w="3400"/>
      </w:tblGrid>
      <w:tr>
        <w:trPr>
          <w:tblHeader/>
        </w:trPr>
        <w:tc>
          <w:tcPr>
            <w:tcW w:type="dxa" w:w="25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Data Type</w:t>
            </w:r>
          </w:p>
        </w:tc>
        <w:tc>
          <w:tcPr>
            <w:tcW w:type="dxa" w:w="34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Sync Direction</w:t>
            </w:r>
          </w:p>
        </w:tc>
        <w:tc>
          <w:tcPr>
            <w:tcW w:type="dxa" w:w="34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Notes</w:t>
            </w:r>
          </w:p>
        </w:tc>
      </w:tr>
      <w:tr>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Stores</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 Sakar</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Synchronized store list is mapped to Sakar client organizations and sites</w:t>
            </w:r>
          </w:p>
        </w:tc>
      </w:tr>
      <w:tr>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Robots</w:t>
            </w:r>
          </w:p>
        </w:tc>
        <w:tc>
          <w:tcPr>
            <w:tcW w:type="dxa" w:w="3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Keenon → Sakar</w:t>
            </w:r>
          </w:p>
        </w:tc>
        <w:tc>
          <w:tcPr>
            <w:tcW w:type="dxa" w:w="3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Matched to Sakar robot records via keenon_robot_id</w:t>
            </w:r>
          </w:p>
        </w:tc>
      </w:tr>
      <w:tr>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Scenes / Maps / Points</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 Sakar</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Used to validate and configure multi-point delivery tasks</w:t>
            </w:r>
          </w:p>
        </w:tc>
      </w:tr>
      <w:tr>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 status / battery / location</w:t>
            </w:r>
          </w:p>
        </w:tc>
        <w:tc>
          <w:tcPr>
            <w:tcW w:type="dxa" w:w="3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Keenon → Sakar (near real-time via callback + polling fallback)</w:t>
            </w:r>
          </w:p>
        </w:tc>
        <w:tc>
          <w:tcPr>
            <w:tcW w:type="dxa" w:w="3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Displayed on fleet and site dashboards</w:t>
            </w:r>
          </w:p>
        </w:tc>
      </w:tr>
      <w:tr>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Task status</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 Sakar (callback)</w:t>
            </w:r>
          </w:p>
        </w:tc>
        <w:tc>
          <w:tcPr>
            <w:tcW w:type="dxa" w:w="3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Drives the Task status history described in Section 4.5</w:t>
            </w:r>
          </w:p>
        </w:tc>
      </w:tr>
    </w:tbl>
    <w:p>
      <w:pPr>
        <w:pStyle w:val="Heading2"/>
        <w:spacing w:after="140" w:before="280"/>
      </w:pPr>
      <w:r>
        <w:t xml:space="preserve">7.3 Robot Task &amp; Control APIs</w:t>
      </w:r>
    </w:p>
    <w:p>
      <w:pPr>
        <w:pStyle w:val="ListParagraph"/>
        <w:numPr>
          <w:ilvl w:val="0"/>
          <w:numId w:val="1"/>
        </w:numPr>
        <w:spacing w:after="70"/>
      </w:pPr>
      <w:r>
        <w:t xml:space="preserve">Remote call — summon a robot to a specified point.</w:t>
      </w:r>
    </w:p>
    <w:p>
      <w:pPr>
        <w:pStyle w:val="ListParagraph"/>
        <w:numPr>
          <w:ilvl w:val="0"/>
          <w:numId w:val="1"/>
        </w:numPr>
        <w:spacing w:after="70"/>
      </w:pPr>
      <w:r>
        <w:t xml:space="preserve">Multi-point delivery — dispatch a robot through an ordered sequence of points.</w:t>
      </w:r>
    </w:p>
    <w:p>
      <w:pPr>
        <w:pStyle w:val="ListParagraph"/>
        <w:numPr>
          <w:ilvl w:val="0"/>
          <w:numId w:val="1"/>
        </w:numPr>
        <w:spacing w:after="70"/>
      </w:pPr>
      <w:r>
        <w:t xml:space="preserve">Return-to-origin — recall a robot to its charging/home position.</w:t>
      </w:r>
    </w:p>
    <w:p>
      <w:pPr>
        <w:pStyle w:val="ListParagraph"/>
        <w:numPr>
          <w:ilvl w:val="0"/>
          <w:numId w:val="1"/>
        </w:numPr>
        <w:spacing w:after="70"/>
      </w:pPr>
      <w:r>
        <w:t xml:space="preserve">Vertical-specific APIs where applicable to the robot's deployment: hotel (room delivery), hospital (ward/sample transport), cleaning (zone cleaning routes), and elevator control/integration for multi-floor navigation.</w:t>
      </w:r>
    </w:p>
    <w:p>
      <w:pPr>
        <w:spacing w:after="160"/>
      </w:pPr>
      <w:r>
        <w:rPr>
          <w:i/>
          <w:iCs/>
          <w:color w:val="555555"/>
          <w:sz w:val="18"/>
          <w:szCs w:val="18"/>
        </w:rPr>
        <w:t xml:space="preserve">Only task types enabled for a given robot model and site vertical are exposed to operators at that site (see TM-3).</w:t>
      </w:r>
    </w:p>
    <w:p>
      <w:pPr>
        <w:pStyle w:val="Heading2"/>
        <w:spacing w:after="140" w:before="280"/>
      </w:pPr>
      <w:r>
        <w:t xml:space="preserve">7.4 Organization Mapping</w:t>
      </w:r>
    </w:p>
    <w:p>
      <w:pPr>
        <w:pStyle w:val="ListParagraph"/>
        <w:numPr>
          <w:ilvl w:val="0"/>
          <w:numId w:val="1"/>
        </w:numPr>
        <w:spacing w:after="70"/>
      </w:pPr>
      <w:r>
        <w:t xml:space="preserve">Every keenon_store_id is mapped to exactly one Sakar client organization and one customer site.</w:t>
      </w:r>
    </w:p>
    <w:p>
      <w:pPr>
        <w:pStyle w:val="ListParagraph"/>
        <w:numPr>
          <w:ilvl w:val="0"/>
          <w:numId w:val="1"/>
        </w:numPr>
        <w:spacing w:after="70"/>
      </w:pPr>
      <w:r>
        <w:t xml:space="preserve">Every keenon_robot_id is mapped to exactly one Sakar robot record, which in turn carries the owning and assigned organization.</w:t>
      </w:r>
    </w:p>
    <w:p>
      <w:pPr>
        <w:pStyle w:val="ListParagraph"/>
        <w:numPr>
          <w:ilvl w:val="0"/>
          <w:numId w:val="1"/>
        </w:numPr>
        <w:spacing w:after="70"/>
      </w:pPr>
      <w:r>
        <w:t xml:space="preserve">Unmapped stores or robots discovered during sync are queued in a “Pending Mapping” review list for Sakar Admin; they are not visible to any partner until mapped.</w:t>
      </w:r>
    </w:p>
    <w:p>
      <w:pPr>
        <w:pStyle w:val="Heading2"/>
        <w:spacing w:after="140" w:before="280"/>
      </w:pPr>
      <w:r>
        <w:t xml:space="preserve">7.5 Callback &amp; Webhook Handling</w:t>
      </w:r>
    </w:p>
    <w:p>
      <w:pPr>
        <w:pStyle w:val="ListParagraph"/>
        <w:numPr>
          <w:ilvl w:val="0"/>
          <w:numId w:val="1"/>
        </w:numPr>
        <w:spacing w:after="70"/>
      </w:pPr>
      <w:r>
        <w:t xml:space="preserve">Expose a single authenticated callback endpoint for Keenon to push live task and status updates.</w:t>
      </w:r>
    </w:p>
    <w:p>
      <w:pPr>
        <w:pStyle w:val="ListParagraph"/>
        <w:numPr>
          <w:ilvl w:val="0"/>
          <w:numId w:val="1"/>
        </w:numPr>
        <w:spacing w:after="70"/>
      </w:pPr>
      <w:r>
        <w:t xml:space="preserve">Validate the signature of every inbound callback before processing; reject and log unsigned or invalid requests.</w:t>
      </w:r>
    </w:p>
    <w:p>
      <w:pPr>
        <w:pStyle w:val="ListParagraph"/>
        <w:numPr>
          <w:ilvl w:val="0"/>
          <w:numId w:val="1"/>
        </w:numPr>
        <w:spacing w:after="70"/>
      </w:pPr>
      <w:r>
        <w:t xml:space="preserve">Persist every inbound callback payload and its processing outcome to an integration log for troubleshooting.</w:t>
      </w:r>
    </w:p>
    <w:p>
      <w:pPr>
        <w:pStyle w:val="ListParagraph"/>
        <w:numPr>
          <w:ilvl w:val="0"/>
          <w:numId w:val="1"/>
        </w:numPr>
        <w:spacing w:after="70"/>
      </w:pPr>
      <w:r>
        <w:t xml:space="preserve">Retry failed callback processing with exponential backoff; surface persistent failures to Sakar Admin.</w:t>
      </w:r>
    </w:p>
    <w:p>
      <w:pPr>
        <w:pStyle w:val="ListParagraph"/>
        <w:numPr>
          <w:ilvl w:val="0"/>
          <w:numId w:val="1"/>
        </w:numPr>
        <w:spacing w:after="70"/>
      </w:pPr>
      <w:r>
        <w:t xml:space="preserve">Fall back to scheduled polling of the Keenon API if callbacks are not received within an expected interval, to avoid stale fleet status.</w:t>
      </w:r>
    </w:p>
    <w:p>
      <w:pPr>
        <w:pStyle w:val="Heading2"/>
        <w:spacing w:after="140" w:before="280"/>
      </w:pPr>
      <w:r>
        <w:t xml:space="preserve">7.6 Security Requirements for the Integration</w:t>
      </w:r>
    </w:p>
    <w:p>
      <w:pPr>
        <w:pStyle w:val="ListParagraph"/>
        <w:numPr>
          <w:ilvl w:val="0"/>
          <w:numId w:val="1"/>
        </w:numPr>
        <w:spacing w:after="70"/>
      </w:pPr>
      <w:r>
        <w:t xml:space="preserve">Keenon client secret, access token, and refresh token are never sent to, stored in, or logged by any frontend client or browser.</w:t>
      </w:r>
    </w:p>
    <w:p>
      <w:pPr>
        <w:pStyle w:val="ListParagraph"/>
        <w:numPr>
          <w:ilvl w:val="0"/>
          <w:numId w:val="1"/>
        </w:numPr>
        <w:spacing w:after="70"/>
      </w:pPr>
      <w:r>
        <w:t xml:space="preserve">All outbound requests to Keenon and inbound callbacks occur over TLS.</w:t>
      </w:r>
    </w:p>
    <w:p>
      <w:pPr>
        <w:pStyle w:val="ListParagraph"/>
        <w:numPr>
          <w:ilvl w:val="0"/>
          <w:numId w:val="1"/>
        </w:numPr>
        <w:spacing w:after="70"/>
      </w:pPr>
      <w:r>
        <w:t xml:space="preserve">Access to view or rotate Keenon credentials is restricted to Sakar Admin only (see Section 5.2).</w:t>
      </w:r>
    </w:p>
    <w:p>
      <w:pPr>
        <w:pStyle w:val="ListParagraph"/>
        <w:numPr>
          <w:ilvl w:val="0"/>
          <w:numId w:val="1"/>
        </w:numPr>
        <w:spacing w:after="70"/>
      </w:pPr>
      <w:r>
        <w:t xml:space="preserve">Integration logs are retained per the audit retention policy in Section 10.3 and are accessible only to Sakar Admin.</w:t>
      </w:r>
    </w:p>
    <w:p>
      <w:r>
        <w:br w:type="page"/>
      </w:r>
    </w:p>
    <w:p>
      <w:pPr>
        <w:pStyle w:val="Heading1"/>
        <w:spacing w:after="200" w:before="420"/>
      </w:pPr>
      <w:r>
        <w:t xml:space="preserve">8. Inventory Management Requirements</w:t>
      </w:r>
    </w:p>
    <w:p>
      <w:pPr>
        <w:pStyle w:val="Heading2"/>
        <w:spacing w:after="140" w:before="280"/>
      </w:pPr>
      <w:r>
        <w:t xml:space="preserve">8.1 Robot Inventory</w:t>
      </w:r>
    </w:p>
    <w:p>
      <w:pPr>
        <w:spacing w:after="160"/>
      </w:pPr>
      <w:r>
        <w:rPr>
          <w:b w:val="false"/>
          <w:bCs w:val="false"/>
          <w:i w:val="false"/>
          <w:iCs w:val="false"/>
        </w:rPr>
        <w:t xml:space="preserve">Each robot record tracks the following attributes: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Attribute</w:t>
            </w:r>
          </w:p>
        </w:tc>
        <w:tc>
          <w:tcPr>
            <w:tcW w:type="dxa" w:w="68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Description</w:t>
            </w:r>
          </w:p>
        </w:tc>
      </w:tr>
      <w:tr>
        <w:tc>
          <w:tcPr>
            <w:tcW w:type="dxa" w:w="2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Robot Model</w:t>
            </w:r>
          </w:p>
        </w:tc>
        <w:tc>
          <w:tcPr>
            <w:tcW w:type="dxa" w:w="6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product model (e.g. delivery, cleaning, disinfection robot)</w:t>
            </w:r>
          </w:p>
        </w:tc>
      </w:tr>
      <w:tr>
        <w:tc>
          <w:tcPr>
            <w:tcW w:type="dxa" w:w="2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Serial Number</w:t>
            </w:r>
          </w:p>
        </w:tc>
        <w:tc>
          <w:tcPr>
            <w:tcW w:type="dxa" w:w="6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Manufacturer serial number, unique across the fleet</w:t>
            </w:r>
          </w:p>
        </w:tc>
      </w:tr>
      <w:tr>
        <w:tc>
          <w:tcPr>
            <w:tcW w:type="dxa" w:w="2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Robot ID</w:t>
            </w:r>
          </w:p>
        </w:tc>
        <w:tc>
          <w:tcPr>
            <w:tcW w:type="dxa" w:w="6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Unique identifier from the Keenon Open Platform, linked 1:1</w:t>
            </w:r>
          </w:p>
        </w:tc>
      </w:tr>
      <w:tr>
        <w:tc>
          <w:tcPr>
            <w:tcW w:type="dxa" w:w="2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Ownership</w:t>
            </w:r>
          </w:p>
        </w:tc>
        <w:tc>
          <w:tcPr>
            <w:tcW w:type="dxa" w:w="6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organization that owns the physical asset (Sakar or reselling partner)</w:t>
            </w:r>
          </w:p>
        </w:tc>
      </w:tr>
      <w:tr>
        <w:tc>
          <w:tcPr>
            <w:tcW w:type="dxa" w:w="2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Assigned Client</w:t>
            </w:r>
          </w:p>
        </w:tc>
        <w:tc>
          <w:tcPr>
            <w:tcW w:type="dxa" w:w="6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client organization currently operating the robot</w:t>
            </w:r>
          </w:p>
        </w:tc>
      </w:tr>
      <w:tr>
        <w:tc>
          <w:tcPr>
            <w:tcW w:type="dxa" w:w="2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Assigned Site</w:t>
            </w:r>
          </w:p>
        </w:tc>
        <w:tc>
          <w:tcPr>
            <w:tcW w:type="dxa" w:w="6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specific customer site where the robot is deployed</w:t>
            </w:r>
          </w:p>
        </w:tc>
      </w:tr>
      <w:tr>
        <w:tc>
          <w:tcPr>
            <w:tcW w:type="dxa" w:w="2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Warranty</w:t>
            </w:r>
          </w:p>
        </w:tc>
        <w:tc>
          <w:tcPr>
            <w:tcW w:type="dxa" w:w="6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Warranty start and end dates</w:t>
            </w:r>
          </w:p>
        </w:tc>
      </w:tr>
      <w:tr>
        <w:tc>
          <w:tcPr>
            <w:tcW w:type="dxa" w:w="2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Status</w:t>
            </w:r>
          </w:p>
        </w:tc>
        <w:tc>
          <w:tcPr>
            <w:tcW w:type="dxa" w:w="6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 Stock, Allocated, Commissioned, Active, Under Service, Decommissioned, Lost/Damaged</w:t>
            </w:r>
          </w:p>
        </w:tc>
      </w:tr>
      <w:tr>
        <w:tc>
          <w:tcPr>
            <w:tcW w:type="dxa" w:w="25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Commissioning Date</w:t>
            </w:r>
          </w:p>
        </w:tc>
        <w:tc>
          <w:tcPr>
            <w:tcW w:type="dxa" w:w="68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Date the robot was activated at the client site</w:t>
            </w:r>
          </w:p>
        </w:tc>
      </w:tr>
      <w:tr>
        <w:tc>
          <w:tcPr>
            <w:tcW w:type="dxa" w:w="25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Service History</w:t>
            </w:r>
          </w:p>
        </w:tc>
        <w:tc>
          <w:tcPr>
            <w:tcW w:type="dxa" w:w="68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Chronological log of all service visits and parts consumed</w:t>
            </w:r>
          </w:p>
        </w:tc>
      </w:tr>
    </w:tbl>
    <w:p>
      <w:pPr>
        <w:pStyle w:val="Heading2"/>
        <w:spacing w:after="140" w:before="280"/>
      </w:pPr>
      <w:r>
        <w:t xml:space="preserve">8.2 Consumables</w:t>
      </w:r>
    </w:p>
    <w:p>
      <w:pPr>
        <w:spacing w:after="160"/>
      </w:pPr>
      <w:r>
        <w:rPr>
          <w:b w:val="false"/>
          <w:bCs w:val="false"/>
          <w:i w:val="false"/>
          <w:iCs w:val="false"/>
        </w:rPr>
        <w:t xml:space="preserve">Tracked as a distinct inventory category with a lower unit value and higher turnover than spare parts. Representative items:</w:t>
      </w:r>
    </w:p>
    <w:p>
      <w:pPr>
        <w:pStyle w:val="ListParagraph"/>
        <w:numPr>
          <w:ilvl w:val="0"/>
          <w:numId w:val="1"/>
        </w:numPr>
        <w:spacing w:after="70"/>
      </w:pPr>
      <w:r>
        <w:t xml:space="preserve">Brushes</w:t>
      </w:r>
    </w:p>
    <w:p>
      <w:pPr>
        <w:pStyle w:val="ListParagraph"/>
        <w:numPr>
          <w:ilvl w:val="0"/>
          <w:numId w:val="1"/>
        </w:numPr>
        <w:spacing w:after="70"/>
      </w:pPr>
      <w:r>
        <w:t xml:space="preserve">Filters</w:t>
      </w:r>
    </w:p>
    <w:p>
      <w:pPr>
        <w:pStyle w:val="ListParagraph"/>
        <w:numPr>
          <w:ilvl w:val="0"/>
          <w:numId w:val="1"/>
        </w:numPr>
        <w:spacing w:after="70"/>
      </w:pPr>
      <w:r>
        <w:t xml:space="preserve">Cleaning pads</w:t>
      </w:r>
    </w:p>
    <w:p>
      <w:pPr>
        <w:pStyle w:val="ListParagraph"/>
        <w:numPr>
          <w:ilvl w:val="0"/>
          <w:numId w:val="1"/>
        </w:numPr>
        <w:spacing w:after="70"/>
      </w:pPr>
      <w:r>
        <w:t xml:space="preserve">Cleaning solution</w:t>
      </w:r>
    </w:p>
    <w:p>
      <w:pPr>
        <w:pStyle w:val="ListParagraph"/>
        <w:numPr>
          <w:ilvl w:val="0"/>
          <w:numId w:val="1"/>
        </w:numPr>
        <w:spacing w:after="70"/>
      </w:pPr>
      <w:r>
        <w:t xml:space="preserve">Dust bags</w:t>
      </w:r>
    </w:p>
    <w:p>
      <w:pPr>
        <w:pStyle w:val="ListParagraph"/>
        <w:numPr>
          <w:ilvl w:val="0"/>
          <w:numId w:val="1"/>
        </w:numPr>
        <w:spacing w:after="70"/>
      </w:pPr>
      <w:r>
        <w:t xml:space="preserve">Batteries</w:t>
      </w:r>
    </w:p>
    <w:p>
      <w:pPr>
        <w:pStyle w:val="ListParagraph"/>
        <w:numPr>
          <w:ilvl w:val="0"/>
          <w:numId w:val="1"/>
        </w:numPr>
        <w:spacing w:after="70"/>
      </w:pPr>
      <w:r>
        <w:t xml:space="preserve">Other consumables as defined by Sakar Admin / catalog management</w:t>
      </w:r>
    </w:p>
    <w:p>
      <w:pPr>
        <w:pStyle w:val="Heading2"/>
        <w:spacing w:after="140" w:before="280"/>
      </w:pPr>
      <w:r>
        <w:t xml:space="preserve">8.3 Spare Parts</w:t>
      </w:r>
    </w:p>
    <w:p>
      <w:pPr>
        <w:spacing w:after="160"/>
      </w:pPr>
      <w:r>
        <w:rPr>
          <w:b w:val="false"/>
          <w:bCs w:val="false"/>
          <w:i w:val="false"/>
          <w:iCs w:val="false"/>
        </w:rPr>
        <w:t xml:space="preserve">Tracked as a distinct inventory category, typically higher-value, serialized where relevant. Representative items:</w:t>
      </w:r>
    </w:p>
    <w:p>
      <w:pPr>
        <w:pStyle w:val="ListParagraph"/>
        <w:numPr>
          <w:ilvl w:val="0"/>
          <w:numId w:val="1"/>
        </w:numPr>
        <w:spacing w:after="70"/>
      </w:pPr>
      <w:r>
        <w:t xml:space="preserve">Motors</w:t>
      </w:r>
    </w:p>
    <w:p>
      <w:pPr>
        <w:pStyle w:val="ListParagraph"/>
        <w:numPr>
          <w:ilvl w:val="0"/>
          <w:numId w:val="1"/>
        </w:numPr>
        <w:spacing w:after="70"/>
      </w:pPr>
      <w:r>
        <w:t xml:space="preserve">Wheels</w:t>
      </w:r>
    </w:p>
    <w:p>
      <w:pPr>
        <w:pStyle w:val="ListParagraph"/>
        <w:numPr>
          <w:ilvl w:val="0"/>
          <w:numId w:val="1"/>
        </w:numPr>
        <w:spacing w:after="70"/>
      </w:pPr>
      <w:r>
        <w:t xml:space="preserve">Sensors (LiDAR, ultrasonic, camera)</w:t>
      </w:r>
    </w:p>
    <w:p>
      <w:pPr>
        <w:pStyle w:val="ListParagraph"/>
        <w:numPr>
          <w:ilvl w:val="0"/>
          <w:numId w:val="1"/>
        </w:numPr>
        <w:spacing w:after="70"/>
      </w:pPr>
      <w:r>
        <w:t xml:space="preserve">Controllers</w:t>
      </w:r>
    </w:p>
    <w:p>
      <w:pPr>
        <w:pStyle w:val="ListParagraph"/>
        <w:numPr>
          <w:ilvl w:val="0"/>
          <w:numId w:val="1"/>
        </w:numPr>
        <w:spacing w:after="70"/>
      </w:pPr>
      <w:r>
        <w:t xml:space="preserve">Chargers</w:t>
      </w:r>
    </w:p>
    <w:p>
      <w:pPr>
        <w:pStyle w:val="ListParagraph"/>
        <w:numPr>
          <w:ilvl w:val="0"/>
          <w:numId w:val="1"/>
        </w:numPr>
        <w:spacing w:after="70"/>
      </w:pPr>
      <w:r>
        <w:t xml:space="preserve">PCBs</w:t>
      </w:r>
    </w:p>
    <w:p>
      <w:pPr>
        <w:pStyle w:val="ListParagraph"/>
        <w:numPr>
          <w:ilvl w:val="0"/>
          <w:numId w:val="1"/>
        </w:numPr>
        <w:spacing w:after="70"/>
      </w:pPr>
      <w:r>
        <w:t xml:space="preserve">Other repair items as defined by Sakar Admin / catalog management</w:t>
      </w:r>
    </w:p>
    <w:p>
      <w:pPr>
        <w:pStyle w:val="Heading2"/>
        <w:spacing w:after="140" w:before="280"/>
      </w:pPr>
      <w:r>
        <w:t xml:space="preserve">8.4 Stock Transaction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Transaction Type</w:t>
            </w:r>
          </w:p>
        </w:tc>
        <w:tc>
          <w:tcPr>
            <w:tcW w:type="dxa" w:w="6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Description</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Stock Received</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New inventory received into an organization's stock, typically from Sakar or the upstream distributor</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Allocation</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 earmarked for a specific client, site, or robot without physical transfer</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Transfer</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Movement of stock between two organizations in the hierarchy (e.g. distributor to sub-distributor)</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Installation</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spare part is installed into a specific robot during service</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Service Consumption</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consumable or part is used up during a service visit</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Return</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 returned up the hierarchy (e.g. client to distributor) or to Sakar</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Damaged / Lost</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Stock written off due to damage or loss, with a required reason note</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 Adjustment</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Manual correction of recorded quantity, requiring a reason and approver</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Reorder Level Trigger</w:t>
            </w:r>
          </w:p>
        </w:tc>
        <w:tc>
          <w:tcPr>
            <w:tcW w:type="dxa" w:w="6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Automatic alert generated when stock falls below the configured reorder level</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 Audit</w:t>
            </w:r>
          </w:p>
        </w:tc>
        <w:tc>
          <w:tcPr>
            <w:tcW w:type="dxa" w:w="6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Periodic physical count reconciled against system quantity, producing a variance report</w:t>
            </w:r>
          </w:p>
        </w:tc>
      </w:tr>
    </w:tbl>
    <w:p>
      <w:pPr>
        <w:pStyle w:val="Heading2"/>
        <w:spacing w:after="140" w:before="280"/>
      </w:pPr>
      <w:r>
        <w:t xml:space="preserve">8.5 Visibility &amp; Scoping Rules</w:t>
      </w:r>
    </w:p>
    <w:p>
      <w:pPr>
        <w:pStyle w:val="ListParagraph"/>
        <w:numPr>
          <w:ilvl w:val="0"/>
          <w:numId w:val="1"/>
        </w:numPr>
        <w:spacing w:after="70"/>
      </w:pPr>
      <w:r>
        <w:t xml:space="preserve">Inventory is visible only within the organizations the requesting user is authorized to access (own organization plus authorized descendants).</w:t>
      </w:r>
    </w:p>
    <w:p>
      <w:pPr>
        <w:pStyle w:val="ListParagraph"/>
        <w:numPr>
          <w:ilvl w:val="0"/>
          <w:numId w:val="1"/>
        </w:numPr>
        <w:spacing w:after="70"/>
      </w:pPr>
      <w:r>
        <w:t xml:space="preserve">Sakar Admin has full inventory visibility and management rights across all organizations.</w:t>
      </w:r>
    </w:p>
    <w:p>
      <w:pPr>
        <w:pStyle w:val="ListParagraph"/>
        <w:numPr>
          <w:ilvl w:val="0"/>
          <w:numId w:val="1"/>
        </w:numPr>
        <w:spacing w:after="70"/>
      </w:pPr>
      <w:r>
        <w:t xml:space="preserve">A Distributor cannot view inventory belonging to another Distributor, a Direct Client, or any organization outside its own descendant tree.</w:t>
      </w:r>
    </w:p>
    <w:p>
      <w:pPr>
        <w:pStyle w:val="ListParagraph"/>
        <w:numPr>
          <w:ilvl w:val="0"/>
          <w:numId w:val="1"/>
        </w:numPr>
        <w:spacing w:after="70"/>
      </w:pPr>
      <w:r>
        <w:t xml:space="preserve">Every stock transaction is recorded against the organization(s) involved (from_org_id / to_org_id) to preserve a complete chain of custody.</w:t>
      </w:r>
    </w:p>
    <w:p>
      <w:r>
        <w:br w:type="page"/>
      </w:r>
    </w:p>
    <w:p>
      <w:pPr>
        <w:pStyle w:val="Heading1"/>
        <w:spacing w:after="200" w:before="420"/>
      </w:pPr>
      <w:r>
        <w:t xml:space="preserve">9. Dashboard and Reporting Requirements</w:t>
      </w:r>
    </w:p>
    <w:p>
      <w:pPr>
        <w:pStyle w:val="Heading2"/>
        <w:spacing w:after="140" w:before="280"/>
      </w:pPr>
      <w:r>
        <w:t xml:space="preserve">9.1 Role-Based Dashboards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Role</w:t>
            </w:r>
          </w:p>
        </w:tc>
        <w:tc>
          <w:tcPr>
            <w:tcW w:type="dxa" w:w="63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Dashboard Focus</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6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Global fleet health, org growth, cross-partner inventory levels, Keenon sync health, audit summary</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Staff (Authorized/Standard)</w:t>
            </w:r>
          </w:p>
        </w:tc>
        <w:tc>
          <w:tcPr>
            <w:tcW w:type="dxa" w:w="6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Assigned-scope fleet and task summary, pending Keenon mapping queue</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 Sub-distributor Admin</w:t>
            </w:r>
          </w:p>
        </w:tc>
        <w:tc>
          <w:tcPr>
            <w:tcW w:type="dxa" w:w="6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Own network's robot status, task volume, inventory levels, and reorder alerts</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Client Admin / Client User</w:t>
            </w:r>
          </w:p>
        </w:tc>
        <w:tc>
          <w:tcPr>
            <w:tcW w:type="dxa" w:w="6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Site-level robot status, task history, and inventory consumption</w:t>
            </w:r>
          </w:p>
        </w:tc>
      </w:tr>
      <w:tr>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Robot Operator</w:t>
            </w:r>
          </w:p>
        </w:tc>
        <w:tc>
          <w:tcPr>
            <w:tcW w:type="dxa" w:w="6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Assigned robots, task queue, and task history at their site</w:t>
            </w:r>
          </w:p>
        </w:tc>
      </w:tr>
      <w:tr>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Technician</w:t>
            </w:r>
          </w:p>
        </w:tc>
        <w:tc>
          <w:tcPr>
            <w:tcW w:type="dxa" w:w="6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Assigned service visits, parts consumption, and service history</w:t>
            </w:r>
          </w:p>
        </w:tc>
      </w:tr>
    </w:tbl>
    <w:p>
      <w:pPr>
        <w:pStyle w:val="Heading2"/>
        <w:spacing w:after="140" w:before="280"/>
      </w:pPr>
      <w:r>
        <w:t xml:space="preserve">9.2 Standard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rPr>
          <w:tblHeader/>
        </w:trPr>
        <w:tc>
          <w:tcPr>
            <w:tcW w:type="dxa" w:w="24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Report</w:t>
            </w:r>
          </w:p>
        </w:tc>
        <w:tc>
          <w:tcPr>
            <w:tcW w:type="dxa" w:w="39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Description</w:t>
            </w:r>
          </w:p>
        </w:tc>
        <w:tc>
          <w:tcPr>
            <w:tcW w:type="dxa" w:w="30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Available To</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Fleet Status Report</w:t>
            </w:r>
          </w:p>
        </w:tc>
        <w:tc>
          <w:tcPr>
            <w:tcW w:type="dxa" w:w="3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Robot counts by status, model, and organization</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(global), partners/clients (own scope)</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Task Completion Report</w:t>
            </w:r>
          </w:p>
        </w:tc>
        <w:tc>
          <w:tcPr>
            <w:tcW w:type="dxa" w:w="3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Task volumes, success/failure rates, by robot/site/date range</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 (global), partners/clients (own scope)</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Inventory Stock Level Report</w:t>
            </w:r>
          </w:p>
        </w:tc>
        <w:tc>
          <w:tcPr>
            <w:tcW w:type="dxa" w:w="3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Current stock by item, category, and organization, with reorder flags</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(global), partners/clients (own scope)</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Service History Report</w:t>
            </w:r>
          </w:p>
        </w:tc>
        <w:tc>
          <w:tcPr>
            <w:tcW w:type="dxa" w:w="3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Service visits, parts consumed, technician, and robot</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 (global), partners/clients (own scope)</w:t>
            </w:r>
          </w:p>
        </w:tc>
      </w:tr>
      <w:tr>
        <w:tc>
          <w:tcPr>
            <w:tcW w:type="dxa" w:w="24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Organization Hierarchy Report</w:t>
            </w:r>
          </w:p>
        </w:tc>
        <w:tc>
          <w:tcPr>
            <w:tcW w:type="dxa" w:w="39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Snapshot of the full or scoped partner/client tree with counts</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(global), partners (own descendants only)</w:t>
            </w:r>
          </w:p>
        </w:tc>
      </w:tr>
      <w:tr>
        <w:tc>
          <w:tcPr>
            <w:tcW w:type="dxa" w:w="24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Keenon Sync Health Report</w:t>
            </w:r>
          </w:p>
        </w:tc>
        <w:tc>
          <w:tcPr>
            <w:tcW w:type="dxa" w:w="39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Sync success rate, callback failures, pending mappings</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 only</w:t>
            </w:r>
          </w:p>
        </w:tc>
      </w:tr>
    </w:tbl>
    <w:p>
      <w:pPr>
        <w:pStyle w:val="Heading2"/>
        <w:spacing w:after="140" w:before="280"/>
      </w:pPr>
      <w:r>
        <w:t xml:space="preserve">9.3 Export &amp; Scheduling</w:t>
      </w:r>
    </w:p>
    <w:p>
      <w:pPr>
        <w:pStyle w:val="ListParagraph"/>
        <w:numPr>
          <w:ilvl w:val="0"/>
          <w:numId w:val="1"/>
        </w:numPr>
        <w:spacing w:after="70"/>
      </w:pPr>
      <w:r>
        <w:t xml:space="preserve">Reports can be exported to CSV, Excel, and PDF, always scoped to the exporting user's authorized organizations.</w:t>
      </w:r>
    </w:p>
    <w:p>
      <w:pPr>
        <w:pStyle w:val="ListParagraph"/>
        <w:numPr>
          <w:ilvl w:val="0"/>
          <w:numId w:val="1"/>
        </w:numPr>
        <w:spacing w:after="70"/>
      </w:pPr>
      <w:r>
        <w:t xml:space="preserve">Every export action is recorded in the audit log, including the filter/scope applied.</w:t>
      </w:r>
    </w:p>
    <w:p>
      <w:pPr>
        <w:pStyle w:val="ListParagraph"/>
        <w:numPr>
          <w:ilvl w:val="0"/>
          <w:numId w:val="1"/>
        </w:numPr>
        <w:spacing w:after="70"/>
      </w:pPr>
      <w:r>
        <w:t xml:space="preserve">Users with report access may optionally schedule recurring report delivery via email within their own organization scope.</w:t>
      </w:r>
    </w:p>
    <w:p>
      <w:r>
        <w:br w:type="page"/>
      </w:r>
    </w:p>
    <w:p>
      <w:pPr>
        <w:pStyle w:val="Heading1"/>
        <w:spacing w:after="200" w:before="420"/>
      </w:pPr>
      <w:r>
        <w:t xml:space="preserve">10. Security, Audit, and Data-Isolation Requirements</w:t>
      </w:r>
    </w:p>
    <w:p>
      <w:pPr>
        <w:pStyle w:val="Heading2"/>
        <w:spacing w:after="140" w:before="280"/>
      </w:pPr>
      <w:r>
        <w:t xml:space="preserve">10.1 Role-Based Access Control (RBAC)</w:t>
      </w:r>
    </w:p>
    <w:p>
      <w:pPr>
        <w:pStyle w:val="ListParagraph"/>
        <w:numPr>
          <w:ilvl w:val="0"/>
          <w:numId w:val="1"/>
        </w:numPr>
        <w:spacing w:after="70"/>
      </w:pPr>
      <w:r>
        <w:t xml:space="preserve">Every action in the system is governed by a Role that defines the set of permitted operations (create/read/update/delete/export) per resource type.</w:t>
      </w:r>
    </w:p>
    <w:p>
      <w:pPr>
        <w:pStyle w:val="ListParagraph"/>
        <w:numPr>
          <w:ilvl w:val="0"/>
          <w:numId w:val="1"/>
        </w:numPr>
        <w:spacing w:after="70"/>
      </w:pPr>
      <w:r>
        <w:t xml:space="preserve">Roles are assignable only within the assigner's own authorized organization scope.</w:t>
      </w:r>
    </w:p>
    <w:p>
      <w:pPr>
        <w:pStyle w:val="Heading2"/>
        <w:spacing w:after="140" w:before="280"/>
      </w:pPr>
      <w:r>
        <w:t xml:space="preserve">10.2 Organization-Based Access Control (OBAC) and Data Isolation</w:t>
      </w:r>
    </w:p>
    <w:p>
      <w:pPr>
        <w:pStyle w:val="ListParagraph"/>
        <w:numPr>
          <w:ilvl w:val="0"/>
          <w:numId w:val="1"/>
        </w:numPr>
        <w:spacing w:after="70"/>
      </w:pPr>
      <w:r>
        <w:t xml:space="preserve">Every data query is filtered by the requesting user's organization hierarchy path — a user may only retrieve records whose organization is their own or an authorized descendant.</w:t>
      </w:r>
    </w:p>
    <w:p>
      <w:pPr>
        <w:pStyle w:val="ListParagraph"/>
        <w:numPr>
          <w:ilvl w:val="0"/>
          <w:numId w:val="1"/>
        </w:numPr>
        <w:spacing w:after="70"/>
      </w:pPr>
      <w:r>
        <w:t xml:space="preserve">Distributors and sub-distributors must never view, search, export, modify, or otherwise access data belonging to Sakar's direct clients, other distributors, or unrelated branches of the hierarchy — enforced at the data-access layer, not only in the UI.</w:t>
      </w:r>
    </w:p>
    <w:p>
      <w:pPr>
        <w:pStyle w:val="ListParagraph"/>
        <w:numPr>
          <w:ilvl w:val="0"/>
          <w:numId w:val="1"/>
        </w:numPr>
        <w:spacing w:after="70"/>
      </w:pPr>
      <w:r>
        <w:t xml:space="preserve">Every API request is evaluated against both RBAC (can this role perform this action) and OBAC (does this organization scope include the target record) before being permitted.</w:t>
      </w:r>
    </w:p>
    <w:p>
      <w:pPr>
        <w:pStyle w:val="ListParagraph"/>
        <w:numPr>
          <w:ilvl w:val="0"/>
          <w:numId w:val="1"/>
        </w:numPr>
        <w:spacing w:after="70"/>
      </w:pPr>
      <w:r>
        <w:t xml:space="preserve">Attempts to access out-of-scope data return an authorization error and are recorded in the audit log with actor, target, and reason (see Workflow 7, Section 12).</w:t>
      </w:r>
    </w:p>
    <w:p>
      <w:pPr>
        <w:pStyle w:val="Heading2"/>
        <w:spacing w:after="140" w:before="280"/>
      </w:pPr>
      <w:r>
        <w:t xml:space="preserve">10.3 Audit Logging</w:t>
      </w:r>
    </w:p>
    <w:p>
      <w:pPr>
        <w:pStyle w:val="ListParagraph"/>
        <w:numPr>
          <w:ilvl w:val="0"/>
          <w:numId w:val="1"/>
        </w:numPr>
        <w:spacing w:after="70"/>
      </w:pPr>
      <w:r>
        <w:t xml:space="preserve">Every create, update, delete, export, login/logout, permission change, and denied-access attempt is logged with actor, organization, action, affected resource, before/after state, timestamp, and source IP.</w:t>
      </w:r>
    </w:p>
    <w:p>
      <w:pPr>
        <w:pStyle w:val="ListParagraph"/>
        <w:numPr>
          <w:ilvl w:val="0"/>
          <w:numId w:val="1"/>
        </w:numPr>
        <w:spacing w:after="70"/>
      </w:pPr>
      <w:r>
        <w:t xml:space="preserve">Audit logs are append-only and cannot be edited or deleted by any role, including Sakar Admin, through the application layer.</w:t>
      </w:r>
    </w:p>
    <w:p>
      <w:pPr>
        <w:pStyle w:val="ListParagraph"/>
        <w:numPr>
          <w:ilvl w:val="0"/>
          <w:numId w:val="1"/>
        </w:numPr>
        <w:spacing w:after="70"/>
      </w:pPr>
      <w:r>
        <w:t xml:space="preserve">Audit logs are retained for a minimum period to be defined with compliance stakeholders (see Section 15) and are viewable per the scope defined in Section 5.2.</w:t>
      </w:r>
    </w:p>
    <w:p>
      <w:pPr>
        <w:pStyle w:val="Heading2"/>
        <w:spacing w:after="140" w:before="280"/>
      </w:pPr>
      <w:r>
        <w:t xml:space="preserve">10.4 Authentication &amp; Session Management</w:t>
      </w:r>
    </w:p>
    <w:p>
      <w:pPr>
        <w:pStyle w:val="ListParagraph"/>
        <w:numPr>
          <w:ilvl w:val="0"/>
          <w:numId w:val="1"/>
        </w:numPr>
        <w:spacing w:after="70"/>
      </w:pPr>
      <w:r>
        <w:t xml:space="preserve">Enforce strong password policy and support multi-factor authentication.</w:t>
      </w:r>
    </w:p>
    <w:p>
      <w:pPr>
        <w:pStyle w:val="ListParagraph"/>
        <w:numPr>
          <w:ilvl w:val="0"/>
          <w:numId w:val="1"/>
        </w:numPr>
        <w:spacing w:after="70"/>
      </w:pPr>
      <w:r>
        <w:t xml:space="preserve">Sessions expire after a configurable period of inactivity; tokens are invalidated on password change or account suspension.</w:t>
      </w:r>
    </w:p>
    <w:p>
      <w:pPr>
        <w:pStyle w:val="ListParagraph"/>
        <w:numPr>
          <w:ilvl w:val="0"/>
          <w:numId w:val="1"/>
        </w:numPr>
        <w:spacing w:after="70"/>
      </w:pPr>
      <w:r>
        <w:t xml:space="preserve">Support account lockout after repeated failed login attempts, with notification to the affected user.</w:t>
      </w:r>
    </w:p>
    <w:p>
      <w:pPr>
        <w:pStyle w:val="Heading2"/>
        <w:spacing w:after="140" w:before="280"/>
      </w:pPr>
      <w:r>
        <w:t xml:space="preserve">10.5 Encryption &amp; Secrets Management</w:t>
      </w:r>
    </w:p>
    <w:p>
      <w:pPr>
        <w:pStyle w:val="ListParagraph"/>
        <w:numPr>
          <w:ilvl w:val="0"/>
          <w:numId w:val="1"/>
        </w:numPr>
        <w:spacing w:after="70"/>
      </w:pPr>
      <w:r>
        <w:t xml:space="preserve">Data is encrypted in transit (TLS) and at rest for all sensitive fields, including Keenon credentials and tokens.</w:t>
      </w:r>
    </w:p>
    <w:p>
      <w:pPr>
        <w:pStyle w:val="ListParagraph"/>
        <w:numPr>
          <w:ilvl w:val="0"/>
          <w:numId w:val="1"/>
        </w:numPr>
        <w:spacing w:after="70"/>
      </w:pPr>
      <w:r>
        <w:t xml:space="preserve">Keenon client secret, access token, and refresh token are stored only in backend secret storage and are never exposed to any frontend client, log, or export.</w:t>
      </w:r>
    </w:p>
    <w:p>
      <w:r>
        <w:br w:type="page"/>
      </w:r>
    </w:p>
    <w:p>
      <w:pPr>
        <w:pStyle w:val="Heading1"/>
        <w:spacing w:after="200" w:before="420"/>
      </w:pPr>
      <w:r>
        <w:t xml:space="preserve">11.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rPr>
          <w:tblHeader/>
        </w:trPr>
        <w:tc>
          <w:tcPr>
            <w:tcW w:type="dxa" w:w="18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Category</w:t>
            </w:r>
          </w:p>
        </w:tc>
        <w:tc>
          <w:tcPr>
            <w:tcW w:type="dxa" w:w="45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Requirement</w:t>
            </w:r>
          </w:p>
        </w:tc>
        <w:tc>
          <w:tcPr>
            <w:tcW w:type="dxa" w:w="30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Target</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Performance</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Standard dashboard and list views load quickly under normal load</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P95 page load ≤ 2.5s; P95 API response ≤ 500ms</w:t>
            </w:r>
          </w:p>
        </w:tc>
      </w:tr>
      <w:tr>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Scalability</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growth in partners, clients, robots, and inventory without redesign</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 10,000 robots and ≥ 5,000 organizations at launch scale</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Availability</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Platform is available during business operations, including for time-sensitive robot tasks</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 99.5% monthly uptime for core services</w:t>
            </w:r>
          </w:p>
        </w:tc>
      </w:tr>
      <w:tr>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Usability</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Role-appropriate UI so partners and clients can self-serve without training</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New client admin can complete first user/site setup unaided</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Compatibility</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Support current major desktop browsers and responsive mobile web for field/technician use</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Latest 2 versions of Chrome, Edge, Safari, Firefox</w:t>
            </w:r>
          </w:p>
        </w:tc>
      </w:tr>
      <w:tr>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Localization</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Support future multi-language rollout as the partner network grows internationally</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English at launch; architecture supports adding locales</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Maintainability</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New organization types, task types, or inventory categories can be added via configuration</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No code change required to onboard a new partner or item category</w:t>
            </w:r>
          </w:p>
        </w:tc>
      </w:tr>
      <w:tr>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Backup &amp; Disaster Recovery</w:t>
            </w:r>
          </w:p>
        </w:tc>
        <w:tc>
          <w:tcPr>
            <w:tcW w:type="dxa" w:w="4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Protect against data loss</w:t>
            </w:r>
          </w:p>
        </w:tc>
        <w:tc>
          <w:tcPr>
            <w:tcW w:type="dxa" w:w="30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Daily backups; defined RPO/RTO to be confirmed with infrastructure stakeholders</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Auditability</w:t>
            </w:r>
          </w:p>
        </w:tc>
        <w:tc>
          <w:tcPr>
            <w:tcW w:type="dxa" w:w="4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All security-relevant events are traceable</w:t>
            </w:r>
          </w:p>
        </w:tc>
        <w:tc>
          <w:tcPr>
            <w:tcW w:type="dxa" w:w="30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100% coverage per Section 10.3</w:t>
            </w:r>
          </w:p>
        </w:tc>
      </w:tr>
    </w:tbl>
    <w:p>
      <w:r>
        <w:br w:type="page"/>
      </w:r>
    </w:p>
    <w:p>
      <w:pPr>
        <w:pStyle w:val="Heading1"/>
        <w:spacing w:after="200" w:before="420"/>
      </w:pPr>
      <w:r>
        <w:t xml:space="preserve">12. User Workflows</w:t>
      </w:r>
    </w:p>
    <w:p>
      <w:pPr>
        <w:pStyle w:val="Heading2"/>
        <w:spacing w:after="140" w:before="280"/>
      </w:pPr>
      <w:r>
        <w:t xml:space="preserve">12.1 Workflow 1 — Sakar Admin Creates a Distributor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Navigates to Organizations → Distributors → New Distributor</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displays the Distributor creation form</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Enters distributor company details and an initial Distributor Admin user</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validates required fields and email uniqueness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Creates the Distributor organization as a child of Sakar Robotics with a hierarchy_path</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New organization and admin user are persisted; invite email sent</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Logs the creation event</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Audit log entry created with actor = Sakar Admin, resource = Distributor</w:t>
            </w:r>
          </w:p>
        </w:tc>
      </w:tr>
    </w:tbl>
    <w:p>
      <w:pPr>
        <w:pStyle w:val="Heading2"/>
        <w:spacing w:after="140" w:before="280"/>
      </w:pPr>
      <w:r>
        <w:t xml:space="preserve">12.2 Workflow 2 — Distributor Creates a Sub-distributor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Navigates to Organizations → Sub-distributors → New Sub-distributor</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confirms the actor's role permits this action (OAM-5)</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Distributor 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Enters sub-distributor details and an initial Sub-distributor Admin user</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validates fields; scopes the new org's parent to this Distributor</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Creates the Sub-distributor as a descendant of the Distributor's hierarchy_path</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New organization is only visible to this Distributor and Sakar Admin</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Logs the creation event</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Audit log entry created and scoped to the Distributor's organization</w:t>
            </w:r>
          </w:p>
        </w:tc>
      </w:tr>
    </w:tbl>
    <w:p>
      <w:pPr>
        <w:pStyle w:val="Heading2"/>
        <w:spacing w:after="140" w:before="280"/>
      </w:pPr>
      <w:r>
        <w:t xml:space="preserve">12.3 Workflow 3 — Distributor/Sub-distributor Creates a Client and Client Admin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or Sub-distributor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Navigates to Clients → New Client</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confirms creator's role and scope (OAM-5/OAM-6)</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Enters client company details, initial site, and Client Admin user</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validates fields and creates the Client as a descendant of the creator's organization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Sends activation invite to the Client Admin</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Client Admin can log in and manage only their own organization thereafter (OAM-7)</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Logs the creation event</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Audit log entry scoped to the creating Distributor/Sub-distributor</w:t>
            </w:r>
          </w:p>
        </w:tc>
      </w:tr>
    </w:tbl>
    <w:p>
      <w:pPr>
        <w:pStyle w:val="Heading2"/>
        <w:spacing w:after="140" w:before="280"/>
      </w:pPr>
      <w:r>
        <w:t xml:space="preserve">12.4 Workflow 4 — Sakar Assigns a Robot to a Client Site and Links It to a Keenon Robot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Selects a robot record in In Stock or Allocated status</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shows eligible client organizations and sites</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Assigns the robot to a Client organization and a specific Site; sets status to Commissioned</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updates assigned_client_org_id and assigned_site_id</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Links the robot to its Keenon robot ID (from the synced Keenon robot list)</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creates a KeenonRobotMapping, enforcing 1:1 uniqueness</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Begins telemetry sync for the robot</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Status, battery, and location become visible to the assigned Client per Section 5.2</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5</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Logs the assignment and mapping events</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Audit log entries created for both actions</w:t>
            </w:r>
          </w:p>
        </w:tc>
      </w:tr>
    </w:tbl>
    <w:p>
      <w:pPr>
        <w:pStyle w:val="Heading2"/>
        <w:spacing w:after="140" w:before="280"/>
      </w:pPr>
      <w:r>
        <w:t xml:space="preserve">12.5 Workflow 5 — Client Operator Sends a Permitted Robot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Robot Operator</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Opens the robot's task panel at their site</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shows only robots assigned to the operator's site</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Robot Operator</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Selects a task type (e.g. multi-point delivery) and target point(s)</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restricts task types to those enabled for the robot's vertical (TM-3)</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Robot Operator</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Submits the task</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validates authorization and forwards the task to the Keenon Open Platform</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Receives Keenon callback with task progress</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Task status updates in real time; visible to the operator and their organization's admins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5</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Logs the task submission</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Audit log entry created with initiating user, robot, and site</w:t>
            </w:r>
          </w:p>
        </w:tc>
      </w:tr>
    </w:tbl>
    <w:p>
      <w:pPr>
        <w:pStyle w:val="Heading2"/>
        <w:spacing w:after="140" w:before="280"/>
      </w:pPr>
      <w:r>
        <w:t xml:space="preserve">12.6 Workflow 6 — Technician Consumes a Spare Part During Service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Technician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Opens the service record for a robot under service</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shows the robot's owning/assigned organization and current stock context</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Technician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Selects the spare part used (e.g. a wheel motor) and records the quantity</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validates that stock is available within the technician's authorized organization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Creates a Service Consumption stock transaction and decrements available stock</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Reorder-level alert triggers automatically if stock falls below threshold</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Appends the consumption to the robot's Service History</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Service record is updated with parts consumed and technician notes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5</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Logs the transaction</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Audit log entry created; visible to the organization's admins per Section 5.2</w:t>
            </w:r>
          </w:p>
        </w:tc>
      </w:tr>
    </w:tbl>
    <w:p>
      <w:pPr>
        <w:pStyle w:val="Heading2"/>
        <w:spacing w:after="140" w:before="280"/>
      </w:pPr>
      <w:r>
        <w:t xml:space="preserve">12.7 Workflow 7 — A Distributor Attempts to Access Another Distributor's Client Data (Denied)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Distributor A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Attempts to open a client, site, robot, or inventory record belonging to Distributor B's hierarchy (e.g. via a guessed or shared URL/ID)</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evaluates the request against Distributor A's hierarchy_path</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Determines the target record's organization is not within Distributor A's own organization or authorized descendants</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Access is denied with an authorization error (no data returned, including existence confirmation)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Records the denied attempt</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Audit log entry created: actor = Distributor A Admin, action = ACCESS_DENIED, target org = Distributor B's descendant</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May review denied-access attempts in the audit/security report</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Repeated attempts can be flagged for investigation</w:t>
            </w:r>
          </w:p>
        </w:tc>
      </w:tr>
    </w:tbl>
    <w:p>
      <w:pPr>
        <w:pStyle w:val="Heading2"/>
        <w:spacing w:after="140" w:before="280"/>
      </w:pPr>
      <w:r>
        <w:t xml:space="preserve">12.8 Workflow 8 — Sakar Admin Reviews Organization-Wide Reports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700"/>
        <w:gridCol w:w="3300"/>
        <w:gridCol w:w="3660"/>
      </w:tblGrid>
      <w:tr>
        <w:trPr>
          <w:tblHeader/>
        </w:trPr>
        <w:tc>
          <w:tcPr>
            <w:tcW w:type="dxa" w:w="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Step</w:t>
            </w:r>
          </w:p>
        </w:tc>
        <w:tc>
          <w:tcPr>
            <w:tcW w:type="dxa" w:w="17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Actor</w:t>
            </w:r>
          </w:p>
        </w:tc>
        <w:tc>
          <w:tcPr>
            <w:tcW w:type="dxa" w:w="33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Action</w:t>
            </w:r>
          </w:p>
        </w:tc>
        <w:tc>
          <w:tcPr>
            <w:tcW w:type="dxa" w:w="36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System Response / Validation</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1</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Opens the global dashboard</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aggregates robot, task, and inventory data across all organizations (VG/F global scope)</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2</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Filters by organization, date range, robot model, or status</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 applies filters without any organization-scope restriction, since Sakar Admin has global access</w:t>
            </w:r>
          </w:p>
        </w:tc>
      </w:tr>
      <w:tr>
        <w:tc>
          <w:tcPr>
            <w:tcW w:type="dxa" w:w="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3</w:t>
            </w:r>
          </w:p>
        </w:tc>
        <w:tc>
          <w:tcPr>
            <w:tcW w:type="dxa" w:w="17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w:t>
            </w:r>
          </w:p>
        </w:tc>
        <w:tc>
          <w:tcPr>
            <w:tcW w:type="dxa" w:w="33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Exports a consolidated report</w:t>
            </w:r>
          </w:p>
        </w:tc>
        <w:tc>
          <w:tcPr>
            <w:tcW w:type="dxa" w:w="36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System generates the export and records the export scope in the audit log</w:t>
            </w:r>
          </w:p>
        </w:tc>
      </w:tr>
      <w:tr>
        <w:tc>
          <w:tcPr>
            <w:tcW w:type="dxa" w:w="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4</w:t>
            </w:r>
          </w:p>
        </w:tc>
        <w:tc>
          <w:tcPr>
            <w:tcW w:type="dxa" w:w="17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System</w:t>
            </w:r>
          </w:p>
        </w:tc>
        <w:tc>
          <w:tcPr>
            <w:tcW w:type="dxa" w:w="33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Confirms export completion</w:t>
            </w:r>
          </w:p>
        </w:tc>
        <w:tc>
          <w:tcPr>
            <w:tcW w:type="dxa" w:w="36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Report is delivered via download or scheduled email per user preference</w:t>
            </w:r>
          </w:p>
        </w:tc>
      </w:tr>
    </w:tbl>
    <w:p>
      <w:r>
        <w:br w:type="page"/>
      </w:r>
    </w:p>
    <w:p>
      <w:pPr>
        <w:pStyle w:val="Heading1"/>
        <w:spacing w:after="200" w:before="420"/>
      </w:pPr>
      <w:r>
        <w:t xml:space="preserve">13. Acceptance Criteria</w:t>
      </w:r>
    </w:p>
    <w:p>
      <w:pPr>
        <w:spacing w:after="160"/>
      </w:pPr>
      <w:r>
        <w:rPr>
          <w:b w:val="false"/>
          <w:bCs w:val="false"/>
          <w:i w:val="false"/>
          <w:iCs w:val="false"/>
        </w:rPr>
        <w:t xml:space="preserve">Representative Given/When/Then criteria per functional area. Each maps to the functional requirement IDs in Section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2560"/>
        <w:gridCol w:w="2900"/>
        <w:gridCol w:w="2800"/>
      </w:tblGrid>
      <w:tr>
        <w:trPr>
          <w:tblHeader/>
        </w:trPr>
        <w:tc>
          <w:tcPr>
            <w:tcW w:type="dxa" w:w="11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Ref</w:t>
            </w:r>
          </w:p>
        </w:tc>
        <w:tc>
          <w:tcPr>
            <w:tcW w:type="dxa" w:w="25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Given</w:t>
            </w:r>
          </w:p>
        </w:tc>
        <w:tc>
          <w:tcPr>
            <w:tcW w:type="dxa" w:w="29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When</w:t>
            </w:r>
          </w:p>
        </w:tc>
        <w:tc>
          <w:tcPr>
            <w:tcW w:type="dxa" w:w="28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Then</w:t>
            </w:r>
          </w:p>
        </w:tc>
      </w:tr>
      <w:tr>
        <w:tc>
          <w:tcPr>
            <w:tcW w:type="dxa" w:w="1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OAM-4</w:t>
            </w:r>
          </w:p>
        </w:tc>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Sakar Staff account has been granted the “Can create Distributors” flag</w:t>
            </w:r>
          </w:p>
        </w:tc>
        <w:tc>
          <w:tcPr>
            <w:tcW w:type="dxa" w:w="2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That staff member submits a new Distributor creation form</w:t>
            </w:r>
          </w:p>
        </w:tc>
        <w:tc>
          <w:tcPr>
            <w:tcW w:type="dxa" w:w="2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Distributor is created and appears only to Sakar Admin and that staff member's assigned scope; staff without the flag cannot access the creation form</w:t>
            </w:r>
          </w:p>
        </w:tc>
      </w:tr>
      <w:tr>
        <w:tc>
          <w:tcPr>
            <w:tcW w:type="dxa" w:w="1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OAM-5</w:t>
            </w:r>
          </w:p>
        </w:tc>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Distributor Admin is logged in</w:t>
            </w:r>
          </w:p>
        </w:tc>
        <w:tc>
          <w:tcPr>
            <w:tcW w:type="dxa" w:w="2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They attempt to create a Sub-distributor or Client</w:t>
            </w:r>
          </w:p>
        </w:tc>
        <w:tc>
          <w:tcPr>
            <w:tcW w:type="dxa" w:w="2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new organization is created as a descendant of their own organization only, and is not visible to any other Distributor</w:t>
            </w:r>
          </w:p>
        </w:tc>
      </w:tr>
      <w:tr>
        <w:tc>
          <w:tcPr>
            <w:tcW w:type="dxa" w:w="1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RFM-4</w:t>
            </w:r>
          </w:p>
        </w:tc>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robot record exists with no Keenon mapping</w:t>
            </w:r>
          </w:p>
        </w:tc>
        <w:tc>
          <w:tcPr>
            <w:tcW w:type="dxa" w:w="2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Sakar Admin links it to a Keenon robot ID already mapped to another Sakar robot</w:t>
            </w:r>
          </w:p>
        </w:tc>
        <w:tc>
          <w:tcPr>
            <w:tcW w:type="dxa" w:w="2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system rejects the link and displays a duplicate-mapping error</w:t>
            </w:r>
          </w:p>
        </w:tc>
      </w:tr>
      <w:tr>
        <w:tc>
          <w:tcPr>
            <w:tcW w:type="dxa" w:w="1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TM-3</w:t>
            </w:r>
          </w:p>
        </w:tc>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robot is deployed at a hotel site with hotel-delivery APIs enabled, and elevator control disabled</w:t>
            </w:r>
          </w:p>
        </w:tc>
        <w:tc>
          <w:tcPr>
            <w:tcW w:type="dxa" w:w="2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Robot Operator opens the task panel</w:t>
            </w:r>
          </w:p>
        </w:tc>
        <w:tc>
          <w:tcPr>
            <w:tcW w:type="dxa" w:w="2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Only hotel-delivery task types are available; elevator-control task options are not shown</w:t>
            </w:r>
          </w:p>
        </w:tc>
      </w:tr>
      <w:tr>
        <w:tc>
          <w:tcPr>
            <w:tcW w:type="dxa" w:w="1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INV-2</w:t>
            </w:r>
          </w:p>
        </w:tc>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An organization's stock of a spare part is at 5 units</w:t>
            </w:r>
          </w:p>
        </w:tc>
        <w:tc>
          <w:tcPr>
            <w:tcW w:type="dxa" w:w="2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technician records a Service Consumption of 2 units</w:t>
            </w:r>
          </w:p>
        </w:tc>
        <w:tc>
          <w:tcPr>
            <w:tcW w:type="dxa" w:w="2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Stock is decremented to 3 units and a StockTransaction of type Consumed is recorded</w:t>
            </w:r>
          </w:p>
        </w:tc>
      </w:tr>
      <w:tr>
        <w:tc>
          <w:tcPr>
            <w:tcW w:type="dxa" w:w="1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INV-3</w:t>
            </w:r>
          </w:p>
        </w:tc>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reorder level of 10 is configured for a consumable</w:t>
            </w:r>
          </w:p>
        </w:tc>
        <w:tc>
          <w:tcPr>
            <w:tcW w:type="dxa" w:w="2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Stock falls to 9 units after any transaction</w:t>
            </w:r>
          </w:p>
        </w:tc>
        <w:tc>
          <w:tcPr>
            <w:tcW w:type="dxa" w:w="2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low-stock alert/notification is generated for the owning organization's admins</w:t>
            </w:r>
          </w:p>
        </w:tc>
      </w:tr>
      <w:tr>
        <w:tc>
          <w:tcPr>
            <w:tcW w:type="dxa" w:w="1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SEC-3 / Workflow 7</w:t>
            </w:r>
          </w:p>
        </w:tc>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Distributor A user is authenticated</w:t>
            </w:r>
          </w:p>
        </w:tc>
        <w:tc>
          <w:tcPr>
            <w:tcW w:type="dxa" w:w="2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They request a resource belonging to Distributor B's hierarchy by direct ID</w:t>
            </w:r>
          </w:p>
        </w:tc>
        <w:tc>
          <w:tcPr>
            <w:tcW w:type="dxa" w:w="2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request is denied with an authorization error and an ACCESS_DENIED audit entry is created</w:t>
            </w:r>
          </w:p>
        </w:tc>
      </w:tr>
      <w:tr>
        <w:tc>
          <w:tcPr>
            <w:tcW w:type="dxa" w:w="11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KIN-5</w:t>
            </w:r>
          </w:p>
        </w:tc>
        <w:tc>
          <w:tcPr>
            <w:tcW w:type="dxa" w:w="25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Keenon callback is received with an invalid signature</w:t>
            </w:r>
          </w:p>
        </w:tc>
        <w:tc>
          <w:tcPr>
            <w:tcW w:type="dxa" w:w="29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system processes the inbound webhook</w:t>
            </w:r>
          </w:p>
        </w:tc>
        <w:tc>
          <w:tcPr>
            <w:tcW w:type="dxa" w:w="2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callback is rejected, not applied to any Task/Robot record, and logged as an invalid-signature event</w:t>
            </w:r>
          </w:p>
        </w:tc>
      </w:tr>
      <w:tr>
        <w:tc>
          <w:tcPr>
            <w:tcW w:type="dxa" w:w="11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RPT-2</w:t>
            </w:r>
          </w:p>
        </w:tc>
        <w:tc>
          <w:tcPr>
            <w:tcW w:type="dxa" w:w="25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Sub-distributor Admin exports an inventory report</w:t>
            </w:r>
          </w:p>
        </w:tc>
        <w:tc>
          <w:tcPr>
            <w:tcW w:type="dxa" w:w="29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The export is generated</w:t>
            </w:r>
          </w:p>
        </w:tc>
        <w:tc>
          <w:tcPr>
            <w:tcW w:type="dxa" w:w="2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Only inventory belonging to the Sub-distributor and its own Clients is included; the export action is recorded in the audit log</w:t>
            </w:r>
          </w:p>
        </w:tc>
      </w:tr>
    </w:tbl>
    <w:p>
      <w:r>
        <w:br w:type="page"/>
      </w:r>
    </w:p>
    <w:p>
      <w:pPr>
        <w:pStyle w:val="Heading1"/>
        <w:spacing w:after="200" w:before="420"/>
      </w:pPr>
      <w:r>
        <w:t xml:space="preserve">14. Delivery Phases / MVP Roadmap</w:t>
      </w:r>
    </w:p>
    <w:p>
      <w:pPr>
        <w:pStyle w:val="Heading2"/>
        <w:spacing w:after="140" w:before="280"/>
      </w:pPr>
      <w:r>
        <w:t xml:space="preserve">14.1 MVP Scope (Phase 1)</w:t>
      </w:r>
    </w:p>
    <w:p>
      <w:pPr>
        <w:spacing w:after="160"/>
      </w:pPr>
      <w:r>
        <w:rPr>
          <w:b w:val="false"/>
          <w:bCs w:val="false"/>
          <w:i w:val="false"/>
          <w:iCs w:val="false"/>
        </w:rPr>
        <w:t xml:space="preserve">The MVP delivers the minimum feature set required to replace spreadsheet-based operations with a governed, auditable system.</w:t>
      </w:r>
    </w:p>
    <w:p>
      <w:pPr>
        <w:pStyle w:val="ListParagraph"/>
        <w:numPr>
          <w:ilvl w:val="0"/>
          <w:numId w:val="1"/>
        </w:numPr>
        <w:spacing w:after="70"/>
      </w:pPr>
      <w:r>
        <w:t xml:space="preserve">Organization hierarchy: Sakar Robotics, Distributor, Sub-distributor, Client, Direct Client, with full CRUD scoped per Section 3 and Section 5.</w:t>
      </w:r>
    </w:p>
    <w:p>
      <w:pPr>
        <w:pStyle w:val="ListParagraph"/>
        <w:numPr>
          <w:ilvl w:val="0"/>
          <w:numId w:val="1"/>
        </w:numPr>
        <w:spacing w:after="70"/>
      </w:pPr>
      <w:r>
        <w:t xml:space="preserve">User &amp; role management with RBAC + OBAC enforcement (Sections 4.1, 4.2, 10).</w:t>
      </w:r>
    </w:p>
    <w:p>
      <w:pPr>
        <w:pStyle w:val="ListParagraph"/>
        <w:numPr>
          <w:ilvl w:val="0"/>
          <w:numId w:val="1"/>
        </w:numPr>
        <w:spacing w:after="70"/>
      </w:pPr>
      <w:r>
        <w:t xml:space="preserve">Robot registration, assignment to client/site, lifecycle status, and Keenon robot ID linking (Section 4.3).</w:t>
      </w:r>
    </w:p>
    <w:p>
      <w:pPr>
        <w:pStyle w:val="ListParagraph"/>
        <w:numPr>
          <w:ilvl w:val="0"/>
          <w:numId w:val="1"/>
        </w:numPr>
        <w:spacing w:after="70"/>
      </w:pPr>
      <w:r>
        <w:t xml:space="preserve">Site/customer management (Section 4.4).</w:t>
      </w:r>
    </w:p>
    <w:p>
      <w:pPr>
        <w:pStyle w:val="ListParagraph"/>
        <w:numPr>
          <w:ilvl w:val="0"/>
          <w:numId w:val="1"/>
        </w:numPr>
        <w:spacing w:after="70"/>
      </w:pPr>
      <w:r>
        <w:t xml:space="preserve">Core Keenon integration: credential management, store/robot/status sync, callback handling with signature validation (Section 7.1, 7.2, 7.5).</w:t>
      </w:r>
    </w:p>
    <w:p>
      <w:pPr>
        <w:pStyle w:val="ListParagraph"/>
        <w:numPr>
          <w:ilvl w:val="0"/>
          <w:numId w:val="1"/>
        </w:numPr>
        <w:spacing w:after="70"/>
      </w:pPr>
      <w:r>
        <w:t xml:space="preserve">Basic task dispatch: remote call, multi-point delivery, return-to-origin (Section 7.3, excluding vertical-specific APIs).</w:t>
      </w:r>
    </w:p>
    <w:p>
      <w:pPr>
        <w:pStyle w:val="ListParagraph"/>
        <w:numPr>
          <w:ilvl w:val="0"/>
          <w:numId w:val="1"/>
        </w:numPr>
        <w:spacing w:after="70"/>
      </w:pPr>
      <w:r>
        <w:t xml:space="preserve">Inventory management for robots, consumables, and spare parts with core stock transactions: received, allocation, transfer, installation, consumption, adjustment (Section 8).</w:t>
      </w:r>
    </w:p>
    <w:p>
      <w:pPr>
        <w:pStyle w:val="ListParagraph"/>
        <w:numPr>
          <w:ilvl w:val="0"/>
          <w:numId w:val="1"/>
        </w:numPr>
        <w:spacing w:after="70"/>
      </w:pPr>
      <w:r>
        <w:t xml:space="preserve">Role-based dashboards and the core report set: Fleet Status, Task Completion, Inventory Stock Level (Section 9).</w:t>
      </w:r>
    </w:p>
    <w:p>
      <w:pPr>
        <w:pStyle w:val="ListParagraph"/>
        <w:numPr>
          <w:ilvl w:val="0"/>
          <w:numId w:val="1"/>
        </w:numPr>
        <w:spacing w:after="70"/>
      </w:pPr>
      <w:r>
        <w:t xml:space="preserve">Full audit logging of create/update/delete/export/login/denied-access events (Section 10.3).</w:t>
      </w:r>
    </w:p>
    <w:p>
      <w:pPr>
        <w:pStyle w:val="Heading2"/>
        <w:spacing w:after="140" w:before="280"/>
      </w:pPr>
      <w:r>
        <w:t xml:space="preserve">14.2 Phase 2 Scope</w:t>
      </w:r>
    </w:p>
    <w:p>
      <w:pPr>
        <w:pStyle w:val="ListParagraph"/>
        <w:numPr>
          <w:ilvl w:val="0"/>
          <w:numId w:val="1"/>
        </w:numPr>
        <w:spacing w:after="70"/>
      </w:pPr>
      <w:r>
        <w:t xml:space="preserve">Vertical-specific Keenon APIs: hotel, hospital, cleaning-zone, and elevator integration (Section 7.3).</w:t>
      </w:r>
    </w:p>
    <w:p>
      <w:pPr>
        <w:pStyle w:val="ListParagraph"/>
        <w:numPr>
          <w:ilvl w:val="0"/>
          <w:numId w:val="1"/>
        </w:numPr>
        <w:spacing w:after="70"/>
      </w:pPr>
      <w:r>
        <w:t xml:space="preserve">Service History and Stock Audit / cycle-count workflows with variance reporting (Section 8.1, 8.4).</w:t>
      </w:r>
    </w:p>
    <w:p>
      <w:pPr>
        <w:pStyle w:val="ListParagraph"/>
        <w:numPr>
          <w:ilvl w:val="0"/>
          <w:numId w:val="1"/>
        </w:numPr>
        <w:spacing w:after="70"/>
      </w:pPr>
      <w:r>
        <w:t xml:space="preserve">Reorder-level automated alerts and notification center (Section 4.6, 8.5).</w:t>
      </w:r>
    </w:p>
    <w:p>
      <w:pPr>
        <w:pStyle w:val="ListParagraph"/>
        <w:numPr>
          <w:ilvl w:val="0"/>
          <w:numId w:val="1"/>
        </w:numPr>
        <w:spacing w:after="70"/>
      </w:pPr>
      <w:r>
        <w:t xml:space="preserve">Advanced reporting: Service History Report, Organization Hierarchy Report, Keenon Sync Health Report, and scheduled report delivery (Section 9.2, 9.3).</w:t>
      </w:r>
    </w:p>
    <w:p>
      <w:pPr>
        <w:pStyle w:val="ListParagraph"/>
        <w:numPr>
          <w:ilvl w:val="0"/>
          <w:numId w:val="1"/>
        </w:numPr>
        <w:spacing w:after="70"/>
      </w:pPr>
      <w:r>
        <w:t xml:space="preserve">Bulk import tooling (CSV/Excel) for robots and inventory (RFM-7).</w:t>
      </w:r>
    </w:p>
    <w:p>
      <w:pPr>
        <w:pStyle w:val="ListParagraph"/>
        <w:numPr>
          <w:ilvl w:val="0"/>
          <w:numId w:val="1"/>
        </w:numPr>
        <w:spacing w:after="70"/>
      </w:pPr>
      <w:r>
        <w:t xml:space="preserve">Multi-factor authentication and configurable session/lockout policies (Section 10.4).</w:t>
      </w:r>
    </w:p>
    <w:p>
      <w:pPr>
        <w:pStyle w:val="ListParagraph"/>
        <w:numPr>
          <w:ilvl w:val="0"/>
          <w:numId w:val="1"/>
        </w:numPr>
        <w:spacing w:after="70"/>
      </w:pPr>
      <w:r>
        <w:t xml:space="preserve">Localization framework for future multi-language rollout (Section 11).</w:t>
      </w:r>
    </w:p>
    <w:p>
      <w:pPr>
        <w:pStyle w:val="Heading2"/>
        <w:spacing w:after="140" w:before="280"/>
      </w:pPr>
      <w:r>
        <w:t xml:space="preserve">14.3 Phase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rPr>
          <w:tblHeader/>
        </w:trPr>
        <w:tc>
          <w:tcPr>
            <w:tcW w:type="dxa" w:w="18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Phase</w:t>
            </w:r>
          </w:p>
        </w:tc>
        <w:tc>
          <w:tcPr>
            <w:tcW w:type="dxa" w:w="32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Primary Goal</w:t>
            </w:r>
          </w:p>
        </w:tc>
        <w:tc>
          <w:tcPr>
            <w:tcW w:type="dxa" w:w="43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Key Deliverables</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MVP (Phase 1)</w:t>
            </w:r>
          </w:p>
        </w:tc>
        <w:tc>
          <w:tcPr>
            <w:tcW w:type="dxa" w:w="3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Replace manual processes with a governed system of record and safe Keenon connectivity</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Org hierarchy, RBAC/OBAC, robot &amp; site management, core Keenon sync, core inventory, core reports, audit log</w:t>
            </w:r>
          </w:p>
        </w:tc>
      </w:tr>
      <w:tr>
        <w:tc>
          <w:tcPr>
            <w:tcW w:type="dxa" w:w="18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Phase 2</w:t>
            </w:r>
          </w:p>
        </w:tc>
        <w:tc>
          <w:tcPr>
            <w:tcW w:type="dxa" w:w="3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Deepen operational depth and automation</w:t>
            </w:r>
          </w:p>
        </w:tc>
        <w:tc>
          <w:tcPr>
            <w:tcW w:type="dxa" w:w="43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Vertical Keenon APIs, service history &amp; stock audit, alerts, advanced reporting, bulk import, MFA</w:t>
            </w:r>
          </w:p>
        </w:tc>
      </w:tr>
      <w:tr>
        <w:tc>
          <w:tcPr>
            <w:tcW w:type="dxa" w:w="18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Phase 3 (Future, indicative)</w:t>
            </w:r>
          </w:p>
        </w:tc>
        <w:tc>
          <w:tcPr>
            <w:tcW w:type="dxa" w:w="3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Scale and extend</w:t>
            </w:r>
          </w:p>
        </w:tc>
        <w:tc>
          <w:tcPr>
            <w:tcW w:type="dxa" w:w="43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Localization rollout, mobile app for technicians/operators, predictive stock recommendations, partner self-onboarding</w:t>
            </w:r>
          </w:p>
        </w:tc>
      </w:tr>
    </w:tbl>
    <w:p>
      <w:r>
        <w:br w:type="page"/>
      </w:r>
    </w:p>
    <w:p>
      <w:pPr>
        <w:pStyle w:val="Heading1"/>
        <w:spacing w:after="200" w:before="420"/>
      </w:pPr>
      <w:r>
        <w:t xml:space="preserve">15. Open Questions and Assumptions</w:t>
      </w:r>
    </w:p>
    <w:p>
      <w:pPr>
        <w:pStyle w:val="Heading2"/>
        <w:spacing w:after="140" w:before="280"/>
      </w:pPr>
      <w:r>
        <w:t xml:space="preserve">15.1 Assumptions</w:t>
      </w:r>
    </w:p>
    <w:p>
      <w:pPr>
        <w:pStyle w:val="ListParagraph"/>
        <w:numPr>
          <w:ilvl w:val="0"/>
          <w:numId w:val="1"/>
        </w:numPr>
        <w:spacing w:after="70"/>
      </w:pPr>
      <w:r>
        <w:t xml:space="preserve">Sakar Robotics is the sole reseller relationship with Keenon; all Keenon API access is brokered through Sakar's own Keenon Open Platform credentials, not per-partner credentials.</w:t>
      </w:r>
    </w:p>
    <w:p>
      <w:pPr>
        <w:pStyle w:val="ListParagraph"/>
        <w:numPr>
          <w:ilvl w:val="0"/>
          <w:numId w:val="1"/>
        </w:numPr>
        <w:spacing w:after="70"/>
      </w:pPr>
      <w:r>
        <w:t xml:space="preserve">A Client organization has exactly one parent in the hierarchy at any time (either a Distributor, a Sub-distributor, or Sakar Robotics directly for Direct Clients) — no dual-parenting.</w:t>
      </w:r>
    </w:p>
    <w:p>
      <w:pPr>
        <w:pStyle w:val="ListParagraph"/>
        <w:numPr>
          <w:ilvl w:val="0"/>
          <w:numId w:val="1"/>
        </w:numPr>
        <w:spacing w:after="70"/>
      </w:pPr>
      <w:r>
        <w:t xml:space="preserve">Sub-distributors are at most one level deep beneath a Distributor (no Sub-sub-distributor tier), per the hierarchy defined in Section 3.</w:t>
      </w:r>
    </w:p>
    <w:p>
      <w:pPr>
        <w:pStyle w:val="ListParagraph"/>
        <w:numPr>
          <w:ilvl w:val="0"/>
          <w:numId w:val="1"/>
        </w:numPr>
        <w:spacing w:after="70"/>
      </w:pPr>
      <w:r>
        <w:t xml:space="preserve">Robots are uniquely owned by one organization at a time; resale/transfer of ownership between organizations is an explicit, audited action rather than a continuous shared-ownership model.</w:t>
      </w:r>
    </w:p>
    <w:p>
      <w:pPr>
        <w:pStyle w:val="ListParagraph"/>
        <w:numPr>
          <w:ilvl w:val="0"/>
          <w:numId w:val="1"/>
        </w:numPr>
        <w:spacing w:after="70"/>
      </w:pPr>
      <w:r>
        <w:t xml:space="preserve">Keenon Open Platform provides the callback and polling capabilities described in Section 7; exact API contract details will be confirmed against current Keenon API documentation during technical design.</w:t>
      </w:r>
    </w:p>
    <w:p>
      <w:pPr>
        <w:pStyle w:val="ListParagraph"/>
        <w:numPr>
          <w:ilvl w:val="0"/>
          <w:numId w:val="1"/>
        </w:numPr>
        <w:spacing w:after="70"/>
      </w:pPr>
      <w:r>
        <w:t xml:space="preserve">Initial launch is English-language, web-based (desktop-first), with technician/field workflows supported via responsive mobile web rather than a native app.</w:t>
      </w:r>
    </w:p>
    <w:p>
      <w:pPr>
        <w:pStyle w:val="Heading2"/>
        <w:spacing w:after="140" w:before="280"/>
      </w:pPr>
      <w:r>
        <w:t xml:space="preserve">15.2 Open Questions</w:t>
      </w:r>
    </w:p>
    <w:p>
      <w:pPr>
        <w:pStyle w:val="ListParagraph"/>
        <w:numPr>
          <w:ilvl w:val="0"/>
          <w:numId w:val="1"/>
        </w:numPr>
        <w:spacing w:after="70"/>
      </w:pPr>
      <w:r>
        <w:t xml:space="preserve">What audit-log retention period is required for compliance purposes (e.g. 1 year, 3 years, indefinite)?</w:t>
      </w:r>
    </w:p>
    <w:p>
      <w:pPr>
        <w:pStyle w:val="ListParagraph"/>
        <w:numPr>
          <w:ilvl w:val="0"/>
          <w:numId w:val="1"/>
        </w:numPr>
        <w:spacing w:after="70"/>
      </w:pPr>
      <w:r>
        <w:t xml:space="preserve">Should Distributors be permitted to resell/transfer robot ownership to Sub-distributors within the platform, or is ownership always retained by Sakar Robotics?</w:t>
      </w:r>
    </w:p>
    <w:p>
      <w:pPr>
        <w:pStyle w:val="ListParagraph"/>
        <w:numPr>
          <w:ilvl w:val="0"/>
          <w:numId w:val="1"/>
        </w:numPr>
        <w:spacing w:after="70"/>
      </w:pPr>
      <w:r>
        <w:t xml:space="preserve">Are there regulatory or contractual constraints (e.g. data residency) affecting where the Platform and Keenon integration data may be hosted?</w:t>
      </w:r>
    </w:p>
    <w:p>
      <w:pPr>
        <w:pStyle w:val="ListParagraph"/>
        <w:numPr>
          <w:ilvl w:val="0"/>
          <w:numId w:val="1"/>
        </w:numPr>
        <w:spacing w:after="70"/>
      </w:pPr>
      <w:r>
        <w:t xml:space="preserve">What is the expected SLA for parts fulfillment/reordering across the distributor network, and should the Platform automate purchase-order generation in a later phase?</w:t>
      </w:r>
    </w:p>
    <w:p>
      <w:pPr>
        <w:pStyle w:val="ListParagraph"/>
        <w:numPr>
          <w:ilvl w:val="0"/>
          <w:numId w:val="1"/>
        </w:numPr>
        <w:spacing w:after="70"/>
      </w:pPr>
      <w:r>
        <w:t xml:space="preserve">Should partner organizations be able to have more than one admin user, and if so, how are conflicting simultaneous edits to the same record resolved?</w:t>
      </w:r>
    </w:p>
    <w:p>
      <w:pPr>
        <w:pStyle w:val="ListParagraph"/>
        <w:numPr>
          <w:ilvl w:val="0"/>
          <w:numId w:val="1"/>
        </w:numPr>
        <w:spacing w:after="70"/>
      </w:pPr>
      <w:r>
        <w:t xml:space="preserve">Is single sign-on (SSO) required for any partner or Sakar-internal users at launch, or is it a Phase 2+ consideration?</w:t>
      </w:r>
    </w:p>
    <w:p>
      <w:pPr>
        <w:pStyle w:val="ListParagraph"/>
        <w:numPr>
          <w:ilvl w:val="0"/>
          <w:numId w:val="1"/>
        </w:numPr>
        <w:spacing w:after="70"/>
      </w:pPr>
      <w:r>
        <w:t xml:space="preserve">What specific RPO/RTO targets are required for disaster recovery, and who owns the infrastructure hosting decision?</w:t>
      </w:r>
    </w:p>
    <w:p>
      <w:r>
        <w:br w:type="page"/>
      </w:r>
    </w:p>
    <w:p>
      <w:pPr>
        <w:pStyle w:val="Heading1"/>
        <w:spacing w:after="200" w:before="420"/>
      </w:pPr>
      <w: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Term</w:t>
            </w:r>
          </w:p>
        </w:tc>
        <w:tc>
          <w:tcPr>
            <w:tcW w:type="dxa" w:w="7160"/>
            <w:tcBorders>
              <w:top w:val="single" w:color="AAB4C4" w:sz="2"/>
              <w:left w:val="single" w:color="AAB4C4" w:sz="2"/>
              <w:bottom w:val="single" w:color="AAB4C4" w:sz="2"/>
              <w:right w:val="single" w:color="AAB4C4" w:sz="2"/>
            </w:tcBorders>
            <w:shd w:fill="1F3864" w:val="clear"/>
            <w:tcMar>
              <w:top w:type="dxa" w:w="60"/>
              <w:left w:type="dxa" w:w="90"/>
              <w:bottom w:type="dxa" w:w="60"/>
              <w:right w:type="dxa" w:w="90"/>
            </w:tcMar>
            <w:vAlign w:val="center"/>
          </w:tcPr>
          <w:p>
            <w:r>
              <w:rPr>
                <w:b/>
                <w:bCs/>
                <w:color w:val="FFFFFF"/>
                <w:sz w:val="18"/>
                <w:szCs w:val="18"/>
              </w:rPr>
              <w:t xml:space="preserve">Definition</w:t>
            </w:r>
          </w:p>
        </w:tc>
      </w:tr>
      <w:tr>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OBAC</w:t>
            </w:r>
          </w:p>
        </w:tc>
        <w:tc>
          <w:tcPr>
            <w:tcW w:type="dxa" w:w="71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Organization-Based Access Control — restricting data access based on an organization's position in the hierarchy</w:t>
            </w:r>
          </w:p>
        </w:tc>
      </w:tr>
      <w:tr>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RBAC</w:t>
            </w:r>
          </w:p>
        </w:tc>
        <w:tc>
          <w:tcPr>
            <w:tcW w:type="dxa" w:w="71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Role-Based Access Control — restricting actions based on a user's assigned role</w:t>
            </w:r>
          </w:p>
        </w:tc>
      </w:tr>
      <w:tr>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Open Platform</w:t>
            </w:r>
          </w:p>
        </w:tc>
        <w:tc>
          <w:tcPr>
            <w:tcW w:type="dxa" w:w="71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Keenon Robotics' vendor API platform used to manage and control physical Keenon robots</w:t>
            </w:r>
          </w:p>
        </w:tc>
      </w:tr>
      <w:tr>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Hierarchy Path</w:t>
            </w:r>
          </w:p>
        </w:tc>
        <w:tc>
          <w:tcPr>
            <w:tcW w:type="dxa" w:w="71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materialized representation of an organization's ancestry used to enforce scoped data access efficiently</w:t>
            </w:r>
          </w:p>
        </w:tc>
      </w:tr>
      <w:tr>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Direct Client</w:t>
            </w:r>
          </w:p>
        </w:tc>
        <w:tc>
          <w:tcPr>
            <w:tcW w:type="dxa" w:w="71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client organization that reports directly to Sakar Robotics with no distributor/sub-distributor intermediary</w:t>
            </w:r>
          </w:p>
        </w:tc>
      </w:tr>
      <w:tr>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Consumable</w:t>
            </w:r>
          </w:p>
        </w:tc>
        <w:tc>
          <w:tcPr>
            <w:tcW w:type="dxa" w:w="71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A low-cost, high-turnover service item (e.g. filter, brush, cleaning pad)</w:t>
            </w:r>
          </w:p>
        </w:tc>
      </w:tr>
      <w:tr>
        <w:tc>
          <w:tcPr>
            <w:tcW w:type="dxa" w:w="220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Spare Part</w:t>
            </w:r>
          </w:p>
        </w:tc>
        <w:tc>
          <w:tcPr>
            <w:tcW w:type="dxa" w:w="7160"/>
            <w:tcBorders>
              <w:top w:val="single" w:color="AAB4C4" w:sz="2"/>
              <w:left w:val="single" w:color="AAB4C4" w:sz="2"/>
              <w:bottom w:val="single" w:color="AAB4C4" w:sz="2"/>
              <w:right w:val="single" w:color="AAB4C4" w:sz="2"/>
            </w:tcBorders>
            <w:tcMar>
              <w:top w:type="dxa" w:w="60"/>
              <w:left w:type="dxa" w:w="90"/>
              <w:bottom w:type="dxa" w:w="60"/>
              <w:right w:type="dxa" w:w="90"/>
            </w:tcMar>
            <w:vAlign w:val="center"/>
          </w:tcPr>
          <w:p>
            <w:r>
              <w:rPr>
                <w:b w:val="false"/>
                <w:bCs w:val="false"/>
                <w:sz w:val="18"/>
                <w:szCs w:val="18"/>
              </w:rPr>
              <w:t xml:space="preserve">A higher-value repair component (e.g. motor, sensor, controller, PCB)</w:t>
            </w:r>
          </w:p>
        </w:tc>
      </w:tr>
      <w:tr>
        <w:tc>
          <w:tcPr>
            <w:tcW w:type="dxa" w:w="220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Reorder Level</w:t>
            </w:r>
          </w:p>
        </w:tc>
        <w:tc>
          <w:tcPr>
            <w:tcW w:type="dxa" w:w="7160"/>
            <w:tcBorders>
              <w:top w:val="single" w:color="AAB4C4" w:sz="2"/>
              <w:left w:val="single" w:color="AAB4C4" w:sz="2"/>
              <w:bottom w:val="single" w:color="AAB4C4" w:sz="2"/>
              <w:right w:val="single" w:color="AAB4C4" w:sz="2"/>
            </w:tcBorders>
            <w:shd w:fill="F2F5FA" w:val="clear"/>
            <w:tcMar>
              <w:top w:type="dxa" w:w="60"/>
              <w:left w:type="dxa" w:w="90"/>
              <w:bottom w:type="dxa" w:w="60"/>
              <w:right w:type="dxa" w:w="90"/>
            </w:tcMar>
            <w:vAlign w:val="center"/>
          </w:tcPr>
          <w:p>
            <w:r>
              <w:rPr>
                <w:b w:val="false"/>
                <w:bCs w:val="false"/>
                <w:sz w:val="18"/>
                <w:szCs w:val="18"/>
              </w:rPr>
              <w:t xml:space="preserve">The stock threshold below which a low-stock alert is automatically triggered</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Sakar Robotics — Fleet, Customer &amp; Inventory Management Platform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F3864" w:sz="8" w:space="4"/>
      </w:pBdr>
      <w:spacing w:after="200" w:before="400"/>
    </w:pPr>
    <w:rPr>
      <w:rFonts w:ascii="Calibri" w:cs="Calibri" w:eastAsia="Calibri" w:hAnsi="Calibri"/>
      <w:b/>
      <w:bCs/>
      <w:color w:val="1F3864"/>
      <w:sz w:val="30"/>
      <w:szCs w:val="30"/>
    </w:rPr>
  </w:style>
  <w:style w:type="paragraph" w:styleId="Heading2">
    <w:name w:val="Heading 2"/>
    <w:basedOn w:val="Normal"/>
    <w:next w:val="Normal"/>
    <w:qFormat/>
    <w:pPr>
      <w:spacing w:after="130" w:before="260"/>
    </w:pPr>
    <w:rPr>
      <w:rFonts w:ascii="Calibri" w:cs="Calibri" w:eastAsia="Calibri" w:hAnsi="Calibri"/>
      <w:b/>
      <w:bCs/>
      <w:color w:val="2E5395"/>
      <w:sz w:val="25"/>
      <w:szCs w:val="25"/>
    </w:rPr>
  </w:style>
  <w:style w:type="paragraph" w:styleId="Heading3">
    <w:name w:val="Heading 3"/>
    <w:basedOn w:val="Normal"/>
    <w:next w:val="Normal"/>
    <w:qFormat/>
    <w:pPr>
      <w:spacing w:after="100" w:before="200"/>
    </w:pPr>
    <w:rPr>
      <w:rFonts w:ascii="Calibri" w:cs="Calibri" w:eastAsia="Calibri" w:hAnsi="Calibri"/>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SRS — Sakar Robotics Fleet, Customer, and Inventory Management Platform</dc:title>
  <dc:creator>Sakar Robotics</dc:creator>
  <dc:description>Software Requirements Specification for the Sakar Robotics Fleet, Customer, and Inventory Management Platform</dc:description>
  <cp:lastModifiedBy>Un-named</cp:lastModifiedBy>
  <cp:revision>1</cp:revision>
  <dcterms:created xsi:type="dcterms:W3CDTF">2026-08-20T17:55:43.977Z</dcterms:created>
  <dcterms:modified xsi:type="dcterms:W3CDTF">2026-08-20T17:55:43.978Z</dcterms:modified>
</cp:coreProperties>
</file>

<file path=docProps/custom.xml><?xml version="1.0" encoding="utf-8"?>
<Properties xmlns="http://schemas.openxmlformats.org/officeDocument/2006/custom-properties" xmlns:vt="http://schemas.openxmlformats.org/officeDocument/2006/docPropsVTypes"/>
</file>