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63D" w:rsidRDefault="00B0763D" w:rsidP="00A970AF">
      <w:pPr>
        <w:jc w:val="center"/>
        <w:rPr>
          <w:rFonts w:ascii="Baskerville Old Face" w:hAnsi="Baskerville Old Face"/>
          <w:b/>
          <w:bCs/>
          <w:sz w:val="52"/>
          <w:szCs w:val="52"/>
          <w:u w:val="single"/>
          <w:lang w:val="en-US"/>
        </w:rPr>
      </w:pPr>
    </w:p>
    <w:p w:rsidR="00B0763D" w:rsidRDefault="00B0763D" w:rsidP="00A970AF">
      <w:pPr>
        <w:jc w:val="center"/>
        <w:rPr>
          <w:rFonts w:ascii="Baskerville Old Face" w:hAnsi="Baskerville Old Face"/>
          <w:b/>
          <w:bCs/>
          <w:sz w:val="52"/>
          <w:szCs w:val="52"/>
          <w:u w:val="single"/>
          <w:lang w:val="en-US"/>
        </w:rPr>
      </w:pPr>
    </w:p>
    <w:p w:rsidR="00B0763D" w:rsidRDefault="00B0763D" w:rsidP="00A970AF">
      <w:pPr>
        <w:jc w:val="center"/>
        <w:rPr>
          <w:rFonts w:ascii="Baskerville Old Face" w:hAnsi="Baskerville Old Face"/>
          <w:b/>
          <w:bCs/>
          <w:sz w:val="52"/>
          <w:szCs w:val="52"/>
          <w:u w:val="single"/>
          <w:lang w:val="en-US"/>
        </w:rPr>
      </w:pPr>
    </w:p>
    <w:p w:rsidR="002D3AEF" w:rsidRPr="000456D3" w:rsidRDefault="002D3AEF" w:rsidP="00A970AF">
      <w:pPr>
        <w:jc w:val="center"/>
        <w:rPr>
          <w:rFonts w:ascii="Book Antiqua" w:hAnsi="Book Antiqua"/>
          <w:sz w:val="52"/>
          <w:szCs w:val="52"/>
          <w:lang w:val="en-US"/>
        </w:rPr>
      </w:pPr>
    </w:p>
    <w:p w:rsidR="003F01A5" w:rsidRDefault="003F01A5" w:rsidP="00A970AF">
      <w:pPr>
        <w:jc w:val="center"/>
        <w:rPr>
          <w:rFonts w:ascii="Book Antiqua" w:hAnsi="Book Antiqua"/>
          <w:b/>
          <w:bCs/>
          <w:sz w:val="44"/>
          <w:szCs w:val="44"/>
          <w:u w:val="single"/>
          <w:lang w:val="en-US"/>
        </w:rPr>
      </w:pPr>
    </w:p>
    <w:p w:rsidR="009B2E44" w:rsidRPr="001952EB" w:rsidRDefault="00A970AF" w:rsidP="00A970AF">
      <w:pPr>
        <w:jc w:val="center"/>
        <w:rPr>
          <w:rFonts w:ascii="Book Antiqua" w:hAnsi="Book Antiqua"/>
          <w:b/>
          <w:bCs/>
          <w:sz w:val="44"/>
          <w:szCs w:val="44"/>
          <w:u w:val="single"/>
          <w:lang w:val="en-US"/>
        </w:rPr>
      </w:pPr>
      <w:r w:rsidRPr="001952EB">
        <w:rPr>
          <w:rFonts w:ascii="Book Antiqua" w:hAnsi="Book Antiqua"/>
          <w:b/>
          <w:bCs/>
          <w:sz w:val="44"/>
          <w:szCs w:val="44"/>
          <w:u w:val="single"/>
          <w:lang w:val="en-US"/>
        </w:rPr>
        <w:t xml:space="preserve">Accounting </w:t>
      </w:r>
      <w:proofErr w:type="gramStart"/>
      <w:r w:rsidRPr="001952EB">
        <w:rPr>
          <w:rFonts w:ascii="Book Antiqua" w:hAnsi="Book Antiqua"/>
          <w:b/>
          <w:bCs/>
          <w:sz w:val="44"/>
          <w:szCs w:val="44"/>
          <w:u w:val="single"/>
          <w:lang w:val="en-US"/>
        </w:rPr>
        <w:t>And</w:t>
      </w:r>
      <w:proofErr w:type="gramEnd"/>
      <w:r w:rsidRPr="001952EB">
        <w:rPr>
          <w:rFonts w:ascii="Book Antiqua" w:hAnsi="Book Antiqua"/>
          <w:b/>
          <w:bCs/>
          <w:sz w:val="44"/>
          <w:szCs w:val="44"/>
          <w:u w:val="single"/>
          <w:lang w:val="en-US"/>
        </w:rPr>
        <w:t xml:space="preserve"> Financial AnalyticsAssignment – 3</w:t>
      </w:r>
    </w:p>
    <w:p w:rsidR="00A970AF" w:rsidRPr="001952EB" w:rsidRDefault="00A970AF" w:rsidP="00A970AF">
      <w:pPr>
        <w:rPr>
          <w:rFonts w:ascii="Book Antiqua" w:hAnsi="Book Antiqua"/>
          <w:sz w:val="44"/>
          <w:szCs w:val="44"/>
          <w:lang w:val="en-US"/>
        </w:rPr>
      </w:pPr>
    </w:p>
    <w:p w:rsidR="00A970AF" w:rsidRPr="001952EB" w:rsidRDefault="00A970AF" w:rsidP="00A970AF">
      <w:pPr>
        <w:rPr>
          <w:rFonts w:ascii="Book Antiqua" w:hAnsi="Book Antiqua"/>
          <w:b/>
          <w:bCs/>
          <w:sz w:val="44"/>
          <w:szCs w:val="44"/>
          <w:u w:val="single"/>
          <w:lang w:val="en-US"/>
        </w:rPr>
      </w:pPr>
      <w:proofErr w:type="gramStart"/>
      <w:r w:rsidRPr="001904D6">
        <w:rPr>
          <w:rFonts w:ascii="Book Antiqua" w:hAnsi="Book Antiqua"/>
          <w:b/>
          <w:bCs/>
          <w:sz w:val="44"/>
          <w:szCs w:val="44"/>
          <w:lang w:val="en-US"/>
        </w:rPr>
        <w:t xml:space="preserve">Title </w:t>
      </w:r>
      <w:r w:rsidR="00B0763D" w:rsidRPr="001904D6">
        <w:rPr>
          <w:rFonts w:ascii="Book Antiqua" w:hAnsi="Book Antiqua"/>
          <w:b/>
          <w:bCs/>
          <w:sz w:val="44"/>
          <w:szCs w:val="44"/>
          <w:lang w:val="en-US"/>
        </w:rPr>
        <w:t>:</w:t>
      </w:r>
      <w:proofErr w:type="gramEnd"/>
      <w:r w:rsidRPr="001904D6">
        <w:rPr>
          <w:rFonts w:ascii="Book Antiqua" w:hAnsi="Book Antiqua"/>
          <w:b/>
          <w:bCs/>
          <w:sz w:val="44"/>
          <w:szCs w:val="44"/>
          <w:lang w:val="en-US"/>
        </w:rPr>
        <w:t>–</w:t>
      </w:r>
      <w:r w:rsidR="00627697">
        <w:rPr>
          <w:rFonts w:ascii="Book Antiqua" w:hAnsi="Book Antiqua"/>
          <w:b/>
          <w:bCs/>
          <w:sz w:val="44"/>
          <w:szCs w:val="44"/>
          <w:u w:val="single"/>
          <w:lang w:val="en-US"/>
        </w:rPr>
        <w:t>Accenture</w:t>
      </w:r>
    </w:p>
    <w:p w:rsidR="003165BE" w:rsidRPr="00EC7EAC" w:rsidRDefault="003677C7" w:rsidP="003677C7">
      <w:pPr>
        <w:jc w:val="center"/>
        <w:rPr>
          <w:rFonts w:ascii="Book Antiqua" w:hAnsi="Book Antiqua"/>
          <w:b/>
          <w:bCs/>
          <w:sz w:val="44"/>
          <w:szCs w:val="44"/>
          <w:u w:val="single"/>
          <w:lang w:val="en-US"/>
        </w:rPr>
      </w:pPr>
      <w:r w:rsidRPr="001952EB">
        <w:rPr>
          <w:rFonts w:ascii="Book Antiqua" w:hAnsi="Book Antiqua"/>
          <w:b/>
          <w:bCs/>
          <w:sz w:val="44"/>
          <w:szCs w:val="44"/>
          <w:u w:val="single"/>
          <w:lang w:val="en-US"/>
        </w:rPr>
        <w:t xml:space="preserve">In Real Companies </w:t>
      </w:r>
    </w:p>
    <w:p w:rsidR="003165BE" w:rsidRPr="00EC7EAC" w:rsidRDefault="003165BE">
      <w:pPr>
        <w:rPr>
          <w:rFonts w:ascii="Book Antiqua" w:hAnsi="Book Antiqua"/>
          <w:sz w:val="44"/>
          <w:szCs w:val="44"/>
          <w:lang w:val="en-US"/>
        </w:rPr>
      </w:pPr>
      <w:r w:rsidRPr="00EC7EAC">
        <w:rPr>
          <w:rFonts w:ascii="Book Antiqua" w:hAnsi="Book Antiqua"/>
          <w:sz w:val="44"/>
          <w:szCs w:val="44"/>
          <w:lang w:val="en-US"/>
        </w:rPr>
        <w:br w:type="page"/>
      </w:r>
    </w:p>
    <w:p w:rsidR="00EA2459" w:rsidRDefault="00EA2459" w:rsidP="003677C7">
      <w:pPr>
        <w:jc w:val="center"/>
        <w:rPr>
          <w:rFonts w:ascii="Baskerville Old Face" w:hAnsi="Baskerville Old Face"/>
          <w:b/>
          <w:bCs/>
          <w:sz w:val="72"/>
          <w:szCs w:val="72"/>
          <w:u w:val="single"/>
          <w:lang w:val="en-US"/>
        </w:rPr>
      </w:pPr>
    </w:p>
    <w:p w:rsidR="00EA2459" w:rsidRPr="00947AE7" w:rsidRDefault="00070B6C" w:rsidP="003677C7">
      <w:pPr>
        <w:jc w:val="center"/>
        <w:rPr>
          <w:rFonts w:ascii="Book Antiqua" w:hAnsi="Book Antiqua"/>
          <w:b/>
          <w:bCs/>
          <w:color w:val="4A856D" w:themeColor="accent6" w:themeShade="BF"/>
          <w:sz w:val="72"/>
          <w:szCs w:val="72"/>
          <w:u w:val="single"/>
          <w:lang w:val="en-US"/>
        </w:rPr>
      </w:pPr>
      <w:r w:rsidRPr="00947AE7">
        <w:rPr>
          <w:rFonts w:ascii="Book Antiqua" w:hAnsi="Book Antiqua"/>
          <w:b/>
          <w:bCs/>
          <w:color w:val="4A856D" w:themeColor="accent6" w:themeShade="BF"/>
          <w:sz w:val="72"/>
          <w:szCs w:val="72"/>
          <w:u w:val="single"/>
          <w:lang w:val="en-US"/>
        </w:rPr>
        <w:t>Content</w:t>
      </w:r>
      <w:r w:rsidR="00C901F5" w:rsidRPr="00947AE7">
        <w:rPr>
          <w:rFonts w:ascii="Book Antiqua" w:hAnsi="Book Antiqua"/>
          <w:b/>
          <w:bCs/>
          <w:color w:val="4A856D" w:themeColor="accent6" w:themeShade="BF"/>
          <w:sz w:val="72"/>
          <w:szCs w:val="72"/>
          <w:u w:val="single"/>
          <w:lang w:val="en-US"/>
        </w:rPr>
        <w:t>s</w:t>
      </w:r>
      <w:r w:rsidR="00973D4F" w:rsidRPr="00947AE7">
        <w:rPr>
          <w:rFonts w:ascii="Book Antiqua" w:hAnsi="Book Antiqua"/>
          <w:b/>
          <w:bCs/>
          <w:color w:val="4A856D" w:themeColor="accent6" w:themeShade="BF"/>
          <w:sz w:val="72"/>
          <w:szCs w:val="72"/>
          <w:u w:val="single"/>
          <w:lang w:val="en-US"/>
        </w:rPr>
        <w:t>:</w:t>
      </w:r>
    </w:p>
    <w:p w:rsidR="00D6652E" w:rsidRPr="00346D2F" w:rsidRDefault="00D6652E" w:rsidP="00D6652E">
      <w:pPr>
        <w:pStyle w:val="ListParagraph"/>
        <w:numPr>
          <w:ilvl w:val="0"/>
          <w:numId w:val="1"/>
        </w:numPr>
        <w:spacing w:line="256" w:lineRule="auto"/>
        <w:rPr>
          <w:rFonts w:ascii="Book Antiqua" w:hAnsi="Book Antiqua"/>
          <w:sz w:val="48"/>
          <w:szCs w:val="48"/>
        </w:rPr>
      </w:pPr>
      <w:r w:rsidRPr="00346D2F">
        <w:rPr>
          <w:rFonts w:ascii="Book Antiqua" w:hAnsi="Book Antiqua"/>
          <w:sz w:val="48"/>
          <w:szCs w:val="48"/>
        </w:rPr>
        <w:t>Introduction</w:t>
      </w:r>
    </w:p>
    <w:p w:rsidR="00D6652E" w:rsidRPr="00346D2F" w:rsidRDefault="00D6652E" w:rsidP="00D6652E">
      <w:pPr>
        <w:pStyle w:val="ListParagraph"/>
        <w:numPr>
          <w:ilvl w:val="0"/>
          <w:numId w:val="1"/>
        </w:numPr>
        <w:spacing w:line="256" w:lineRule="auto"/>
        <w:rPr>
          <w:rFonts w:ascii="Book Antiqua" w:hAnsi="Book Antiqua"/>
          <w:sz w:val="48"/>
          <w:szCs w:val="48"/>
        </w:rPr>
      </w:pPr>
      <w:r w:rsidRPr="00346D2F">
        <w:rPr>
          <w:rFonts w:ascii="Book Antiqua" w:hAnsi="Book Antiqua"/>
          <w:sz w:val="48"/>
          <w:szCs w:val="48"/>
        </w:rPr>
        <w:t>Background</w:t>
      </w:r>
      <w:r w:rsidR="00DB7B29" w:rsidRPr="00346D2F">
        <w:rPr>
          <w:rFonts w:ascii="Book Antiqua" w:hAnsi="Book Antiqua"/>
          <w:sz w:val="48"/>
          <w:szCs w:val="48"/>
        </w:rPr>
        <w:t xml:space="preserve"> Information </w:t>
      </w:r>
    </w:p>
    <w:p w:rsidR="00D6652E" w:rsidRPr="00346D2F" w:rsidRDefault="00D6652E" w:rsidP="00D6652E">
      <w:pPr>
        <w:pStyle w:val="ListParagraph"/>
        <w:numPr>
          <w:ilvl w:val="0"/>
          <w:numId w:val="1"/>
        </w:numPr>
        <w:spacing w:line="256" w:lineRule="auto"/>
        <w:rPr>
          <w:rFonts w:ascii="Book Antiqua" w:hAnsi="Book Antiqua"/>
          <w:sz w:val="48"/>
          <w:szCs w:val="48"/>
        </w:rPr>
      </w:pPr>
      <w:r w:rsidRPr="00346D2F">
        <w:rPr>
          <w:rFonts w:ascii="Book Antiqua" w:hAnsi="Book Antiqua"/>
          <w:sz w:val="48"/>
          <w:szCs w:val="48"/>
        </w:rPr>
        <w:t>Competitive Advantages</w:t>
      </w:r>
    </w:p>
    <w:p w:rsidR="00D6652E" w:rsidRPr="00346D2F" w:rsidRDefault="00D6652E" w:rsidP="00D6652E">
      <w:pPr>
        <w:pStyle w:val="ListParagraph"/>
        <w:numPr>
          <w:ilvl w:val="0"/>
          <w:numId w:val="1"/>
        </w:numPr>
        <w:spacing w:line="256" w:lineRule="auto"/>
        <w:rPr>
          <w:rFonts w:ascii="Book Antiqua" w:hAnsi="Book Antiqua"/>
          <w:sz w:val="48"/>
          <w:szCs w:val="48"/>
        </w:rPr>
      </w:pPr>
      <w:r w:rsidRPr="00346D2F">
        <w:rPr>
          <w:rFonts w:ascii="Book Antiqua" w:hAnsi="Book Antiqua"/>
          <w:sz w:val="48"/>
          <w:szCs w:val="48"/>
        </w:rPr>
        <w:t>Financial performance</w:t>
      </w:r>
      <w:r w:rsidR="00634081" w:rsidRPr="00346D2F">
        <w:rPr>
          <w:rFonts w:ascii="Book Antiqua" w:hAnsi="Book Antiqua"/>
          <w:sz w:val="48"/>
          <w:szCs w:val="48"/>
        </w:rPr>
        <w:t>Evaluation</w:t>
      </w:r>
    </w:p>
    <w:p w:rsidR="00D6652E" w:rsidRPr="00346D2F" w:rsidRDefault="00D6652E" w:rsidP="00D6652E">
      <w:pPr>
        <w:pStyle w:val="ListParagraph"/>
        <w:numPr>
          <w:ilvl w:val="0"/>
          <w:numId w:val="1"/>
        </w:numPr>
        <w:spacing w:line="256" w:lineRule="auto"/>
        <w:rPr>
          <w:rFonts w:ascii="Book Antiqua" w:hAnsi="Book Antiqua"/>
          <w:sz w:val="48"/>
          <w:szCs w:val="48"/>
        </w:rPr>
      </w:pPr>
      <w:r w:rsidRPr="00346D2F">
        <w:rPr>
          <w:rFonts w:ascii="Book Antiqua" w:hAnsi="Book Antiqua"/>
          <w:sz w:val="48"/>
          <w:szCs w:val="48"/>
        </w:rPr>
        <w:t>Comparative Analysis</w:t>
      </w:r>
    </w:p>
    <w:p w:rsidR="00D6652E" w:rsidRPr="00346D2F" w:rsidRDefault="00D6652E" w:rsidP="00D6652E">
      <w:pPr>
        <w:pStyle w:val="ListParagraph"/>
        <w:numPr>
          <w:ilvl w:val="0"/>
          <w:numId w:val="1"/>
        </w:numPr>
        <w:spacing w:line="256" w:lineRule="auto"/>
        <w:rPr>
          <w:rFonts w:ascii="Book Antiqua" w:hAnsi="Book Antiqua"/>
          <w:sz w:val="48"/>
          <w:szCs w:val="48"/>
        </w:rPr>
      </w:pPr>
      <w:r w:rsidRPr="00346D2F">
        <w:rPr>
          <w:rFonts w:ascii="Book Antiqua" w:hAnsi="Book Antiqua"/>
          <w:sz w:val="48"/>
          <w:szCs w:val="48"/>
        </w:rPr>
        <w:t>Assessment of sustainability</w:t>
      </w:r>
    </w:p>
    <w:p w:rsidR="00D6652E" w:rsidRPr="0073459C" w:rsidRDefault="00D6652E" w:rsidP="00D6652E">
      <w:pPr>
        <w:pStyle w:val="ListParagraph"/>
        <w:numPr>
          <w:ilvl w:val="0"/>
          <w:numId w:val="1"/>
        </w:numPr>
        <w:spacing w:line="256" w:lineRule="auto"/>
        <w:rPr>
          <w:rFonts w:ascii="Book Antiqua" w:hAnsi="Book Antiqua"/>
          <w:sz w:val="48"/>
          <w:szCs w:val="48"/>
        </w:rPr>
      </w:pPr>
      <w:r w:rsidRPr="00346D2F">
        <w:rPr>
          <w:rFonts w:ascii="Book Antiqua" w:hAnsi="Book Antiqua"/>
          <w:sz w:val="48"/>
          <w:szCs w:val="48"/>
        </w:rPr>
        <w:t>Conclusion</w:t>
      </w:r>
    </w:p>
    <w:p w:rsidR="00781C6A" w:rsidRPr="0073459C" w:rsidRDefault="00781C6A" w:rsidP="00543F64">
      <w:pPr>
        <w:pStyle w:val="ListParagraph"/>
        <w:rPr>
          <w:rFonts w:ascii="Book Antiqua" w:hAnsi="Book Antiqua"/>
          <w:sz w:val="180"/>
          <w:szCs w:val="180"/>
          <w:u w:val="single"/>
          <w:lang w:val="en-US"/>
        </w:rPr>
      </w:pPr>
    </w:p>
    <w:p w:rsidR="003165BE" w:rsidRDefault="003165BE">
      <w:pPr>
        <w:rPr>
          <w:rFonts w:ascii="Baskerville Old Face" w:hAnsi="Baskerville Old Face"/>
          <w:sz w:val="52"/>
          <w:szCs w:val="52"/>
          <w:lang w:val="en-US"/>
        </w:rPr>
      </w:pPr>
      <w:r>
        <w:rPr>
          <w:rFonts w:ascii="Baskerville Old Face" w:hAnsi="Baskerville Old Face"/>
          <w:sz w:val="52"/>
          <w:szCs w:val="52"/>
          <w:lang w:val="en-US"/>
        </w:rPr>
        <w:br w:type="page"/>
      </w:r>
    </w:p>
    <w:p w:rsidR="003165BE" w:rsidRPr="00947AE7" w:rsidRDefault="00BB54C3" w:rsidP="003677C7">
      <w:pPr>
        <w:jc w:val="center"/>
        <w:rPr>
          <w:rFonts w:ascii="Book Antiqua" w:hAnsi="Book Antiqua"/>
          <w:b/>
          <w:bCs/>
          <w:color w:val="4A856D" w:themeColor="accent6" w:themeShade="BF"/>
          <w:sz w:val="48"/>
          <w:szCs w:val="48"/>
          <w:u w:val="single"/>
          <w:lang w:val="en-US"/>
        </w:rPr>
      </w:pPr>
      <w:r w:rsidRPr="00947AE7">
        <w:rPr>
          <w:rFonts w:ascii="Book Antiqua" w:hAnsi="Book Antiqua"/>
          <w:b/>
          <w:bCs/>
          <w:color w:val="4A856D" w:themeColor="accent6" w:themeShade="BF"/>
          <w:sz w:val="48"/>
          <w:szCs w:val="48"/>
          <w:u w:val="single"/>
          <w:lang w:val="en-US"/>
        </w:rPr>
        <w:t>Introduction</w:t>
      </w:r>
    </w:p>
    <w:p w:rsidR="00E80F93" w:rsidRPr="00896468" w:rsidRDefault="002009F8" w:rsidP="002A7573">
      <w:pPr>
        <w:rPr>
          <w:rFonts w:ascii="Book Antiqua" w:hAnsi="Book Antiqua"/>
          <w:b/>
          <w:bCs/>
          <w:color w:val="0066FF"/>
          <w:sz w:val="48"/>
          <w:szCs w:val="48"/>
          <w:lang w:val="en-US"/>
        </w:rPr>
      </w:pPr>
      <w:r w:rsidRPr="00FC5477">
        <w:rPr>
          <w:rFonts w:ascii="Book Antiqua" w:hAnsi="Book Antiqua"/>
          <w:b/>
          <w:bCs/>
          <w:sz w:val="44"/>
          <w:szCs w:val="44"/>
          <w:lang w:val="en-US"/>
        </w:rPr>
        <w:t xml:space="preserve">Technology Sector </w:t>
      </w:r>
      <w:r w:rsidR="00337F47" w:rsidRPr="00FC5477">
        <w:rPr>
          <w:rFonts w:ascii="Book Antiqua" w:hAnsi="Book Antiqua"/>
          <w:b/>
          <w:bCs/>
          <w:sz w:val="44"/>
          <w:szCs w:val="44"/>
          <w:lang w:val="en-US"/>
        </w:rPr>
        <w:t xml:space="preserve">–: </w:t>
      </w:r>
      <w:r w:rsidR="00627697" w:rsidRPr="00180BC3">
        <w:rPr>
          <w:rFonts w:ascii="Book Antiqua" w:hAnsi="Book Antiqua"/>
          <w:b/>
          <w:bCs/>
          <w:i/>
          <w:iCs/>
          <w:color w:val="7030A0"/>
          <w:sz w:val="48"/>
          <w:szCs w:val="48"/>
          <w:lang w:val="en-US"/>
        </w:rPr>
        <w:t>Accenture</w:t>
      </w:r>
      <w:r w:rsidR="00627697">
        <w:rPr>
          <w:rFonts w:ascii="Book Antiqua" w:hAnsi="Book Antiqua"/>
          <w:b/>
          <w:bCs/>
          <w:i/>
          <w:iCs/>
          <w:color w:val="0066FF"/>
          <w:sz w:val="48"/>
          <w:szCs w:val="48"/>
          <w:lang w:val="en-US"/>
        </w:rPr>
        <w:t xml:space="preserve"> </w:t>
      </w:r>
    </w:p>
    <w:p w:rsidR="00627697" w:rsidRPr="00180BC3" w:rsidRDefault="00627697">
      <w:pPr>
        <w:rPr>
          <w:rFonts w:ascii="Arial" w:hAnsi="Arial" w:cs="Arial"/>
          <w:color w:val="000000" w:themeColor="text1"/>
          <w:sz w:val="34"/>
          <w:szCs w:val="34"/>
          <w:shd w:val="clear" w:color="auto" w:fill="FFFFFF"/>
        </w:rPr>
      </w:pPr>
      <w:r w:rsidRPr="00180BC3">
        <w:rPr>
          <w:rFonts w:ascii="Arial" w:hAnsi="Arial" w:cs="Arial"/>
          <w:b/>
          <w:bCs/>
          <w:color w:val="000000" w:themeColor="text1"/>
          <w:sz w:val="34"/>
          <w:szCs w:val="34"/>
          <w:shd w:val="clear" w:color="auto" w:fill="FFFFFF"/>
        </w:rPr>
        <w:t>Accenture plc</w:t>
      </w:r>
      <w:r w:rsidRPr="00180BC3">
        <w:rPr>
          <w:rFonts w:ascii="Arial" w:hAnsi="Arial" w:cs="Arial"/>
          <w:color w:val="000000" w:themeColor="text1"/>
          <w:sz w:val="34"/>
          <w:szCs w:val="34"/>
          <w:shd w:val="clear" w:color="auto" w:fill="FFFFFF"/>
        </w:rPr>
        <w:t> is a US multinational </w:t>
      </w:r>
      <w:hyperlink r:id="rId6" w:tooltip="Professional services" w:history="1">
        <w:r w:rsidRPr="00180BC3">
          <w:rPr>
            <w:rStyle w:val="Hyperlink"/>
            <w:rFonts w:ascii="Arial" w:hAnsi="Arial" w:cs="Arial"/>
            <w:color w:val="000000" w:themeColor="text1"/>
            <w:sz w:val="34"/>
            <w:szCs w:val="34"/>
            <w:shd w:val="clear" w:color="auto" w:fill="FFFFFF"/>
          </w:rPr>
          <w:t>professional services</w:t>
        </w:r>
      </w:hyperlink>
      <w:r w:rsidRPr="00180BC3">
        <w:rPr>
          <w:rFonts w:ascii="Arial" w:hAnsi="Arial" w:cs="Arial"/>
          <w:color w:val="000000" w:themeColor="text1"/>
          <w:sz w:val="34"/>
          <w:szCs w:val="34"/>
          <w:shd w:val="clear" w:color="auto" w:fill="FFFFFF"/>
        </w:rPr>
        <w:t> company </w:t>
      </w:r>
      <w:hyperlink r:id="rId7" w:tooltip="Corporation tax in the Republic of Ireland" w:history="1">
        <w:r w:rsidRPr="00180BC3">
          <w:rPr>
            <w:rStyle w:val="Hyperlink"/>
            <w:rFonts w:ascii="Arial" w:hAnsi="Arial" w:cs="Arial"/>
            <w:color w:val="000000" w:themeColor="text1"/>
            <w:sz w:val="34"/>
            <w:szCs w:val="34"/>
            <w:shd w:val="clear" w:color="auto" w:fill="FFFFFF"/>
          </w:rPr>
          <w:t>based in Dublin</w:t>
        </w:r>
      </w:hyperlink>
      <w:r w:rsidRPr="00180BC3">
        <w:rPr>
          <w:rFonts w:ascii="Arial" w:hAnsi="Arial" w:cs="Arial"/>
          <w:color w:val="000000" w:themeColor="text1"/>
          <w:sz w:val="34"/>
          <w:szCs w:val="34"/>
          <w:shd w:val="clear" w:color="auto" w:fill="FFFFFF"/>
        </w:rPr>
        <w:t>, specializing in </w:t>
      </w:r>
      <w:hyperlink r:id="rId8" w:tooltip="Information technology" w:history="1">
        <w:r w:rsidRPr="00180BC3">
          <w:rPr>
            <w:rStyle w:val="Hyperlink"/>
            <w:rFonts w:ascii="Arial" w:hAnsi="Arial" w:cs="Arial"/>
            <w:color w:val="000000" w:themeColor="text1"/>
            <w:sz w:val="34"/>
            <w:szCs w:val="34"/>
            <w:shd w:val="clear" w:color="auto" w:fill="FFFFFF"/>
          </w:rPr>
          <w:t>information technology</w:t>
        </w:r>
      </w:hyperlink>
      <w:r w:rsidRPr="00180BC3">
        <w:rPr>
          <w:rFonts w:ascii="Arial" w:hAnsi="Arial" w:cs="Arial"/>
          <w:color w:val="000000" w:themeColor="text1"/>
          <w:sz w:val="34"/>
          <w:szCs w:val="34"/>
          <w:shd w:val="clear" w:color="auto" w:fill="FFFFFF"/>
        </w:rPr>
        <w:t> (IT) services and </w:t>
      </w:r>
      <w:hyperlink r:id="rId9" w:tooltip="Management consulting" w:history="1">
        <w:r w:rsidRPr="00180BC3">
          <w:rPr>
            <w:rStyle w:val="Hyperlink"/>
            <w:rFonts w:ascii="Arial" w:hAnsi="Arial" w:cs="Arial"/>
            <w:color w:val="000000" w:themeColor="text1"/>
            <w:sz w:val="34"/>
            <w:szCs w:val="34"/>
            <w:shd w:val="clear" w:color="auto" w:fill="FFFFFF"/>
          </w:rPr>
          <w:t>consulting</w:t>
        </w:r>
      </w:hyperlink>
      <w:r w:rsidRPr="00180BC3">
        <w:rPr>
          <w:rFonts w:ascii="Arial" w:hAnsi="Arial" w:cs="Arial"/>
          <w:color w:val="000000" w:themeColor="text1"/>
          <w:sz w:val="34"/>
          <w:szCs w:val="34"/>
          <w:shd w:val="clear" w:color="auto" w:fill="FFFFFF"/>
        </w:rPr>
        <w:t>. A </w:t>
      </w:r>
      <w:hyperlink r:id="rId10" w:tooltip="Fortune Global 500" w:history="1">
        <w:r w:rsidRPr="00180BC3">
          <w:rPr>
            <w:rStyle w:val="Hyperlink"/>
            <w:rFonts w:ascii="Arial" w:hAnsi="Arial" w:cs="Arial"/>
            <w:i/>
            <w:iCs/>
            <w:color w:val="000000" w:themeColor="text1"/>
            <w:sz w:val="34"/>
            <w:szCs w:val="34"/>
            <w:shd w:val="clear" w:color="auto" w:fill="FFFFFF"/>
          </w:rPr>
          <w:t>Fortune</w:t>
        </w:r>
        <w:r w:rsidRPr="00180BC3">
          <w:rPr>
            <w:rStyle w:val="Hyperlink"/>
            <w:rFonts w:ascii="Arial" w:hAnsi="Arial" w:cs="Arial"/>
            <w:color w:val="000000" w:themeColor="text1"/>
            <w:sz w:val="34"/>
            <w:szCs w:val="34"/>
            <w:shd w:val="clear" w:color="auto" w:fill="FFFFFF"/>
          </w:rPr>
          <w:t> Global 500</w:t>
        </w:r>
      </w:hyperlink>
      <w:r w:rsidRPr="00180BC3">
        <w:rPr>
          <w:rFonts w:ascii="Arial" w:hAnsi="Arial" w:cs="Arial"/>
          <w:color w:val="000000" w:themeColor="text1"/>
          <w:sz w:val="34"/>
          <w:szCs w:val="34"/>
          <w:shd w:val="clear" w:color="auto" w:fill="FFFFFF"/>
        </w:rPr>
        <w:t> company,</w:t>
      </w:r>
      <w:hyperlink r:id="rId11" w:anchor="cite_note-5" w:history="1">
        <w:r w:rsidRPr="00180BC3">
          <w:rPr>
            <w:rStyle w:val="Hyperlink"/>
            <w:rFonts w:ascii="Arial" w:hAnsi="Arial" w:cs="Arial"/>
            <w:color w:val="000000" w:themeColor="text1"/>
            <w:sz w:val="27"/>
            <w:szCs w:val="27"/>
            <w:shd w:val="clear" w:color="auto" w:fill="FFFFFF"/>
            <w:vertAlign w:val="superscript"/>
          </w:rPr>
          <w:t>]</w:t>
        </w:r>
      </w:hyperlink>
      <w:r w:rsidRPr="00180BC3">
        <w:rPr>
          <w:rFonts w:ascii="Arial" w:hAnsi="Arial" w:cs="Arial"/>
          <w:color w:val="000000" w:themeColor="text1"/>
          <w:sz w:val="34"/>
          <w:szCs w:val="34"/>
          <w:shd w:val="clear" w:color="auto" w:fill="FFFFFF"/>
        </w:rPr>
        <w:t> it reported revenues of $64.1 billion in 2023. Accenture's current clients include 91 of the </w:t>
      </w:r>
      <w:r w:rsidRPr="00180BC3">
        <w:rPr>
          <w:rFonts w:ascii="Arial" w:hAnsi="Arial" w:cs="Arial"/>
          <w:i/>
          <w:iCs/>
          <w:color w:val="000000" w:themeColor="text1"/>
          <w:sz w:val="34"/>
          <w:szCs w:val="34"/>
          <w:shd w:val="clear" w:color="auto" w:fill="FFFFFF"/>
        </w:rPr>
        <w:t>Fortune</w:t>
      </w:r>
      <w:r w:rsidRPr="00180BC3">
        <w:rPr>
          <w:rFonts w:ascii="Arial" w:hAnsi="Arial" w:cs="Arial"/>
          <w:color w:val="000000" w:themeColor="text1"/>
          <w:sz w:val="34"/>
          <w:szCs w:val="34"/>
          <w:shd w:val="clear" w:color="auto" w:fill="FFFFFF"/>
        </w:rPr>
        <w:t> Global 100 and more than three-quarters of the </w:t>
      </w:r>
      <w:r w:rsidRPr="00180BC3">
        <w:rPr>
          <w:rFonts w:ascii="Arial" w:hAnsi="Arial" w:cs="Arial"/>
          <w:i/>
          <w:iCs/>
          <w:color w:val="000000" w:themeColor="text1"/>
          <w:sz w:val="34"/>
          <w:szCs w:val="34"/>
          <w:shd w:val="clear" w:color="auto" w:fill="FFFFFF"/>
        </w:rPr>
        <w:t>Fortune</w:t>
      </w:r>
      <w:r w:rsidRPr="00180BC3">
        <w:rPr>
          <w:rFonts w:ascii="Arial" w:hAnsi="Arial" w:cs="Arial"/>
          <w:color w:val="000000" w:themeColor="text1"/>
          <w:sz w:val="34"/>
          <w:szCs w:val="34"/>
          <w:shd w:val="clear" w:color="auto" w:fill="FFFFFF"/>
        </w:rPr>
        <w:t> Global 500. As of 2022, Accenture is considered the largest consulting firm in the world by number of employees.</w:t>
      </w:r>
    </w:p>
    <w:p w:rsidR="003165BE" w:rsidRPr="009B481E" w:rsidRDefault="00627697">
      <w:pPr>
        <w:rPr>
          <w:rFonts w:ascii="Book Antiqua" w:hAnsi="Book Antiqua"/>
          <w:color w:val="000000" w:themeColor="text1"/>
          <w:sz w:val="28"/>
          <w:szCs w:val="28"/>
          <w:lang w:val="en-US"/>
        </w:rPr>
      </w:pPr>
      <w:r>
        <w:rPr>
          <w:noProof/>
          <w:lang w:eastAsia="en-IN"/>
        </w:rPr>
        <w:drawing>
          <wp:inline distT="0" distB="0" distL="0" distR="0">
            <wp:extent cx="7572113" cy="4069080"/>
            <wp:effectExtent l="0" t="0" r="0" b="0"/>
            <wp:docPr id="1" name="Picture 1" descr="https://logolook.net/wp-content/uploads/2022/04/Accentur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ogolook.net/wp-content/uploads/2022/04/Accenture-Logo.png"/>
                    <pic:cNvPicPr>
                      <a:picLocks noChangeAspect="1" noChangeArrowheads="1"/>
                    </pic:cNvPicPr>
                  </pic:nvPicPr>
                  <pic:blipFill>
                    <a:blip r:embed="rId12"/>
                    <a:srcRect/>
                    <a:stretch>
                      <a:fillRect/>
                    </a:stretch>
                  </pic:blipFill>
                  <pic:spPr bwMode="auto">
                    <a:xfrm>
                      <a:off x="0" y="0"/>
                      <a:ext cx="7600890" cy="4084544"/>
                    </a:xfrm>
                    <a:prstGeom prst="rect">
                      <a:avLst/>
                    </a:prstGeom>
                    <a:noFill/>
                    <a:ln w="9525">
                      <a:noFill/>
                      <a:miter lim="800000"/>
                      <a:headEnd/>
                      <a:tailEnd/>
                    </a:ln>
                  </pic:spPr>
                </pic:pic>
              </a:graphicData>
            </a:graphic>
          </wp:inline>
        </w:drawing>
      </w:r>
      <w:r w:rsidR="003165BE" w:rsidRPr="007E65D4">
        <w:rPr>
          <w:rFonts w:ascii="Baskerville Old Face" w:hAnsi="Baskerville Old Face"/>
          <w:sz w:val="30"/>
          <w:szCs w:val="30"/>
          <w:lang w:val="en-US"/>
        </w:rPr>
        <w:br w:type="page"/>
      </w:r>
    </w:p>
    <w:p w:rsidR="00E83969" w:rsidRPr="0013647D" w:rsidRDefault="00B0056D" w:rsidP="008864F7">
      <w:pPr>
        <w:spacing w:before="100" w:beforeAutospacing="1" w:after="100" w:afterAutospacing="1"/>
        <w:jc w:val="center"/>
        <w:rPr>
          <w:rFonts w:ascii="Book Antiqua" w:hAnsi="Book Antiqua" w:cs="Arial"/>
          <w:color w:val="202122"/>
          <w:sz w:val="28"/>
          <w:szCs w:val="28"/>
          <w:shd w:val="clear" w:color="auto" w:fill="FFFFFF"/>
        </w:rPr>
      </w:pPr>
      <w:r w:rsidRPr="00F102FD">
        <w:rPr>
          <w:rFonts w:ascii="Book Antiqua" w:hAnsi="Book Antiqua" w:cs="Arial"/>
          <w:b/>
          <w:bCs/>
          <w:color w:val="4A856D" w:themeColor="accent6" w:themeShade="BF"/>
          <w:sz w:val="48"/>
          <w:szCs w:val="48"/>
          <w:u w:val="single"/>
          <w:shd w:val="clear" w:color="auto" w:fill="FFFFFF"/>
        </w:rPr>
        <w:t>Background Informatio</w:t>
      </w:r>
      <w:r w:rsidR="00C95C6C" w:rsidRPr="00F102FD">
        <w:rPr>
          <w:rFonts w:ascii="Book Antiqua" w:hAnsi="Book Antiqua" w:cs="Arial"/>
          <w:b/>
          <w:bCs/>
          <w:color w:val="4A856D" w:themeColor="accent6" w:themeShade="BF"/>
          <w:sz w:val="48"/>
          <w:szCs w:val="48"/>
          <w:u w:val="single"/>
          <w:shd w:val="clear" w:color="auto" w:fill="FFFFFF"/>
        </w:rPr>
        <w:t>n</w:t>
      </w:r>
    </w:p>
    <w:p w:rsidR="00CA08C6" w:rsidRPr="00180BC3" w:rsidRDefault="00180BC3" w:rsidP="00F102FD">
      <w:pPr>
        <w:rPr>
          <w:rFonts w:ascii="Book Antiqua" w:hAnsi="Book Antiqua" w:cs="Arial"/>
          <w:b/>
          <w:bCs/>
          <w:i/>
          <w:iCs/>
          <w:color w:val="7030A0"/>
          <w:sz w:val="48"/>
          <w:szCs w:val="48"/>
          <w:shd w:val="clear" w:color="auto" w:fill="FFFFFF"/>
        </w:rPr>
      </w:pPr>
      <w:proofErr w:type="gramStart"/>
      <w:r w:rsidRPr="00180BC3">
        <w:rPr>
          <w:rFonts w:ascii="Book Antiqua" w:hAnsi="Book Antiqua" w:cs="Arial"/>
          <w:b/>
          <w:bCs/>
          <w:i/>
          <w:iCs/>
          <w:color w:val="7030A0"/>
          <w:sz w:val="48"/>
          <w:szCs w:val="48"/>
          <w:shd w:val="clear" w:color="auto" w:fill="FFFFFF"/>
        </w:rPr>
        <w:t xml:space="preserve">Accenture </w:t>
      </w:r>
      <w:r w:rsidR="00B22559" w:rsidRPr="00180BC3">
        <w:rPr>
          <w:rFonts w:ascii="Book Antiqua" w:hAnsi="Book Antiqua" w:cs="Arial"/>
          <w:b/>
          <w:bCs/>
          <w:i/>
          <w:iCs/>
          <w:color w:val="7030A0"/>
          <w:sz w:val="48"/>
          <w:szCs w:val="48"/>
          <w:shd w:val="clear" w:color="auto" w:fill="FFFFFF"/>
        </w:rPr>
        <w:t>:</w:t>
      </w:r>
      <w:proofErr w:type="gramEnd"/>
    </w:p>
    <w:p w:rsidR="00180BC3" w:rsidRPr="00180BC3" w:rsidRDefault="00180BC3" w:rsidP="00180BC3">
      <w:pPr>
        <w:pStyle w:val="NormalWeb"/>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color w:val="020F1C"/>
          <w:sz w:val="27"/>
          <w:szCs w:val="27"/>
        </w:rPr>
      </w:pPr>
      <w:r>
        <w:rPr>
          <w:rFonts w:ascii="Arial" w:hAnsi="Arial" w:cs="Arial"/>
          <w:color w:val="020F1C"/>
          <w:sz w:val="27"/>
          <w:szCs w:val="27"/>
        </w:rPr>
        <w:t>“</w:t>
      </w:r>
      <w:hyperlink r:id="rId13" w:history="1">
        <w:r w:rsidRPr="00180BC3">
          <w:rPr>
            <w:rStyle w:val="Hyperlink"/>
            <w:rFonts w:eastAsiaTheme="majorEastAsia"/>
            <w:sz w:val="27"/>
            <w:szCs w:val="27"/>
            <w:bdr w:val="single" w:sz="2" w:space="0" w:color="E5E7EB" w:frame="1"/>
          </w:rPr>
          <w:t>Accenture </w:t>
        </w:r>
      </w:hyperlink>
      <w:r w:rsidRPr="00180BC3">
        <w:rPr>
          <w:color w:val="020F1C"/>
          <w:sz w:val="27"/>
          <w:szCs w:val="27"/>
        </w:rPr>
        <w:t>is the world leader in technology, consulting, and outsourcing. They have 400,000 employees worldwide, of which 45,000 are based in the Philippines.</w:t>
      </w:r>
    </w:p>
    <w:p w:rsidR="00180BC3" w:rsidRPr="00180BC3" w:rsidRDefault="00180BC3" w:rsidP="00180BC3">
      <w:pPr>
        <w:pStyle w:val="NormalWeb"/>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color w:val="020F1C"/>
          <w:sz w:val="27"/>
          <w:szCs w:val="27"/>
        </w:rPr>
      </w:pPr>
      <w:r w:rsidRPr="00180BC3">
        <w:rPr>
          <w:color w:val="020F1C"/>
          <w:sz w:val="27"/>
          <w:szCs w:val="27"/>
        </w:rPr>
        <w:t xml:space="preserve">It has 22 delivery </w:t>
      </w:r>
      <w:proofErr w:type="spellStart"/>
      <w:r w:rsidRPr="00180BC3">
        <w:rPr>
          <w:color w:val="020F1C"/>
          <w:sz w:val="27"/>
          <w:szCs w:val="27"/>
        </w:rPr>
        <w:t>centers</w:t>
      </w:r>
      <w:proofErr w:type="spellEnd"/>
      <w:r w:rsidRPr="00180BC3">
        <w:rPr>
          <w:color w:val="020F1C"/>
          <w:sz w:val="27"/>
          <w:szCs w:val="27"/>
        </w:rPr>
        <w:t xml:space="preserve"> across the country, including Cebu and </w:t>
      </w:r>
      <w:proofErr w:type="spellStart"/>
      <w:r w:rsidRPr="00180BC3">
        <w:rPr>
          <w:color w:val="020F1C"/>
          <w:sz w:val="27"/>
          <w:szCs w:val="27"/>
        </w:rPr>
        <w:t>Ilocos</w:t>
      </w:r>
      <w:proofErr w:type="spellEnd"/>
      <w:r w:rsidRPr="00180BC3">
        <w:rPr>
          <w:color w:val="020F1C"/>
          <w:sz w:val="27"/>
          <w:szCs w:val="27"/>
        </w:rPr>
        <w:t xml:space="preserve">. They have come a long way from being just 85-strong at Manila in 2007. Fortune magazine has called it the World’s Most Admired Information Technology Services </w:t>
      </w:r>
      <w:proofErr w:type="gramStart"/>
      <w:r w:rsidRPr="00180BC3">
        <w:rPr>
          <w:color w:val="020F1C"/>
          <w:sz w:val="27"/>
          <w:szCs w:val="27"/>
        </w:rPr>
        <w:t>company</w:t>
      </w:r>
      <w:proofErr w:type="gramEnd"/>
      <w:r w:rsidRPr="00180BC3">
        <w:rPr>
          <w:color w:val="020F1C"/>
          <w:sz w:val="27"/>
          <w:szCs w:val="27"/>
        </w:rPr>
        <w:t>.</w:t>
      </w:r>
    </w:p>
    <w:p w:rsidR="00180BC3" w:rsidRPr="00180BC3" w:rsidRDefault="00180BC3" w:rsidP="00180BC3">
      <w:pPr>
        <w:pStyle w:val="NormalWeb"/>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color w:val="020F1C"/>
          <w:sz w:val="27"/>
          <w:szCs w:val="27"/>
        </w:rPr>
      </w:pPr>
      <w:r w:rsidRPr="00180BC3">
        <w:rPr>
          <w:color w:val="020F1C"/>
          <w:sz w:val="27"/>
          <w:szCs w:val="27"/>
        </w:rPr>
        <w:t>Accenture had its origins in the business and technology consulting unit of accounting firm Arthur Anderson. It was spun off as a separate company in 1989. It remained Andersen Consulting until 2001, when it adopted its current name.</w:t>
      </w:r>
    </w:p>
    <w:p w:rsidR="00180BC3" w:rsidRPr="00180BC3" w:rsidRDefault="00180BC3" w:rsidP="00180BC3">
      <w:pPr>
        <w:pStyle w:val="NormalWeb"/>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color w:val="020F1C"/>
          <w:sz w:val="27"/>
          <w:szCs w:val="27"/>
        </w:rPr>
      </w:pPr>
      <w:r w:rsidRPr="00180BC3">
        <w:rPr>
          <w:color w:val="020F1C"/>
          <w:sz w:val="27"/>
          <w:szCs w:val="27"/>
        </w:rPr>
        <w:t>Accenture is derived from ‘accent on the future’.</w:t>
      </w:r>
    </w:p>
    <w:p w:rsidR="00180BC3" w:rsidRPr="00180BC3" w:rsidRDefault="00180BC3" w:rsidP="00180BC3">
      <w:pPr>
        <w:pStyle w:val="NormalWeb"/>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color w:val="020F1C"/>
          <w:sz w:val="27"/>
          <w:szCs w:val="27"/>
        </w:rPr>
      </w:pPr>
      <w:r w:rsidRPr="00180BC3">
        <w:rPr>
          <w:color w:val="020F1C"/>
          <w:sz w:val="27"/>
          <w:szCs w:val="27"/>
        </w:rPr>
        <w:t xml:space="preserve">Today, Accenture serves a number of clients across the world. Call </w:t>
      </w:r>
      <w:proofErr w:type="spellStart"/>
      <w:r w:rsidRPr="00180BC3">
        <w:rPr>
          <w:color w:val="020F1C"/>
          <w:sz w:val="27"/>
          <w:szCs w:val="27"/>
        </w:rPr>
        <w:t>centers</w:t>
      </w:r>
      <w:proofErr w:type="spellEnd"/>
      <w:r w:rsidRPr="00180BC3">
        <w:rPr>
          <w:color w:val="020F1C"/>
          <w:sz w:val="27"/>
          <w:szCs w:val="27"/>
        </w:rPr>
        <w:t xml:space="preserve">, the traditional face of outsourcing, have given way to contact </w:t>
      </w:r>
      <w:proofErr w:type="spellStart"/>
      <w:r w:rsidRPr="00180BC3">
        <w:rPr>
          <w:color w:val="020F1C"/>
          <w:sz w:val="27"/>
          <w:szCs w:val="27"/>
        </w:rPr>
        <w:t>centers</w:t>
      </w:r>
      <w:proofErr w:type="spellEnd"/>
      <w:r w:rsidRPr="00180BC3">
        <w:rPr>
          <w:color w:val="020F1C"/>
          <w:sz w:val="27"/>
          <w:szCs w:val="27"/>
        </w:rPr>
        <w:t xml:space="preserve"> delivering high-value services. As a result, Accenture longer uses the word outsourcing. It now focuses on strategy, digital, technology, and operations.</w:t>
      </w:r>
    </w:p>
    <w:p w:rsidR="00180BC3" w:rsidRDefault="00180BC3" w:rsidP="00180BC3">
      <w:pPr>
        <w:pStyle w:val="NormalWeb"/>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Arial" w:hAnsi="Arial" w:cs="Arial"/>
          <w:color w:val="020F1C"/>
          <w:sz w:val="27"/>
          <w:szCs w:val="27"/>
        </w:rPr>
      </w:pPr>
      <w:r w:rsidRPr="00180BC3">
        <w:rPr>
          <w:color w:val="020F1C"/>
          <w:sz w:val="27"/>
          <w:szCs w:val="27"/>
        </w:rPr>
        <w:t>Their business processes span Marketing, Procurement, Supply Chain, Learning, Human Resources, Finance, Accounting, Insurance, and Healthcare. They are constantly innovating, pushing the boundaries further. Cloud Services, Security, and Enterprise Architecture are among their more specialized offerings. Accenture is located in 50 countries across the globe.</w:t>
      </w:r>
      <w:r w:rsidRPr="00180BC3">
        <w:rPr>
          <w:color w:val="020F1C"/>
          <w:sz w:val="27"/>
          <w:szCs w:val="27"/>
        </w:rPr>
        <w:br/>
      </w:r>
    </w:p>
    <w:p w:rsidR="00180BC3" w:rsidRDefault="00180BC3">
      <w:pPr>
        <w:rPr>
          <w:rFonts w:ascii="Book Antiqua" w:hAnsi="Book Antiqua" w:cs="Poppins"/>
          <w:color w:val="000000" w:themeColor="text1"/>
          <w:sz w:val="28"/>
          <w:szCs w:val="28"/>
          <w:shd w:val="clear" w:color="auto" w:fill="FFFFFF"/>
        </w:rPr>
      </w:pPr>
      <w:r>
        <w:rPr>
          <w:noProof/>
          <w:lang w:eastAsia="en-IN"/>
        </w:rPr>
        <w:drawing>
          <wp:inline distT="0" distB="0" distL="0" distR="0">
            <wp:extent cx="7569507" cy="5034987"/>
            <wp:effectExtent l="19050" t="0" r="0" b="0"/>
            <wp:docPr id="4" name="Picture 4" descr="Harold Arlen &amp; Billy Barnes revisited...with a little Streisand just for  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rold Arlen &amp; Billy Barnes revisited...with a little Streisand just for  fun!"/>
                    <pic:cNvPicPr>
                      <a:picLocks noChangeAspect="1" noChangeArrowheads="1"/>
                    </pic:cNvPicPr>
                  </pic:nvPicPr>
                  <pic:blipFill>
                    <a:blip r:embed="rId14"/>
                    <a:srcRect/>
                    <a:stretch>
                      <a:fillRect/>
                    </a:stretch>
                  </pic:blipFill>
                  <pic:spPr bwMode="auto">
                    <a:xfrm>
                      <a:off x="0" y="0"/>
                      <a:ext cx="7579830" cy="5041853"/>
                    </a:xfrm>
                    <a:prstGeom prst="rect">
                      <a:avLst/>
                    </a:prstGeom>
                    <a:noFill/>
                    <a:ln w="9525">
                      <a:noFill/>
                      <a:miter lim="800000"/>
                      <a:headEnd/>
                      <a:tailEnd/>
                    </a:ln>
                  </pic:spPr>
                </pic:pic>
              </a:graphicData>
            </a:graphic>
          </wp:inline>
        </w:drawing>
      </w:r>
    </w:p>
    <w:p w:rsidR="00BE463C" w:rsidRDefault="00E83969" w:rsidP="009C262D">
      <w:pPr>
        <w:ind w:left="227"/>
        <w:jc w:val="center"/>
        <w:rPr>
          <w:rFonts w:ascii="Book Antiqua" w:hAnsi="Book Antiqua" w:cs="Arial"/>
          <w:sz w:val="48"/>
          <w:szCs w:val="48"/>
          <w:shd w:val="clear" w:color="auto" w:fill="FFFFFF"/>
        </w:rPr>
      </w:pPr>
      <w:r w:rsidRPr="00FD594A">
        <w:rPr>
          <w:rFonts w:ascii="Book Antiqua" w:hAnsi="Book Antiqua" w:cs="Arial"/>
          <w:b/>
          <w:bCs/>
          <w:i/>
          <w:iCs/>
          <w:color w:val="202122"/>
          <w:sz w:val="24"/>
          <w:szCs w:val="24"/>
          <w:shd w:val="clear" w:color="auto" w:fill="FFFFFF"/>
        </w:rPr>
        <w:br w:type="page"/>
      </w:r>
      <w:r w:rsidR="00BE463C" w:rsidRPr="009274DD">
        <w:rPr>
          <w:rFonts w:ascii="Book Antiqua" w:hAnsi="Book Antiqua" w:cs="Arial"/>
          <w:b/>
          <w:bCs/>
          <w:color w:val="4A856D" w:themeColor="accent6" w:themeShade="BF"/>
          <w:sz w:val="48"/>
          <w:szCs w:val="48"/>
          <w:u w:val="single"/>
          <w:shd w:val="clear" w:color="auto" w:fill="FFFFFF"/>
        </w:rPr>
        <w:t>Compet</w:t>
      </w:r>
      <w:r w:rsidR="001E14AC" w:rsidRPr="009274DD">
        <w:rPr>
          <w:rFonts w:ascii="Book Antiqua" w:hAnsi="Book Antiqua" w:cs="Arial"/>
          <w:b/>
          <w:bCs/>
          <w:color w:val="4A856D" w:themeColor="accent6" w:themeShade="BF"/>
          <w:sz w:val="48"/>
          <w:szCs w:val="48"/>
          <w:u w:val="single"/>
          <w:shd w:val="clear" w:color="auto" w:fill="FFFFFF"/>
        </w:rPr>
        <w:t>itive Advantages</w:t>
      </w:r>
    </w:p>
    <w:p w:rsidR="009006B0" w:rsidRDefault="00374863" w:rsidP="00044270">
      <w:pPr>
        <w:pStyle w:val="ListParagraph"/>
        <w:ind w:left="113"/>
        <w:rPr>
          <w:rFonts w:ascii="Arial" w:hAnsi="Arial" w:cs="Arial"/>
          <w:color w:val="000000" w:themeColor="text1"/>
          <w:sz w:val="34"/>
          <w:szCs w:val="34"/>
          <w:shd w:val="clear" w:color="auto" w:fill="FFFFFF"/>
        </w:rPr>
      </w:pPr>
      <w:r w:rsidRPr="001F4DB3">
        <w:rPr>
          <w:rFonts w:ascii="Arial" w:hAnsi="Arial" w:cs="Arial"/>
          <w:color w:val="000000" w:themeColor="text1"/>
          <w:sz w:val="34"/>
          <w:szCs w:val="34"/>
          <w:shd w:val="clear" w:color="auto" w:fill="FFFFFF"/>
        </w:rPr>
        <w:t>In 1989</w:t>
      </w:r>
      <w:r w:rsidRPr="001F4DB3">
        <w:rPr>
          <w:rFonts w:ascii="Arial" w:hAnsi="Arial" w:cs="Arial"/>
          <w:i/>
          <w:color w:val="000000" w:themeColor="text1"/>
          <w:sz w:val="34"/>
          <w:szCs w:val="34"/>
          <w:u w:val="single"/>
          <w:shd w:val="clear" w:color="auto" w:fill="FFFFFF"/>
        </w:rPr>
        <w:t>, </w:t>
      </w:r>
      <w:hyperlink r:id="rId15" w:tooltip="Arthur Andersen" w:history="1">
        <w:r w:rsidRPr="001F4DB3">
          <w:rPr>
            <w:rStyle w:val="Hyperlink"/>
            <w:rFonts w:ascii="Arial" w:hAnsi="Arial" w:cs="Arial"/>
            <w:i/>
            <w:color w:val="000000" w:themeColor="text1"/>
            <w:sz w:val="34"/>
            <w:szCs w:val="34"/>
            <w:u w:val="none"/>
            <w:shd w:val="clear" w:color="auto" w:fill="FFFFFF"/>
          </w:rPr>
          <w:t>Arthur Andersen</w:t>
        </w:r>
      </w:hyperlink>
      <w:r w:rsidRPr="001F4DB3">
        <w:rPr>
          <w:rFonts w:ascii="Arial" w:hAnsi="Arial" w:cs="Arial"/>
          <w:color w:val="000000" w:themeColor="text1"/>
          <w:sz w:val="34"/>
          <w:szCs w:val="34"/>
          <w:shd w:val="clear" w:color="auto" w:fill="FFFFFF"/>
        </w:rPr>
        <w:t> and Andersen Consulting became separate units of </w:t>
      </w:r>
      <w:hyperlink r:id="rId16" w:tooltip="Andersen Worldwide Société Coopérative" w:history="1">
        <w:r w:rsidRPr="001F4DB3">
          <w:rPr>
            <w:rStyle w:val="Hyperlink"/>
            <w:rFonts w:ascii="Arial" w:hAnsi="Arial" w:cs="Arial"/>
            <w:color w:val="000000" w:themeColor="text1"/>
            <w:sz w:val="34"/>
            <w:szCs w:val="34"/>
            <w:u w:val="none"/>
            <w:shd w:val="clear" w:color="auto" w:fill="FFFFFF"/>
          </w:rPr>
          <w:t xml:space="preserve">Andersen Worldwide </w:t>
        </w:r>
        <w:proofErr w:type="spellStart"/>
        <w:r w:rsidRPr="001F4DB3">
          <w:rPr>
            <w:rStyle w:val="Hyperlink"/>
            <w:rFonts w:ascii="Arial" w:hAnsi="Arial" w:cs="Arial"/>
            <w:color w:val="000000" w:themeColor="text1"/>
            <w:sz w:val="34"/>
            <w:szCs w:val="34"/>
            <w:u w:val="none"/>
            <w:shd w:val="clear" w:color="auto" w:fill="FFFFFF"/>
          </w:rPr>
          <w:t>Société</w:t>
        </w:r>
        <w:proofErr w:type="spellEnd"/>
        <w:r w:rsidRPr="001F4DB3">
          <w:rPr>
            <w:rStyle w:val="Hyperlink"/>
            <w:rFonts w:ascii="Arial" w:hAnsi="Arial" w:cs="Arial"/>
            <w:color w:val="000000" w:themeColor="text1"/>
            <w:sz w:val="34"/>
            <w:szCs w:val="34"/>
            <w:u w:val="none"/>
            <w:shd w:val="clear" w:color="auto" w:fill="FFFFFF"/>
          </w:rPr>
          <w:t xml:space="preserve"> </w:t>
        </w:r>
        <w:proofErr w:type="spellStart"/>
        <w:r w:rsidRPr="001F4DB3">
          <w:rPr>
            <w:rStyle w:val="Hyperlink"/>
            <w:rFonts w:ascii="Arial" w:hAnsi="Arial" w:cs="Arial"/>
            <w:color w:val="000000" w:themeColor="text1"/>
            <w:sz w:val="34"/>
            <w:szCs w:val="34"/>
            <w:u w:val="none"/>
            <w:shd w:val="clear" w:color="auto" w:fill="FFFFFF"/>
          </w:rPr>
          <w:t>Coopérative</w:t>
        </w:r>
        <w:proofErr w:type="spellEnd"/>
      </w:hyperlink>
      <w:r w:rsidRPr="001F4DB3">
        <w:rPr>
          <w:rFonts w:ascii="Arial" w:hAnsi="Arial" w:cs="Arial"/>
          <w:color w:val="000000" w:themeColor="text1"/>
          <w:sz w:val="34"/>
          <w:szCs w:val="34"/>
          <w:shd w:val="clear" w:color="auto" w:fill="FFFFFF"/>
        </w:rPr>
        <w:t> (AWSC). Throughout the 1990s, there was increasing tension between Andersen Consulting and Arthur Andersen. Andersen Consulting was paying Arthur Andersen up to 15% of its profits each year (a provision of the 1989 split was that the more profitable unit – whether AA or AC – pay the other the 15 percent), while at the same time Arthur Andersen was competing with Andersen Consulting through its own newly established business consulting service line called Arthur Andersen Business Consulting. This dispute came to a head in 1998 when Andersen Consulting put the 15% transfer payment for that year and future years into </w:t>
      </w:r>
      <w:hyperlink r:id="rId17" w:tooltip="Escrow" w:history="1">
        <w:r w:rsidRPr="001F4DB3">
          <w:rPr>
            <w:rStyle w:val="Hyperlink"/>
            <w:rFonts w:ascii="Arial" w:hAnsi="Arial" w:cs="Arial"/>
            <w:color w:val="000000" w:themeColor="text1"/>
            <w:sz w:val="34"/>
            <w:szCs w:val="34"/>
            <w:shd w:val="clear" w:color="auto" w:fill="FFFFFF"/>
          </w:rPr>
          <w:t>escrow</w:t>
        </w:r>
      </w:hyperlink>
      <w:r w:rsidRPr="001F4DB3">
        <w:rPr>
          <w:rFonts w:ascii="Arial" w:hAnsi="Arial" w:cs="Arial"/>
          <w:color w:val="000000" w:themeColor="text1"/>
          <w:sz w:val="34"/>
          <w:szCs w:val="34"/>
          <w:shd w:val="clear" w:color="auto" w:fill="FFFFFF"/>
        </w:rPr>
        <w:t> and issued a claim for breach of contract against AWSC and Arthur Andersen. In August 2000, as a result of the conclusion of arbitration with the </w:t>
      </w:r>
      <w:hyperlink r:id="rId18" w:tooltip="International Chamber of Commerce" w:history="1">
        <w:r w:rsidRPr="001F4DB3">
          <w:rPr>
            <w:rStyle w:val="Hyperlink"/>
            <w:rFonts w:ascii="Arial" w:hAnsi="Arial" w:cs="Arial"/>
            <w:color w:val="000000" w:themeColor="text1"/>
            <w:sz w:val="34"/>
            <w:szCs w:val="34"/>
            <w:u w:val="none"/>
            <w:shd w:val="clear" w:color="auto" w:fill="FFFFFF"/>
          </w:rPr>
          <w:t>International Chamber of Commerce</w:t>
        </w:r>
      </w:hyperlink>
      <w:r w:rsidRPr="001F4DB3">
        <w:rPr>
          <w:rFonts w:ascii="Arial" w:hAnsi="Arial" w:cs="Arial"/>
          <w:color w:val="000000" w:themeColor="text1"/>
          <w:sz w:val="34"/>
          <w:szCs w:val="34"/>
          <w:shd w:val="clear" w:color="auto" w:fill="FFFFFF"/>
        </w:rPr>
        <w:t>, Andersen Consulting broke all contractual ties with AWSC and Arthur Andersen. As part of the arbitration settlement, Andersen Consulting paid the sum held in escrow (then $1.2 billion) to Arthur Andersen, and was required to change its name, resulting in the entity being renamed Accenture.</w:t>
      </w:r>
    </w:p>
    <w:p w:rsidR="001F4DB3" w:rsidRPr="001F4DB3" w:rsidRDefault="001F4DB3" w:rsidP="00044270">
      <w:pPr>
        <w:pStyle w:val="ListParagraph"/>
        <w:ind w:left="113"/>
        <w:rPr>
          <w:rFonts w:ascii="Book Antiqua" w:hAnsi="Book Antiqua" w:cs="Arial"/>
          <w:color w:val="000000" w:themeColor="text1"/>
          <w:sz w:val="40"/>
          <w:szCs w:val="40"/>
        </w:rPr>
      </w:pPr>
      <w:r>
        <w:rPr>
          <w:noProof/>
          <w:lang w:eastAsia="en-IN"/>
        </w:rPr>
        <w:drawing>
          <wp:inline distT="0" distB="0" distL="0" distR="0">
            <wp:extent cx="6793230" cy="4324160"/>
            <wp:effectExtent l="19050" t="0" r="7620" b="0"/>
            <wp:docPr id="7" name="Picture 7" descr="Accenture Announces Intent to Acquire BENEXT Independent French Product  Management Consulting Company - BW 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centure Announces Intent to Acquire BENEXT Independent French Product  Management Consulting Company - BW CIO"/>
                    <pic:cNvPicPr>
                      <a:picLocks noChangeAspect="1" noChangeArrowheads="1"/>
                    </pic:cNvPicPr>
                  </pic:nvPicPr>
                  <pic:blipFill>
                    <a:blip r:embed="rId19"/>
                    <a:srcRect/>
                    <a:stretch>
                      <a:fillRect/>
                    </a:stretch>
                  </pic:blipFill>
                  <pic:spPr bwMode="auto">
                    <a:xfrm>
                      <a:off x="0" y="0"/>
                      <a:ext cx="6794929" cy="4325241"/>
                    </a:xfrm>
                    <a:prstGeom prst="rect">
                      <a:avLst/>
                    </a:prstGeom>
                    <a:noFill/>
                    <a:ln w="9525">
                      <a:noFill/>
                      <a:miter lim="800000"/>
                      <a:headEnd/>
                      <a:tailEnd/>
                    </a:ln>
                  </pic:spPr>
                </pic:pic>
              </a:graphicData>
            </a:graphic>
          </wp:inline>
        </w:drawing>
      </w:r>
    </w:p>
    <w:p w:rsidR="002159D2" w:rsidRDefault="00BC62FE" w:rsidP="008008CA">
      <w:pPr>
        <w:pStyle w:val="ListParagraph"/>
        <w:ind w:right="794"/>
        <w:jc w:val="center"/>
        <w:rPr>
          <w:rFonts w:ascii="Book Antiqua" w:hAnsi="Book Antiqua"/>
          <w:b/>
          <w:color w:val="4A856D" w:themeColor="accent6" w:themeShade="BF"/>
          <w:sz w:val="48"/>
          <w:szCs w:val="48"/>
          <w:u w:val="single"/>
        </w:rPr>
      </w:pPr>
      <w:r w:rsidRPr="00BC62FE">
        <w:rPr>
          <w:rFonts w:ascii="Book Antiqua" w:hAnsi="Book Antiqua"/>
          <w:b/>
          <w:bCs/>
          <w:color w:val="4A856D" w:themeColor="accent6" w:themeShade="BF"/>
          <w:sz w:val="48"/>
          <w:szCs w:val="48"/>
          <w:u w:val="single"/>
        </w:rPr>
        <w:t>F</w:t>
      </w:r>
      <w:r w:rsidR="000C1FC4" w:rsidRPr="00BC62FE">
        <w:rPr>
          <w:rFonts w:ascii="Book Antiqua" w:hAnsi="Book Antiqua"/>
          <w:b/>
          <w:bCs/>
          <w:color w:val="4A856D" w:themeColor="accent6" w:themeShade="BF"/>
          <w:sz w:val="48"/>
          <w:szCs w:val="48"/>
          <w:u w:val="single"/>
        </w:rPr>
        <w:t xml:space="preserve">inancial </w:t>
      </w:r>
      <w:r w:rsidRPr="00BC62FE">
        <w:rPr>
          <w:rFonts w:ascii="Book Antiqua" w:hAnsi="Book Antiqua"/>
          <w:b/>
          <w:bCs/>
          <w:color w:val="4A856D" w:themeColor="accent6" w:themeShade="BF"/>
          <w:sz w:val="48"/>
          <w:szCs w:val="48"/>
          <w:u w:val="single"/>
        </w:rPr>
        <w:t>P</w:t>
      </w:r>
      <w:r w:rsidR="000C1FC4" w:rsidRPr="00BC62FE">
        <w:rPr>
          <w:rFonts w:ascii="Book Antiqua" w:hAnsi="Book Antiqua"/>
          <w:b/>
          <w:bCs/>
          <w:color w:val="4A856D" w:themeColor="accent6" w:themeShade="BF"/>
          <w:sz w:val="48"/>
          <w:szCs w:val="48"/>
          <w:u w:val="single"/>
        </w:rPr>
        <w:t xml:space="preserve">erformance </w:t>
      </w:r>
      <w:r w:rsidRPr="00BC62FE">
        <w:rPr>
          <w:rFonts w:ascii="Book Antiqua" w:hAnsi="Book Antiqua"/>
          <w:b/>
          <w:bCs/>
          <w:color w:val="4A856D" w:themeColor="accent6" w:themeShade="BF"/>
          <w:sz w:val="48"/>
          <w:szCs w:val="48"/>
          <w:u w:val="single"/>
        </w:rPr>
        <w:t>E</w:t>
      </w:r>
      <w:r w:rsidR="000C1FC4" w:rsidRPr="00BC62FE">
        <w:rPr>
          <w:rFonts w:ascii="Book Antiqua" w:hAnsi="Book Antiqua"/>
          <w:b/>
          <w:bCs/>
          <w:color w:val="4A856D" w:themeColor="accent6" w:themeShade="BF"/>
          <w:sz w:val="48"/>
          <w:szCs w:val="48"/>
          <w:u w:val="single"/>
        </w:rPr>
        <w:t>valuation</w:t>
      </w:r>
    </w:p>
    <w:p w:rsidR="001F4DB3" w:rsidRDefault="001F4DB3" w:rsidP="001F4DB3">
      <w:pPr>
        <w:pStyle w:val="Heading2"/>
        <w:shd w:val="clear" w:color="auto" w:fill="FFFFFF"/>
        <w:rPr>
          <w:rFonts w:ascii="Arial" w:hAnsi="Arial" w:cs="Arial"/>
          <w:color w:val="111111"/>
          <w:spacing w:val="1"/>
        </w:rPr>
      </w:pPr>
      <w:r>
        <w:rPr>
          <w:rStyle w:val="mntl-sc-block-headingtext"/>
          <w:rFonts w:ascii="Arial" w:hAnsi="Arial" w:cs="Arial"/>
          <w:color w:val="111111"/>
          <w:spacing w:val="1"/>
        </w:rPr>
        <w:t>What Is Financial Performance?</w:t>
      </w:r>
    </w:p>
    <w:p w:rsidR="001F4DB3" w:rsidRDefault="001F4DB3" w:rsidP="001F4DB3">
      <w:pPr>
        <w:pStyle w:val="comp"/>
        <w:shd w:val="clear" w:color="auto" w:fill="FFFFFF"/>
        <w:spacing w:before="0" w:beforeAutospacing="0"/>
        <w:rPr>
          <w:rFonts w:ascii="Arial" w:hAnsi="Arial" w:cs="Arial"/>
          <w:color w:val="111111"/>
          <w:spacing w:val="1"/>
          <w:sz w:val="43"/>
          <w:szCs w:val="43"/>
        </w:rPr>
      </w:pPr>
      <w:r>
        <w:rPr>
          <w:rFonts w:ascii="Arial" w:hAnsi="Arial" w:cs="Arial"/>
          <w:color w:val="111111"/>
          <w:spacing w:val="1"/>
          <w:sz w:val="43"/>
          <w:szCs w:val="43"/>
        </w:rPr>
        <w:t xml:space="preserve">Financial performance is a subjective measure of how well a firm can use assets from its primary mode of business and </w:t>
      </w:r>
      <w:proofErr w:type="spellStart"/>
      <w:r>
        <w:rPr>
          <w:rFonts w:ascii="Arial" w:hAnsi="Arial" w:cs="Arial"/>
          <w:color w:val="111111"/>
          <w:spacing w:val="1"/>
          <w:sz w:val="43"/>
          <w:szCs w:val="43"/>
        </w:rPr>
        <w:t>generate</w:t>
      </w:r>
      <w:r>
        <w:rPr>
          <w:rFonts w:ascii="Arial" w:hAnsi="Arial" w:cs="Arial"/>
          <w:color w:val="111111"/>
          <w:spacing w:val="1"/>
          <w:sz w:val="43"/>
          <w:szCs w:val="43"/>
          <w:u w:val="single"/>
        </w:rPr>
        <w:t>.</w:t>
      </w:r>
      <w:r>
        <w:rPr>
          <w:rFonts w:ascii="Arial" w:hAnsi="Arial" w:cs="Arial"/>
          <w:color w:val="111111"/>
          <w:spacing w:val="1"/>
          <w:sz w:val="43"/>
          <w:szCs w:val="43"/>
        </w:rPr>
        <w:t>The</w:t>
      </w:r>
      <w:proofErr w:type="spellEnd"/>
      <w:r>
        <w:rPr>
          <w:rFonts w:ascii="Arial" w:hAnsi="Arial" w:cs="Arial"/>
          <w:color w:val="111111"/>
          <w:spacing w:val="1"/>
          <w:sz w:val="43"/>
          <w:szCs w:val="43"/>
        </w:rPr>
        <w:t xml:space="preserve"> term is also used as a general measure of a firm's overall financial health over a given period.</w:t>
      </w:r>
    </w:p>
    <w:p w:rsidR="001F4DB3" w:rsidRDefault="001F4DB3" w:rsidP="001F4DB3">
      <w:pPr>
        <w:pStyle w:val="comp"/>
        <w:shd w:val="clear" w:color="auto" w:fill="FFFFFF"/>
        <w:spacing w:before="0" w:beforeAutospacing="0"/>
        <w:rPr>
          <w:rFonts w:ascii="Arial" w:hAnsi="Arial" w:cs="Arial"/>
          <w:color w:val="111111"/>
          <w:spacing w:val="1"/>
          <w:sz w:val="43"/>
          <w:szCs w:val="43"/>
        </w:rPr>
      </w:pPr>
      <w:r>
        <w:rPr>
          <w:rFonts w:ascii="Arial" w:hAnsi="Arial" w:cs="Arial"/>
          <w:color w:val="111111"/>
          <w:spacing w:val="1"/>
          <w:sz w:val="43"/>
          <w:szCs w:val="43"/>
        </w:rPr>
        <w:t>Analysts and investors use financial performance to compare similar firms across the same industry or to compare industries or sectors in aggregate.</w:t>
      </w:r>
    </w:p>
    <w:p w:rsidR="001F4DB3" w:rsidRDefault="001F4DB3" w:rsidP="001F4DB3">
      <w:pPr>
        <w:pStyle w:val="Heading3"/>
        <w:shd w:val="clear" w:color="auto" w:fill="FFFFFF"/>
        <w:spacing w:before="0"/>
        <w:rPr>
          <w:rFonts w:ascii="Arial" w:hAnsi="Arial" w:cs="Arial"/>
          <w:color w:val="111111"/>
          <w:spacing w:val="1"/>
          <w:sz w:val="27"/>
          <w:szCs w:val="27"/>
        </w:rPr>
      </w:pPr>
      <w:r>
        <w:rPr>
          <w:rFonts w:ascii="Arial" w:hAnsi="Arial" w:cs="Arial"/>
          <w:b/>
          <w:bCs/>
          <w:caps w:val="0"/>
          <w:color w:val="111111"/>
          <w:spacing w:val="1"/>
        </w:rPr>
        <w:t>KEY TAKEAWAYS</w:t>
      </w:r>
    </w:p>
    <w:p w:rsidR="001F4DB3" w:rsidRDefault="001F4DB3" w:rsidP="001F4DB3">
      <w:pPr>
        <w:numPr>
          <w:ilvl w:val="0"/>
          <w:numId w:val="16"/>
        </w:numPr>
        <w:shd w:val="clear" w:color="auto" w:fill="FFFFFF"/>
        <w:spacing w:before="100" w:beforeAutospacing="1" w:after="100" w:afterAutospacing="1" w:line="240" w:lineRule="auto"/>
        <w:rPr>
          <w:rFonts w:ascii="Arial" w:hAnsi="Arial" w:cs="Arial"/>
          <w:color w:val="111111"/>
          <w:spacing w:val="1"/>
          <w:sz w:val="43"/>
          <w:szCs w:val="43"/>
        </w:rPr>
      </w:pPr>
      <w:r>
        <w:rPr>
          <w:rFonts w:ascii="Arial" w:hAnsi="Arial" w:cs="Arial"/>
          <w:color w:val="111111"/>
          <w:spacing w:val="1"/>
          <w:sz w:val="43"/>
          <w:szCs w:val="43"/>
        </w:rPr>
        <w:t>The financial performance tells investors about the general well-being of a firm. It's a snapshot of its economic health and the job its management is doing.</w:t>
      </w:r>
    </w:p>
    <w:p w:rsidR="001F4DB3" w:rsidRDefault="001F4DB3" w:rsidP="001F4DB3">
      <w:pPr>
        <w:numPr>
          <w:ilvl w:val="0"/>
          <w:numId w:val="16"/>
        </w:numPr>
        <w:shd w:val="clear" w:color="auto" w:fill="FFFFFF"/>
        <w:spacing w:before="100" w:beforeAutospacing="1" w:after="100" w:afterAutospacing="1" w:line="240" w:lineRule="auto"/>
        <w:rPr>
          <w:rFonts w:ascii="Arial" w:hAnsi="Arial" w:cs="Arial"/>
          <w:color w:val="111111"/>
          <w:spacing w:val="1"/>
          <w:sz w:val="43"/>
          <w:szCs w:val="43"/>
        </w:rPr>
      </w:pPr>
      <w:r>
        <w:rPr>
          <w:rFonts w:ascii="Arial" w:hAnsi="Arial" w:cs="Arial"/>
          <w:color w:val="111111"/>
          <w:spacing w:val="1"/>
          <w:sz w:val="43"/>
          <w:szCs w:val="43"/>
        </w:rPr>
        <w:t>A key document in reporting corporate financial performance is Form 10-K, which all public companies are required to publish annually.</w:t>
      </w:r>
    </w:p>
    <w:p w:rsidR="001F4DB3" w:rsidRDefault="001F4DB3" w:rsidP="001F4DB3">
      <w:pPr>
        <w:numPr>
          <w:ilvl w:val="0"/>
          <w:numId w:val="16"/>
        </w:numPr>
        <w:shd w:val="clear" w:color="auto" w:fill="FFFFFF"/>
        <w:spacing w:before="100" w:beforeAutospacing="1" w:after="100" w:afterAutospacing="1" w:line="240" w:lineRule="auto"/>
        <w:rPr>
          <w:rFonts w:ascii="Arial" w:hAnsi="Arial" w:cs="Arial"/>
          <w:color w:val="111111"/>
          <w:spacing w:val="1"/>
          <w:sz w:val="43"/>
          <w:szCs w:val="43"/>
        </w:rPr>
      </w:pPr>
      <w:r>
        <w:rPr>
          <w:rFonts w:ascii="Arial" w:hAnsi="Arial" w:cs="Arial"/>
          <w:color w:val="111111"/>
          <w:spacing w:val="1"/>
          <w:sz w:val="43"/>
          <w:szCs w:val="43"/>
        </w:rPr>
        <w:t>Financial statements used in evaluating overall financial performance include the balance sheet, the income statement, and the statement of cash flows.</w:t>
      </w:r>
    </w:p>
    <w:p w:rsidR="001F4DB3" w:rsidRDefault="001F4DB3" w:rsidP="001F4DB3">
      <w:pPr>
        <w:numPr>
          <w:ilvl w:val="0"/>
          <w:numId w:val="16"/>
        </w:numPr>
        <w:shd w:val="clear" w:color="auto" w:fill="FFFFFF"/>
        <w:spacing w:before="100" w:beforeAutospacing="1" w:after="100" w:afterAutospacing="1" w:line="240" w:lineRule="auto"/>
        <w:rPr>
          <w:rFonts w:ascii="Arial" w:hAnsi="Arial" w:cs="Arial"/>
          <w:color w:val="111111"/>
          <w:spacing w:val="1"/>
          <w:sz w:val="43"/>
          <w:szCs w:val="43"/>
        </w:rPr>
      </w:pPr>
      <w:r>
        <w:rPr>
          <w:rFonts w:ascii="Arial" w:hAnsi="Arial" w:cs="Arial"/>
          <w:color w:val="111111"/>
          <w:spacing w:val="1"/>
          <w:sz w:val="43"/>
          <w:szCs w:val="43"/>
        </w:rPr>
        <w:t>Financial performance indicators are quantifiable metrics used to measure how well a company is doing.</w:t>
      </w:r>
    </w:p>
    <w:p w:rsidR="001F4DB3" w:rsidRDefault="001F4DB3" w:rsidP="001F4DB3">
      <w:pPr>
        <w:numPr>
          <w:ilvl w:val="0"/>
          <w:numId w:val="16"/>
        </w:numPr>
        <w:shd w:val="clear" w:color="auto" w:fill="FFFFFF"/>
        <w:spacing w:before="100" w:beforeAutospacing="1" w:after="0" w:line="240" w:lineRule="auto"/>
        <w:rPr>
          <w:rFonts w:ascii="Arial" w:hAnsi="Arial" w:cs="Arial"/>
          <w:color w:val="111111"/>
          <w:spacing w:val="1"/>
          <w:sz w:val="43"/>
          <w:szCs w:val="43"/>
        </w:rPr>
      </w:pPr>
      <w:r>
        <w:rPr>
          <w:rFonts w:ascii="Arial" w:hAnsi="Arial" w:cs="Arial"/>
          <w:color w:val="111111"/>
          <w:spacing w:val="1"/>
          <w:sz w:val="43"/>
          <w:szCs w:val="43"/>
        </w:rPr>
        <w:t>No single measure should be used to define the financial performance of a firm.</w:t>
      </w:r>
    </w:p>
    <w:p w:rsidR="006A3F9D" w:rsidRPr="003E2B7E" w:rsidRDefault="006A3F9D" w:rsidP="001F4DB3">
      <w:pPr>
        <w:pStyle w:val="ListParagraph"/>
        <w:ind w:right="794"/>
        <w:rPr>
          <w:rFonts w:ascii="Book Antiqua" w:hAnsi="Book Antiqua" w:cs="Arial"/>
          <w:b/>
          <w:bCs/>
          <w:i/>
          <w:iCs/>
          <w:color w:val="0070C0"/>
          <w:sz w:val="44"/>
          <w:szCs w:val="44"/>
          <w:shd w:val="clear" w:color="auto" w:fill="FFFFFF"/>
        </w:rPr>
      </w:pPr>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tblPr>
      <w:tblGrid>
        <w:gridCol w:w="5226"/>
        <w:gridCol w:w="1222"/>
        <w:gridCol w:w="1222"/>
      </w:tblGrid>
      <w:tr w:rsidR="001F4DB3" w:rsidRPr="001F4DB3" w:rsidTr="001F4DB3">
        <w:trPr>
          <w:tblHeader/>
        </w:trPr>
        <w:tc>
          <w:tcPr>
            <w:tcW w:w="0" w:type="auto"/>
            <w:gridSpan w:val="3"/>
            <w:tcBorders>
              <w:top w:val="nil"/>
              <w:bottom w:val="nil"/>
              <w:right w:val="nil"/>
            </w:tcBorders>
            <w:shd w:val="clear" w:color="auto" w:fill="FFFFFF"/>
            <w:hideMark/>
          </w:tcPr>
          <w:p w:rsidR="001F4DB3" w:rsidRPr="001F4DB3" w:rsidRDefault="001F4DB3" w:rsidP="001F4DB3">
            <w:pPr>
              <w:spacing w:after="0" w:line="240" w:lineRule="auto"/>
              <w:rPr>
                <w:rFonts w:ascii="Arial" w:eastAsia="Times New Roman" w:hAnsi="Arial" w:cs="Arial"/>
                <w:b/>
                <w:bCs/>
                <w:color w:val="111111"/>
                <w:spacing w:val="1"/>
                <w:sz w:val="43"/>
                <w:szCs w:val="43"/>
                <w:lang w:eastAsia="en-IN"/>
              </w:rPr>
            </w:pPr>
            <w:r w:rsidRPr="001F4DB3">
              <w:rPr>
                <w:rFonts w:ascii="Arial" w:eastAsia="Times New Roman" w:hAnsi="Arial" w:cs="Arial"/>
                <w:b/>
                <w:bCs/>
                <w:color w:val="111111"/>
                <w:spacing w:val="1"/>
                <w:sz w:val="43"/>
                <w:szCs w:val="43"/>
                <w:lang w:eastAsia="en-IN"/>
              </w:rPr>
              <w:t>Comparing Coca-Cola's Performance</w:t>
            </w:r>
          </w:p>
        </w:tc>
      </w:tr>
      <w:tr w:rsidR="001F4DB3" w:rsidRPr="001F4DB3" w:rsidTr="001F4DB3">
        <w:tc>
          <w:tcPr>
            <w:tcW w:w="0" w:type="auto"/>
            <w:tcBorders>
              <w:top w:val="nil"/>
              <w:bottom w:val="nil"/>
              <w:right w:val="single" w:sz="12" w:space="0" w:color="D4D4D4"/>
            </w:tcBorders>
            <w:shd w:val="clear" w:color="auto" w:fill="F5F5F6"/>
            <w:hideMark/>
          </w:tcPr>
          <w:p w:rsidR="001F4DB3" w:rsidRPr="001F4DB3" w:rsidRDefault="001F4DB3" w:rsidP="001F4DB3">
            <w:pPr>
              <w:spacing w:after="0" w:line="240" w:lineRule="auto"/>
              <w:rPr>
                <w:rFonts w:ascii="Arial" w:eastAsia="Times New Roman" w:hAnsi="Arial" w:cs="Arial"/>
                <w:color w:val="111111"/>
                <w:spacing w:val="1"/>
                <w:sz w:val="24"/>
                <w:szCs w:val="24"/>
                <w:lang w:eastAsia="en-IN"/>
              </w:rPr>
            </w:pPr>
            <w:r w:rsidRPr="001F4DB3">
              <w:rPr>
                <w:rFonts w:ascii="Arial" w:eastAsia="Times New Roman" w:hAnsi="Arial" w:cs="Arial"/>
                <w:b/>
                <w:bCs/>
                <w:color w:val="111111"/>
                <w:spacing w:val="1"/>
                <w:sz w:val="24"/>
                <w:szCs w:val="24"/>
                <w:lang w:eastAsia="en-IN"/>
              </w:rPr>
              <w:t>($ in millions except per-share data)</w:t>
            </w:r>
          </w:p>
        </w:tc>
        <w:tc>
          <w:tcPr>
            <w:tcW w:w="0" w:type="auto"/>
            <w:tcBorders>
              <w:top w:val="nil"/>
              <w:bottom w:val="nil"/>
              <w:right w:val="single" w:sz="12" w:space="0" w:color="D4D4D4"/>
            </w:tcBorders>
            <w:shd w:val="clear" w:color="auto" w:fill="F5F5F6"/>
            <w:hideMark/>
          </w:tcPr>
          <w:p w:rsidR="001F4DB3" w:rsidRPr="001F4DB3" w:rsidRDefault="001F4DB3" w:rsidP="001F4DB3">
            <w:pPr>
              <w:spacing w:after="0" w:line="240" w:lineRule="auto"/>
              <w:rPr>
                <w:rFonts w:ascii="Arial" w:eastAsia="Times New Roman" w:hAnsi="Arial" w:cs="Arial"/>
                <w:color w:val="111111"/>
                <w:spacing w:val="1"/>
                <w:sz w:val="24"/>
                <w:szCs w:val="24"/>
                <w:lang w:eastAsia="en-IN"/>
              </w:rPr>
            </w:pPr>
            <w:r w:rsidRPr="001F4DB3">
              <w:rPr>
                <w:rFonts w:ascii="Arial" w:eastAsia="Times New Roman" w:hAnsi="Arial" w:cs="Arial"/>
                <w:color w:val="111111"/>
                <w:spacing w:val="1"/>
                <w:sz w:val="24"/>
                <w:szCs w:val="24"/>
                <w:lang w:eastAsia="en-IN"/>
              </w:rPr>
              <w:t> </w:t>
            </w:r>
            <w:r w:rsidRPr="001F4DB3">
              <w:rPr>
                <w:rFonts w:ascii="Arial" w:eastAsia="Times New Roman" w:hAnsi="Arial" w:cs="Arial"/>
                <w:b/>
                <w:bCs/>
                <w:color w:val="111111"/>
                <w:spacing w:val="1"/>
                <w:sz w:val="24"/>
                <w:szCs w:val="24"/>
                <w:lang w:eastAsia="en-IN"/>
              </w:rPr>
              <w:t>2019</w:t>
            </w:r>
          </w:p>
        </w:tc>
        <w:tc>
          <w:tcPr>
            <w:tcW w:w="0" w:type="auto"/>
            <w:tcBorders>
              <w:top w:val="nil"/>
              <w:bottom w:val="nil"/>
              <w:right w:val="nil"/>
            </w:tcBorders>
            <w:shd w:val="clear" w:color="auto" w:fill="F5F5F6"/>
            <w:hideMark/>
          </w:tcPr>
          <w:p w:rsidR="001F4DB3" w:rsidRPr="001F4DB3" w:rsidRDefault="001F4DB3" w:rsidP="001F4DB3">
            <w:pPr>
              <w:spacing w:after="0" w:line="240" w:lineRule="auto"/>
              <w:rPr>
                <w:rFonts w:ascii="Arial" w:eastAsia="Times New Roman" w:hAnsi="Arial" w:cs="Arial"/>
                <w:color w:val="111111"/>
                <w:spacing w:val="1"/>
                <w:sz w:val="24"/>
                <w:szCs w:val="24"/>
                <w:lang w:eastAsia="en-IN"/>
              </w:rPr>
            </w:pPr>
            <w:r w:rsidRPr="001F4DB3">
              <w:rPr>
                <w:rFonts w:ascii="Arial" w:eastAsia="Times New Roman" w:hAnsi="Arial" w:cs="Arial"/>
                <w:b/>
                <w:bCs/>
                <w:color w:val="111111"/>
                <w:spacing w:val="1"/>
                <w:sz w:val="24"/>
                <w:szCs w:val="24"/>
                <w:lang w:eastAsia="en-IN"/>
              </w:rPr>
              <w:t>2020</w:t>
            </w:r>
          </w:p>
        </w:tc>
      </w:tr>
      <w:tr w:rsidR="001F4DB3" w:rsidRPr="001F4DB3" w:rsidTr="001F4DB3">
        <w:tc>
          <w:tcPr>
            <w:tcW w:w="0" w:type="auto"/>
            <w:tcBorders>
              <w:top w:val="nil"/>
              <w:bottom w:val="nil"/>
              <w:right w:val="single" w:sz="12" w:space="0" w:color="D4D4D4"/>
            </w:tcBorders>
            <w:shd w:val="clear" w:color="auto" w:fill="FFFFFF"/>
            <w:hideMark/>
          </w:tcPr>
          <w:p w:rsidR="001F4DB3" w:rsidRPr="001F4DB3" w:rsidRDefault="001F4DB3" w:rsidP="001F4DB3">
            <w:pPr>
              <w:spacing w:after="0" w:line="240" w:lineRule="auto"/>
              <w:rPr>
                <w:rFonts w:ascii="Arial" w:eastAsia="Times New Roman" w:hAnsi="Arial" w:cs="Arial"/>
                <w:color w:val="111111"/>
                <w:spacing w:val="1"/>
                <w:sz w:val="24"/>
                <w:szCs w:val="24"/>
                <w:lang w:eastAsia="en-IN"/>
              </w:rPr>
            </w:pPr>
            <w:r w:rsidRPr="001F4DB3">
              <w:rPr>
                <w:rFonts w:ascii="Arial" w:eastAsia="Times New Roman" w:hAnsi="Arial" w:cs="Arial"/>
                <w:color w:val="111111"/>
                <w:spacing w:val="1"/>
                <w:sz w:val="24"/>
                <w:szCs w:val="24"/>
                <w:lang w:eastAsia="en-IN"/>
              </w:rPr>
              <w:t>Net operating revenues</w:t>
            </w:r>
          </w:p>
        </w:tc>
        <w:tc>
          <w:tcPr>
            <w:tcW w:w="0" w:type="auto"/>
            <w:tcBorders>
              <w:top w:val="nil"/>
              <w:bottom w:val="nil"/>
              <w:right w:val="single" w:sz="12" w:space="0" w:color="D4D4D4"/>
            </w:tcBorders>
            <w:shd w:val="clear" w:color="auto" w:fill="FFFFFF"/>
            <w:hideMark/>
          </w:tcPr>
          <w:p w:rsidR="001F4DB3" w:rsidRPr="001F4DB3" w:rsidRDefault="001F4DB3" w:rsidP="001F4DB3">
            <w:pPr>
              <w:spacing w:after="0" w:line="240" w:lineRule="auto"/>
              <w:rPr>
                <w:rFonts w:ascii="Arial" w:eastAsia="Times New Roman" w:hAnsi="Arial" w:cs="Arial"/>
                <w:color w:val="111111"/>
                <w:spacing w:val="1"/>
                <w:sz w:val="24"/>
                <w:szCs w:val="24"/>
                <w:lang w:eastAsia="en-IN"/>
              </w:rPr>
            </w:pPr>
            <w:r w:rsidRPr="001F4DB3">
              <w:rPr>
                <w:rFonts w:ascii="Arial" w:eastAsia="Times New Roman" w:hAnsi="Arial" w:cs="Arial"/>
                <w:color w:val="111111"/>
                <w:spacing w:val="1"/>
                <w:sz w:val="24"/>
                <w:szCs w:val="24"/>
                <w:lang w:eastAsia="en-IN"/>
              </w:rPr>
              <w:t> $37,266</w:t>
            </w:r>
          </w:p>
        </w:tc>
        <w:tc>
          <w:tcPr>
            <w:tcW w:w="0" w:type="auto"/>
            <w:tcBorders>
              <w:top w:val="nil"/>
              <w:bottom w:val="nil"/>
              <w:right w:val="nil"/>
            </w:tcBorders>
            <w:shd w:val="clear" w:color="auto" w:fill="FFFFFF"/>
            <w:hideMark/>
          </w:tcPr>
          <w:p w:rsidR="001F4DB3" w:rsidRPr="001F4DB3" w:rsidRDefault="001F4DB3" w:rsidP="001F4DB3">
            <w:pPr>
              <w:spacing w:after="0" w:line="240" w:lineRule="auto"/>
              <w:rPr>
                <w:rFonts w:ascii="Arial" w:eastAsia="Times New Roman" w:hAnsi="Arial" w:cs="Arial"/>
                <w:color w:val="111111"/>
                <w:spacing w:val="1"/>
                <w:sz w:val="24"/>
                <w:szCs w:val="24"/>
                <w:lang w:eastAsia="en-IN"/>
              </w:rPr>
            </w:pPr>
            <w:r w:rsidRPr="001F4DB3">
              <w:rPr>
                <w:rFonts w:ascii="Arial" w:eastAsia="Times New Roman" w:hAnsi="Arial" w:cs="Arial"/>
                <w:color w:val="111111"/>
                <w:spacing w:val="1"/>
                <w:sz w:val="24"/>
                <w:szCs w:val="24"/>
                <w:lang w:eastAsia="en-IN"/>
              </w:rPr>
              <w:t> $33,014</w:t>
            </w:r>
          </w:p>
        </w:tc>
      </w:tr>
      <w:tr w:rsidR="001F4DB3" w:rsidRPr="001F4DB3" w:rsidTr="001F4DB3">
        <w:tc>
          <w:tcPr>
            <w:tcW w:w="0" w:type="auto"/>
            <w:tcBorders>
              <w:top w:val="nil"/>
              <w:bottom w:val="nil"/>
              <w:right w:val="single" w:sz="12" w:space="0" w:color="D4D4D4"/>
            </w:tcBorders>
            <w:shd w:val="clear" w:color="auto" w:fill="F5F5F6"/>
            <w:hideMark/>
          </w:tcPr>
          <w:p w:rsidR="001F4DB3" w:rsidRPr="001F4DB3" w:rsidRDefault="001F4DB3" w:rsidP="001F4DB3">
            <w:pPr>
              <w:spacing w:after="0" w:line="240" w:lineRule="auto"/>
              <w:rPr>
                <w:rFonts w:ascii="Arial" w:eastAsia="Times New Roman" w:hAnsi="Arial" w:cs="Arial"/>
                <w:color w:val="111111"/>
                <w:spacing w:val="1"/>
                <w:sz w:val="24"/>
                <w:szCs w:val="24"/>
                <w:lang w:eastAsia="en-IN"/>
              </w:rPr>
            </w:pPr>
            <w:r w:rsidRPr="001F4DB3">
              <w:rPr>
                <w:rFonts w:ascii="Arial" w:eastAsia="Times New Roman" w:hAnsi="Arial" w:cs="Arial"/>
                <w:color w:val="111111"/>
                <w:spacing w:val="1"/>
                <w:sz w:val="24"/>
                <w:szCs w:val="24"/>
                <w:lang w:eastAsia="en-IN"/>
              </w:rPr>
              <w:t>Gross profit</w:t>
            </w:r>
          </w:p>
        </w:tc>
        <w:tc>
          <w:tcPr>
            <w:tcW w:w="0" w:type="auto"/>
            <w:tcBorders>
              <w:top w:val="nil"/>
              <w:bottom w:val="nil"/>
              <w:right w:val="single" w:sz="12" w:space="0" w:color="D4D4D4"/>
            </w:tcBorders>
            <w:shd w:val="clear" w:color="auto" w:fill="F5F5F6"/>
            <w:hideMark/>
          </w:tcPr>
          <w:p w:rsidR="001F4DB3" w:rsidRPr="001F4DB3" w:rsidRDefault="001F4DB3" w:rsidP="001F4DB3">
            <w:pPr>
              <w:spacing w:after="0" w:line="240" w:lineRule="auto"/>
              <w:rPr>
                <w:rFonts w:ascii="Arial" w:eastAsia="Times New Roman" w:hAnsi="Arial" w:cs="Arial"/>
                <w:color w:val="111111"/>
                <w:spacing w:val="1"/>
                <w:sz w:val="24"/>
                <w:szCs w:val="24"/>
                <w:lang w:eastAsia="en-IN"/>
              </w:rPr>
            </w:pPr>
            <w:r w:rsidRPr="001F4DB3">
              <w:rPr>
                <w:rFonts w:ascii="Arial" w:eastAsia="Times New Roman" w:hAnsi="Arial" w:cs="Arial"/>
                <w:color w:val="111111"/>
                <w:spacing w:val="1"/>
                <w:sz w:val="24"/>
                <w:szCs w:val="24"/>
                <w:lang w:eastAsia="en-IN"/>
              </w:rPr>
              <w:t>$22,647</w:t>
            </w:r>
          </w:p>
        </w:tc>
        <w:tc>
          <w:tcPr>
            <w:tcW w:w="0" w:type="auto"/>
            <w:tcBorders>
              <w:top w:val="nil"/>
              <w:bottom w:val="nil"/>
              <w:right w:val="nil"/>
            </w:tcBorders>
            <w:shd w:val="clear" w:color="auto" w:fill="F5F5F6"/>
            <w:hideMark/>
          </w:tcPr>
          <w:p w:rsidR="001F4DB3" w:rsidRPr="001F4DB3" w:rsidRDefault="001F4DB3" w:rsidP="001F4DB3">
            <w:pPr>
              <w:spacing w:after="0" w:line="240" w:lineRule="auto"/>
              <w:rPr>
                <w:rFonts w:ascii="Arial" w:eastAsia="Times New Roman" w:hAnsi="Arial" w:cs="Arial"/>
                <w:color w:val="111111"/>
                <w:spacing w:val="1"/>
                <w:sz w:val="24"/>
                <w:szCs w:val="24"/>
                <w:lang w:eastAsia="en-IN"/>
              </w:rPr>
            </w:pPr>
            <w:r w:rsidRPr="001F4DB3">
              <w:rPr>
                <w:rFonts w:ascii="Arial" w:eastAsia="Times New Roman" w:hAnsi="Arial" w:cs="Arial"/>
                <w:color w:val="111111"/>
                <w:spacing w:val="1"/>
                <w:sz w:val="24"/>
                <w:szCs w:val="24"/>
                <w:lang w:eastAsia="en-IN"/>
              </w:rPr>
              <w:t>$19,581</w:t>
            </w:r>
          </w:p>
        </w:tc>
      </w:tr>
      <w:tr w:rsidR="001F4DB3" w:rsidRPr="001F4DB3" w:rsidTr="001F4DB3">
        <w:tc>
          <w:tcPr>
            <w:tcW w:w="0" w:type="auto"/>
            <w:tcBorders>
              <w:top w:val="nil"/>
              <w:bottom w:val="nil"/>
              <w:right w:val="single" w:sz="12" w:space="0" w:color="D4D4D4"/>
            </w:tcBorders>
            <w:shd w:val="clear" w:color="auto" w:fill="FFFFFF"/>
            <w:hideMark/>
          </w:tcPr>
          <w:p w:rsidR="001F4DB3" w:rsidRPr="001F4DB3" w:rsidRDefault="001F4DB3" w:rsidP="001F4DB3">
            <w:pPr>
              <w:spacing w:after="0" w:line="240" w:lineRule="auto"/>
              <w:rPr>
                <w:rFonts w:ascii="Arial" w:eastAsia="Times New Roman" w:hAnsi="Arial" w:cs="Arial"/>
                <w:color w:val="111111"/>
                <w:spacing w:val="1"/>
                <w:sz w:val="24"/>
                <w:szCs w:val="24"/>
                <w:lang w:eastAsia="en-IN"/>
              </w:rPr>
            </w:pPr>
            <w:r w:rsidRPr="001F4DB3">
              <w:rPr>
                <w:rFonts w:ascii="Arial" w:eastAsia="Times New Roman" w:hAnsi="Arial" w:cs="Arial"/>
                <w:color w:val="111111"/>
                <w:spacing w:val="1"/>
                <w:sz w:val="24"/>
                <w:szCs w:val="24"/>
                <w:lang w:eastAsia="en-IN"/>
              </w:rPr>
              <w:t>Consolidated net income</w:t>
            </w:r>
          </w:p>
        </w:tc>
        <w:tc>
          <w:tcPr>
            <w:tcW w:w="0" w:type="auto"/>
            <w:tcBorders>
              <w:top w:val="nil"/>
              <w:bottom w:val="nil"/>
              <w:right w:val="single" w:sz="12" w:space="0" w:color="D4D4D4"/>
            </w:tcBorders>
            <w:shd w:val="clear" w:color="auto" w:fill="FFFFFF"/>
            <w:hideMark/>
          </w:tcPr>
          <w:p w:rsidR="001F4DB3" w:rsidRPr="001F4DB3" w:rsidRDefault="001F4DB3" w:rsidP="001F4DB3">
            <w:pPr>
              <w:spacing w:after="0" w:line="240" w:lineRule="auto"/>
              <w:rPr>
                <w:rFonts w:ascii="Arial" w:eastAsia="Times New Roman" w:hAnsi="Arial" w:cs="Arial"/>
                <w:color w:val="111111"/>
                <w:spacing w:val="1"/>
                <w:sz w:val="24"/>
                <w:szCs w:val="24"/>
                <w:lang w:eastAsia="en-IN"/>
              </w:rPr>
            </w:pPr>
            <w:r w:rsidRPr="001F4DB3">
              <w:rPr>
                <w:rFonts w:ascii="Arial" w:eastAsia="Times New Roman" w:hAnsi="Arial" w:cs="Arial"/>
                <w:color w:val="111111"/>
                <w:spacing w:val="1"/>
                <w:sz w:val="24"/>
                <w:szCs w:val="24"/>
                <w:lang w:eastAsia="en-IN"/>
              </w:rPr>
              <w:t> $ 8,985</w:t>
            </w:r>
          </w:p>
        </w:tc>
        <w:tc>
          <w:tcPr>
            <w:tcW w:w="0" w:type="auto"/>
            <w:tcBorders>
              <w:top w:val="nil"/>
              <w:bottom w:val="nil"/>
              <w:right w:val="nil"/>
            </w:tcBorders>
            <w:shd w:val="clear" w:color="auto" w:fill="FFFFFF"/>
            <w:hideMark/>
          </w:tcPr>
          <w:p w:rsidR="001F4DB3" w:rsidRPr="001F4DB3" w:rsidRDefault="001F4DB3" w:rsidP="001F4DB3">
            <w:pPr>
              <w:spacing w:after="0" w:line="240" w:lineRule="auto"/>
              <w:rPr>
                <w:rFonts w:ascii="Arial" w:eastAsia="Times New Roman" w:hAnsi="Arial" w:cs="Arial"/>
                <w:color w:val="111111"/>
                <w:spacing w:val="1"/>
                <w:sz w:val="24"/>
                <w:szCs w:val="24"/>
                <w:lang w:eastAsia="en-IN"/>
              </w:rPr>
            </w:pPr>
            <w:r w:rsidRPr="001F4DB3">
              <w:rPr>
                <w:rFonts w:ascii="Arial" w:eastAsia="Times New Roman" w:hAnsi="Arial" w:cs="Arial"/>
                <w:color w:val="111111"/>
                <w:spacing w:val="1"/>
                <w:sz w:val="24"/>
                <w:szCs w:val="24"/>
                <w:lang w:eastAsia="en-IN"/>
              </w:rPr>
              <w:t> $ 7,768</w:t>
            </w:r>
          </w:p>
        </w:tc>
      </w:tr>
      <w:tr w:rsidR="001F4DB3" w:rsidRPr="001F4DB3" w:rsidTr="001F4DB3">
        <w:tc>
          <w:tcPr>
            <w:tcW w:w="0" w:type="auto"/>
            <w:tcBorders>
              <w:top w:val="nil"/>
              <w:bottom w:val="nil"/>
              <w:right w:val="single" w:sz="12" w:space="0" w:color="D4D4D4"/>
            </w:tcBorders>
            <w:shd w:val="clear" w:color="auto" w:fill="F5F5F6"/>
            <w:hideMark/>
          </w:tcPr>
          <w:p w:rsidR="001F4DB3" w:rsidRPr="001F4DB3" w:rsidRDefault="001F4DB3" w:rsidP="001F4DB3">
            <w:pPr>
              <w:spacing w:after="0" w:line="240" w:lineRule="auto"/>
              <w:rPr>
                <w:rFonts w:ascii="Arial" w:eastAsia="Times New Roman" w:hAnsi="Arial" w:cs="Arial"/>
                <w:color w:val="111111"/>
                <w:spacing w:val="1"/>
                <w:sz w:val="24"/>
                <w:szCs w:val="24"/>
                <w:lang w:eastAsia="en-IN"/>
              </w:rPr>
            </w:pPr>
            <w:r w:rsidRPr="001F4DB3">
              <w:rPr>
                <w:rFonts w:ascii="Arial" w:eastAsia="Times New Roman" w:hAnsi="Arial" w:cs="Arial"/>
                <w:color w:val="111111"/>
                <w:spacing w:val="1"/>
                <w:sz w:val="24"/>
                <w:szCs w:val="24"/>
                <w:lang w:eastAsia="en-IN"/>
              </w:rPr>
              <w:t>Basic net income per share</w:t>
            </w:r>
          </w:p>
        </w:tc>
        <w:tc>
          <w:tcPr>
            <w:tcW w:w="0" w:type="auto"/>
            <w:tcBorders>
              <w:top w:val="nil"/>
              <w:bottom w:val="nil"/>
              <w:right w:val="single" w:sz="12" w:space="0" w:color="D4D4D4"/>
            </w:tcBorders>
            <w:shd w:val="clear" w:color="auto" w:fill="F5F5F6"/>
            <w:hideMark/>
          </w:tcPr>
          <w:p w:rsidR="001F4DB3" w:rsidRPr="001F4DB3" w:rsidRDefault="001F4DB3" w:rsidP="001F4DB3">
            <w:pPr>
              <w:spacing w:after="0" w:line="240" w:lineRule="auto"/>
              <w:rPr>
                <w:rFonts w:ascii="Arial" w:eastAsia="Times New Roman" w:hAnsi="Arial" w:cs="Arial"/>
                <w:color w:val="111111"/>
                <w:spacing w:val="1"/>
                <w:sz w:val="24"/>
                <w:szCs w:val="24"/>
                <w:lang w:eastAsia="en-IN"/>
              </w:rPr>
            </w:pPr>
            <w:r w:rsidRPr="001F4DB3">
              <w:rPr>
                <w:rFonts w:ascii="Arial" w:eastAsia="Times New Roman" w:hAnsi="Arial" w:cs="Arial"/>
                <w:color w:val="111111"/>
                <w:spacing w:val="1"/>
                <w:sz w:val="24"/>
                <w:szCs w:val="24"/>
                <w:lang w:eastAsia="en-IN"/>
              </w:rPr>
              <w:t> $ 2.09</w:t>
            </w:r>
          </w:p>
        </w:tc>
        <w:tc>
          <w:tcPr>
            <w:tcW w:w="0" w:type="auto"/>
            <w:tcBorders>
              <w:top w:val="nil"/>
              <w:bottom w:val="nil"/>
              <w:right w:val="nil"/>
            </w:tcBorders>
            <w:shd w:val="clear" w:color="auto" w:fill="F5F5F6"/>
            <w:hideMark/>
          </w:tcPr>
          <w:p w:rsidR="001F4DB3" w:rsidRPr="001F4DB3" w:rsidRDefault="001F4DB3" w:rsidP="001F4DB3">
            <w:pPr>
              <w:spacing w:after="0" w:line="240" w:lineRule="auto"/>
              <w:rPr>
                <w:rFonts w:ascii="Arial" w:eastAsia="Times New Roman" w:hAnsi="Arial" w:cs="Arial"/>
                <w:color w:val="111111"/>
                <w:spacing w:val="1"/>
                <w:sz w:val="24"/>
                <w:szCs w:val="24"/>
                <w:lang w:eastAsia="en-IN"/>
              </w:rPr>
            </w:pPr>
            <w:r w:rsidRPr="001F4DB3">
              <w:rPr>
                <w:rFonts w:ascii="Arial" w:eastAsia="Times New Roman" w:hAnsi="Arial" w:cs="Arial"/>
                <w:color w:val="111111"/>
                <w:spacing w:val="1"/>
                <w:sz w:val="24"/>
                <w:szCs w:val="24"/>
                <w:lang w:eastAsia="en-IN"/>
              </w:rPr>
              <w:t> $ 1.80</w:t>
            </w:r>
          </w:p>
        </w:tc>
      </w:tr>
      <w:tr w:rsidR="001F4DB3" w:rsidRPr="001F4DB3" w:rsidTr="001F4DB3">
        <w:tc>
          <w:tcPr>
            <w:tcW w:w="0" w:type="auto"/>
            <w:tcBorders>
              <w:top w:val="nil"/>
              <w:bottom w:val="nil"/>
              <w:right w:val="single" w:sz="12" w:space="0" w:color="D4D4D4"/>
            </w:tcBorders>
            <w:shd w:val="clear" w:color="auto" w:fill="FFFFFF"/>
            <w:hideMark/>
          </w:tcPr>
          <w:p w:rsidR="001F4DB3" w:rsidRPr="001F4DB3" w:rsidRDefault="001F4DB3" w:rsidP="001F4DB3">
            <w:pPr>
              <w:spacing w:after="0" w:line="240" w:lineRule="auto"/>
              <w:rPr>
                <w:rFonts w:ascii="Arial" w:eastAsia="Times New Roman" w:hAnsi="Arial" w:cs="Arial"/>
                <w:color w:val="111111"/>
                <w:spacing w:val="1"/>
                <w:sz w:val="24"/>
                <w:szCs w:val="24"/>
                <w:lang w:eastAsia="en-IN"/>
              </w:rPr>
            </w:pPr>
            <w:r w:rsidRPr="001F4DB3">
              <w:rPr>
                <w:rFonts w:ascii="Arial" w:eastAsia="Times New Roman" w:hAnsi="Arial" w:cs="Arial"/>
                <w:color w:val="111111"/>
                <w:spacing w:val="1"/>
                <w:sz w:val="24"/>
                <w:szCs w:val="24"/>
                <w:lang w:eastAsia="en-IN"/>
              </w:rPr>
              <w:t>Cash dividends</w:t>
            </w:r>
          </w:p>
        </w:tc>
        <w:tc>
          <w:tcPr>
            <w:tcW w:w="0" w:type="auto"/>
            <w:tcBorders>
              <w:top w:val="nil"/>
              <w:bottom w:val="nil"/>
              <w:right w:val="single" w:sz="12" w:space="0" w:color="D4D4D4"/>
            </w:tcBorders>
            <w:shd w:val="clear" w:color="auto" w:fill="FFFFFF"/>
            <w:hideMark/>
          </w:tcPr>
          <w:p w:rsidR="001F4DB3" w:rsidRPr="001F4DB3" w:rsidRDefault="001F4DB3" w:rsidP="001F4DB3">
            <w:pPr>
              <w:spacing w:after="0" w:line="240" w:lineRule="auto"/>
              <w:rPr>
                <w:rFonts w:ascii="Arial" w:eastAsia="Times New Roman" w:hAnsi="Arial" w:cs="Arial"/>
                <w:color w:val="111111"/>
                <w:spacing w:val="1"/>
                <w:sz w:val="24"/>
                <w:szCs w:val="24"/>
                <w:lang w:eastAsia="en-IN"/>
              </w:rPr>
            </w:pPr>
            <w:r w:rsidRPr="001F4DB3">
              <w:rPr>
                <w:rFonts w:ascii="Arial" w:eastAsia="Times New Roman" w:hAnsi="Arial" w:cs="Arial"/>
                <w:color w:val="111111"/>
                <w:spacing w:val="1"/>
                <w:sz w:val="24"/>
                <w:szCs w:val="24"/>
                <w:lang w:eastAsia="en-IN"/>
              </w:rPr>
              <w:t>  $ 1.60</w:t>
            </w:r>
          </w:p>
        </w:tc>
        <w:tc>
          <w:tcPr>
            <w:tcW w:w="0" w:type="auto"/>
            <w:tcBorders>
              <w:top w:val="nil"/>
              <w:bottom w:val="nil"/>
              <w:right w:val="nil"/>
            </w:tcBorders>
            <w:shd w:val="clear" w:color="auto" w:fill="FFFFFF"/>
            <w:hideMark/>
          </w:tcPr>
          <w:p w:rsidR="001F4DB3" w:rsidRPr="001F4DB3" w:rsidRDefault="001F4DB3" w:rsidP="001F4DB3">
            <w:pPr>
              <w:spacing w:after="0" w:line="240" w:lineRule="auto"/>
              <w:rPr>
                <w:rFonts w:ascii="Arial" w:eastAsia="Times New Roman" w:hAnsi="Arial" w:cs="Arial"/>
                <w:color w:val="111111"/>
                <w:spacing w:val="1"/>
                <w:sz w:val="24"/>
                <w:szCs w:val="24"/>
                <w:lang w:eastAsia="en-IN"/>
              </w:rPr>
            </w:pPr>
            <w:r w:rsidRPr="001F4DB3">
              <w:rPr>
                <w:rFonts w:ascii="Arial" w:eastAsia="Times New Roman" w:hAnsi="Arial" w:cs="Arial"/>
                <w:color w:val="111111"/>
                <w:spacing w:val="1"/>
                <w:sz w:val="24"/>
                <w:szCs w:val="24"/>
                <w:lang w:eastAsia="en-IN"/>
              </w:rPr>
              <w:t> $ 1.64</w:t>
            </w:r>
          </w:p>
        </w:tc>
      </w:tr>
      <w:tr w:rsidR="001F4DB3" w:rsidRPr="001F4DB3" w:rsidTr="001F4DB3">
        <w:tc>
          <w:tcPr>
            <w:tcW w:w="0" w:type="auto"/>
            <w:tcBorders>
              <w:top w:val="nil"/>
              <w:bottom w:val="nil"/>
              <w:right w:val="single" w:sz="12" w:space="0" w:color="D4D4D4"/>
            </w:tcBorders>
            <w:shd w:val="clear" w:color="auto" w:fill="F5F5F6"/>
            <w:hideMark/>
          </w:tcPr>
          <w:p w:rsidR="001F4DB3" w:rsidRPr="001F4DB3" w:rsidRDefault="001F4DB3" w:rsidP="001F4DB3">
            <w:pPr>
              <w:spacing w:after="0" w:line="240" w:lineRule="auto"/>
              <w:rPr>
                <w:rFonts w:ascii="Arial" w:eastAsia="Times New Roman" w:hAnsi="Arial" w:cs="Arial"/>
                <w:color w:val="111111"/>
                <w:spacing w:val="1"/>
                <w:sz w:val="24"/>
                <w:szCs w:val="24"/>
                <w:lang w:eastAsia="en-IN"/>
              </w:rPr>
            </w:pPr>
            <w:r w:rsidRPr="001F4DB3">
              <w:rPr>
                <w:rFonts w:ascii="Arial" w:eastAsia="Times New Roman" w:hAnsi="Arial" w:cs="Arial"/>
                <w:color w:val="111111"/>
                <w:spacing w:val="1"/>
                <w:sz w:val="24"/>
                <w:szCs w:val="24"/>
                <w:lang w:eastAsia="en-IN"/>
              </w:rPr>
              <w:t>Total assets</w:t>
            </w:r>
          </w:p>
        </w:tc>
        <w:tc>
          <w:tcPr>
            <w:tcW w:w="0" w:type="auto"/>
            <w:tcBorders>
              <w:top w:val="nil"/>
              <w:bottom w:val="nil"/>
              <w:right w:val="single" w:sz="12" w:space="0" w:color="D4D4D4"/>
            </w:tcBorders>
            <w:shd w:val="clear" w:color="auto" w:fill="F5F5F6"/>
            <w:hideMark/>
          </w:tcPr>
          <w:p w:rsidR="001F4DB3" w:rsidRPr="001F4DB3" w:rsidRDefault="001F4DB3" w:rsidP="001F4DB3">
            <w:pPr>
              <w:spacing w:after="0" w:line="240" w:lineRule="auto"/>
              <w:rPr>
                <w:rFonts w:ascii="Arial" w:eastAsia="Times New Roman" w:hAnsi="Arial" w:cs="Arial"/>
                <w:color w:val="111111"/>
                <w:spacing w:val="1"/>
                <w:sz w:val="24"/>
                <w:szCs w:val="24"/>
                <w:lang w:eastAsia="en-IN"/>
              </w:rPr>
            </w:pPr>
            <w:r w:rsidRPr="001F4DB3">
              <w:rPr>
                <w:rFonts w:ascii="Arial" w:eastAsia="Times New Roman" w:hAnsi="Arial" w:cs="Arial"/>
                <w:color w:val="111111"/>
                <w:spacing w:val="1"/>
                <w:sz w:val="24"/>
                <w:szCs w:val="24"/>
                <w:lang w:eastAsia="en-IN"/>
              </w:rPr>
              <w:t> $86,381</w:t>
            </w:r>
          </w:p>
        </w:tc>
        <w:tc>
          <w:tcPr>
            <w:tcW w:w="0" w:type="auto"/>
            <w:tcBorders>
              <w:top w:val="nil"/>
              <w:bottom w:val="nil"/>
              <w:right w:val="nil"/>
            </w:tcBorders>
            <w:shd w:val="clear" w:color="auto" w:fill="F5F5F6"/>
            <w:hideMark/>
          </w:tcPr>
          <w:p w:rsidR="001F4DB3" w:rsidRPr="001F4DB3" w:rsidRDefault="001F4DB3" w:rsidP="001F4DB3">
            <w:pPr>
              <w:spacing w:after="0" w:line="240" w:lineRule="auto"/>
              <w:rPr>
                <w:rFonts w:ascii="Arial" w:eastAsia="Times New Roman" w:hAnsi="Arial" w:cs="Arial"/>
                <w:color w:val="111111"/>
                <w:spacing w:val="1"/>
                <w:sz w:val="24"/>
                <w:szCs w:val="24"/>
                <w:lang w:eastAsia="en-IN"/>
              </w:rPr>
            </w:pPr>
            <w:r w:rsidRPr="001F4DB3">
              <w:rPr>
                <w:rFonts w:ascii="Arial" w:eastAsia="Times New Roman" w:hAnsi="Arial" w:cs="Arial"/>
                <w:color w:val="111111"/>
                <w:spacing w:val="1"/>
                <w:sz w:val="24"/>
                <w:szCs w:val="24"/>
                <w:lang w:eastAsia="en-IN"/>
              </w:rPr>
              <w:t> $87,296</w:t>
            </w:r>
          </w:p>
        </w:tc>
      </w:tr>
      <w:tr w:rsidR="001F4DB3" w:rsidRPr="001F4DB3" w:rsidTr="001F4DB3">
        <w:tc>
          <w:tcPr>
            <w:tcW w:w="0" w:type="auto"/>
            <w:tcBorders>
              <w:top w:val="nil"/>
              <w:bottom w:val="nil"/>
              <w:right w:val="single" w:sz="12" w:space="0" w:color="D4D4D4"/>
            </w:tcBorders>
            <w:shd w:val="clear" w:color="auto" w:fill="FFFFFF"/>
            <w:hideMark/>
          </w:tcPr>
          <w:p w:rsidR="001F4DB3" w:rsidRPr="001F4DB3" w:rsidRDefault="001F4DB3" w:rsidP="001F4DB3">
            <w:pPr>
              <w:spacing w:after="0" w:line="240" w:lineRule="auto"/>
              <w:rPr>
                <w:rFonts w:ascii="Arial" w:eastAsia="Times New Roman" w:hAnsi="Arial" w:cs="Arial"/>
                <w:color w:val="111111"/>
                <w:spacing w:val="1"/>
                <w:sz w:val="24"/>
                <w:szCs w:val="24"/>
                <w:lang w:eastAsia="en-IN"/>
              </w:rPr>
            </w:pPr>
            <w:r w:rsidRPr="001F4DB3">
              <w:rPr>
                <w:rFonts w:ascii="Arial" w:eastAsia="Times New Roman" w:hAnsi="Arial" w:cs="Arial"/>
                <w:color w:val="111111"/>
                <w:spacing w:val="1"/>
                <w:sz w:val="24"/>
                <w:szCs w:val="24"/>
                <w:lang w:eastAsia="en-IN"/>
              </w:rPr>
              <w:t>Long-term debt</w:t>
            </w:r>
          </w:p>
        </w:tc>
        <w:tc>
          <w:tcPr>
            <w:tcW w:w="0" w:type="auto"/>
            <w:tcBorders>
              <w:top w:val="nil"/>
              <w:bottom w:val="nil"/>
              <w:right w:val="single" w:sz="12" w:space="0" w:color="D4D4D4"/>
            </w:tcBorders>
            <w:shd w:val="clear" w:color="auto" w:fill="FFFFFF"/>
            <w:hideMark/>
          </w:tcPr>
          <w:p w:rsidR="001F4DB3" w:rsidRPr="001F4DB3" w:rsidRDefault="001F4DB3" w:rsidP="001F4DB3">
            <w:pPr>
              <w:spacing w:after="0" w:line="240" w:lineRule="auto"/>
              <w:rPr>
                <w:rFonts w:ascii="Arial" w:eastAsia="Times New Roman" w:hAnsi="Arial" w:cs="Arial"/>
                <w:color w:val="111111"/>
                <w:spacing w:val="1"/>
                <w:sz w:val="24"/>
                <w:szCs w:val="24"/>
                <w:lang w:eastAsia="en-IN"/>
              </w:rPr>
            </w:pPr>
            <w:r w:rsidRPr="001F4DB3">
              <w:rPr>
                <w:rFonts w:ascii="Arial" w:eastAsia="Times New Roman" w:hAnsi="Arial" w:cs="Arial"/>
                <w:color w:val="111111"/>
                <w:spacing w:val="1"/>
                <w:sz w:val="24"/>
                <w:szCs w:val="24"/>
                <w:lang w:eastAsia="en-IN"/>
              </w:rPr>
              <w:t> $27,516</w:t>
            </w:r>
          </w:p>
        </w:tc>
        <w:tc>
          <w:tcPr>
            <w:tcW w:w="0" w:type="auto"/>
            <w:tcBorders>
              <w:top w:val="nil"/>
              <w:bottom w:val="nil"/>
              <w:right w:val="nil"/>
            </w:tcBorders>
            <w:shd w:val="clear" w:color="auto" w:fill="FFFFFF"/>
            <w:hideMark/>
          </w:tcPr>
          <w:p w:rsidR="001F4DB3" w:rsidRPr="001F4DB3" w:rsidRDefault="001F4DB3" w:rsidP="001F4DB3">
            <w:pPr>
              <w:spacing w:after="0" w:line="240" w:lineRule="auto"/>
              <w:rPr>
                <w:rFonts w:ascii="Arial" w:eastAsia="Times New Roman" w:hAnsi="Arial" w:cs="Arial"/>
                <w:color w:val="111111"/>
                <w:spacing w:val="1"/>
                <w:sz w:val="24"/>
                <w:szCs w:val="24"/>
                <w:lang w:eastAsia="en-IN"/>
              </w:rPr>
            </w:pPr>
            <w:r w:rsidRPr="001F4DB3">
              <w:rPr>
                <w:rFonts w:ascii="Arial" w:eastAsia="Times New Roman" w:hAnsi="Arial" w:cs="Arial"/>
                <w:color w:val="111111"/>
                <w:spacing w:val="1"/>
                <w:sz w:val="24"/>
                <w:szCs w:val="24"/>
                <w:lang w:eastAsia="en-IN"/>
              </w:rPr>
              <w:t>$40,125</w:t>
            </w:r>
          </w:p>
        </w:tc>
      </w:tr>
      <w:tr w:rsidR="001F4DB3" w:rsidRPr="001F4DB3" w:rsidTr="001F4DB3">
        <w:tc>
          <w:tcPr>
            <w:tcW w:w="0" w:type="auto"/>
            <w:tcBorders>
              <w:top w:val="nil"/>
              <w:bottom w:val="nil"/>
              <w:right w:val="single" w:sz="12" w:space="0" w:color="D4D4D4"/>
            </w:tcBorders>
            <w:shd w:val="clear" w:color="auto" w:fill="F5F5F6"/>
            <w:hideMark/>
          </w:tcPr>
          <w:p w:rsidR="001F4DB3" w:rsidRPr="001F4DB3" w:rsidRDefault="001F4DB3" w:rsidP="001F4DB3">
            <w:pPr>
              <w:spacing w:after="0" w:line="240" w:lineRule="auto"/>
              <w:rPr>
                <w:rFonts w:ascii="Arial" w:eastAsia="Times New Roman" w:hAnsi="Arial" w:cs="Arial"/>
                <w:color w:val="111111"/>
                <w:spacing w:val="1"/>
                <w:sz w:val="24"/>
                <w:szCs w:val="24"/>
                <w:lang w:eastAsia="en-IN"/>
              </w:rPr>
            </w:pPr>
            <w:r w:rsidRPr="001F4DB3">
              <w:rPr>
                <w:rFonts w:ascii="Arial" w:eastAsia="Times New Roman" w:hAnsi="Arial" w:cs="Arial"/>
                <w:color w:val="111111"/>
                <w:spacing w:val="1"/>
                <w:sz w:val="24"/>
                <w:szCs w:val="24"/>
                <w:lang w:eastAsia="en-IN"/>
              </w:rPr>
              <w:t>Other liabilities</w:t>
            </w:r>
          </w:p>
        </w:tc>
        <w:tc>
          <w:tcPr>
            <w:tcW w:w="0" w:type="auto"/>
            <w:tcBorders>
              <w:top w:val="nil"/>
              <w:bottom w:val="nil"/>
              <w:right w:val="single" w:sz="12" w:space="0" w:color="D4D4D4"/>
            </w:tcBorders>
            <w:shd w:val="clear" w:color="auto" w:fill="F5F5F6"/>
            <w:hideMark/>
          </w:tcPr>
          <w:p w:rsidR="001F4DB3" w:rsidRPr="001F4DB3" w:rsidRDefault="001F4DB3" w:rsidP="001F4DB3">
            <w:pPr>
              <w:spacing w:after="0" w:line="240" w:lineRule="auto"/>
              <w:rPr>
                <w:rFonts w:ascii="Arial" w:eastAsia="Times New Roman" w:hAnsi="Arial" w:cs="Arial"/>
                <w:color w:val="111111"/>
                <w:spacing w:val="1"/>
                <w:sz w:val="24"/>
                <w:szCs w:val="24"/>
                <w:lang w:eastAsia="en-IN"/>
              </w:rPr>
            </w:pPr>
            <w:r w:rsidRPr="001F4DB3">
              <w:rPr>
                <w:rFonts w:ascii="Arial" w:eastAsia="Times New Roman" w:hAnsi="Arial" w:cs="Arial"/>
                <w:color w:val="111111"/>
                <w:spacing w:val="1"/>
                <w:sz w:val="24"/>
                <w:szCs w:val="24"/>
                <w:lang w:eastAsia="en-IN"/>
              </w:rPr>
              <w:t>$ 8,510</w:t>
            </w:r>
          </w:p>
        </w:tc>
        <w:tc>
          <w:tcPr>
            <w:tcW w:w="0" w:type="auto"/>
            <w:tcBorders>
              <w:top w:val="nil"/>
              <w:bottom w:val="nil"/>
              <w:right w:val="nil"/>
            </w:tcBorders>
            <w:shd w:val="clear" w:color="auto" w:fill="F5F5F6"/>
            <w:hideMark/>
          </w:tcPr>
          <w:p w:rsidR="001F4DB3" w:rsidRPr="001F4DB3" w:rsidRDefault="001F4DB3" w:rsidP="001F4DB3">
            <w:pPr>
              <w:spacing w:after="0" w:line="240" w:lineRule="auto"/>
              <w:rPr>
                <w:rFonts w:ascii="Arial" w:eastAsia="Times New Roman" w:hAnsi="Arial" w:cs="Arial"/>
                <w:color w:val="111111"/>
                <w:spacing w:val="1"/>
                <w:sz w:val="24"/>
                <w:szCs w:val="24"/>
                <w:lang w:eastAsia="en-IN"/>
              </w:rPr>
            </w:pPr>
            <w:r w:rsidRPr="001F4DB3">
              <w:rPr>
                <w:rFonts w:ascii="Arial" w:eastAsia="Times New Roman" w:hAnsi="Arial" w:cs="Arial"/>
                <w:color w:val="111111"/>
                <w:spacing w:val="1"/>
                <w:sz w:val="24"/>
                <w:szCs w:val="24"/>
                <w:lang w:eastAsia="en-IN"/>
              </w:rPr>
              <w:t>$ 9,453</w:t>
            </w:r>
          </w:p>
        </w:tc>
      </w:tr>
    </w:tbl>
    <w:p w:rsidR="001F4DB3" w:rsidRDefault="001F4DB3" w:rsidP="001F4DB3">
      <w:pPr>
        <w:pStyle w:val="Heading2"/>
        <w:shd w:val="clear" w:color="auto" w:fill="FFFFFF"/>
        <w:rPr>
          <w:rFonts w:ascii="Arial" w:hAnsi="Arial" w:cs="Arial"/>
          <w:color w:val="111111"/>
          <w:spacing w:val="1"/>
          <w:sz w:val="43"/>
          <w:szCs w:val="43"/>
        </w:rPr>
      </w:pPr>
      <w:r>
        <w:rPr>
          <w:rFonts w:ascii="Book Antiqua" w:hAnsi="Book Antiqua" w:cs="Arial"/>
          <w:sz w:val="28"/>
          <w:szCs w:val="28"/>
          <w:shd w:val="clear" w:color="auto" w:fill="FFFFFF"/>
        </w:rPr>
        <w:br w:type="textWrapping" w:clear="all"/>
      </w:r>
      <w:r w:rsidR="00C50036">
        <w:rPr>
          <w:rFonts w:ascii="Book Antiqua" w:hAnsi="Book Antiqua" w:cs="Arial"/>
          <w:sz w:val="28"/>
          <w:szCs w:val="28"/>
          <w:shd w:val="clear" w:color="auto" w:fill="FFFFFF"/>
        </w:rPr>
        <w:br w:type="page"/>
      </w:r>
      <w:r>
        <w:rPr>
          <w:rStyle w:val="mntl-sc-block-headingtext"/>
          <w:rFonts w:ascii="Arial" w:hAnsi="Arial" w:cs="Arial"/>
          <w:color w:val="111111"/>
          <w:spacing w:val="1"/>
        </w:rPr>
        <w:t>Financial</w:t>
      </w:r>
    </w:p>
    <w:p w:rsidR="001F4DB3" w:rsidRDefault="001F4DB3" w:rsidP="001F4DB3">
      <w:pPr>
        <w:pStyle w:val="comp"/>
        <w:shd w:val="clear" w:color="auto" w:fill="FFFFFF"/>
        <w:spacing w:before="0" w:beforeAutospacing="0"/>
        <w:rPr>
          <w:rFonts w:ascii="Arial" w:hAnsi="Arial" w:cs="Arial"/>
          <w:color w:val="111111"/>
          <w:spacing w:val="1"/>
          <w:sz w:val="43"/>
          <w:szCs w:val="43"/>
        </w:rPr>
      </w:pPr>
      <w:r>
        <w:rPr>
          <w:rFonts w:ascii="Arial" w:hAnsi="Arial" w:cs="Arial"/>
          <w:color w:val="111111"/>
          <w:spacing w:val="1"/>
          <w:sz w:val="43"/>
          <w:szCs w:val="43"/>
        </w:rPr>
        <w:t> </w:t>
      </w:r>
      <w:proofErr w:type="gramStart"/>
      <w:r>
        <w:rPr>
          <w:rFonts w:ascii="Arial" w:hAnsi="Arial" w:cs="Arial"/>
          <w:color w:val="111111"/>
          <w:spacing w:val="1"/>
          <w:sz w:val="43"/>
          <w:szCs w:val="43"/>
        </w:rPr>
        <w:t>is</w:t>
      </w:r>
      <w:proofErr w:type="gramEnd"/>
      <w:r>
        <w:rPr>
          <w:rFonts w:ascii="Arial" w:hAnsi="Arial" w:cs="Arial"/>
          <w:color w:val="111111"/>
          <w:spacing w:val="1"/>
          <w:sz w:val="43"/>
          <w:szCs w:val="43"/>
        </w:rPr>
        <w:t xml:space="preserve"> a snapshot of the finances of an organization as of a particular date. It provides an overview of how well the company manages its assets and liabilities. Analysts can find information about long-term vs. short-term debt on the balance sheet. They can also find information about what kind of assets the company owns and what percentage of assets are financed with liabilities vs. stockholders' equity.</w:t>
      </w:r>
    </w:p>
    <w:p w:rsidR="001F4DB3" w:rsidRDefault="001F4DB3" w:rsidP="001F4DB3">
      <w:pPr>
        <w:pStyle w:val="Heading3"/>
        <w:shd w:val="clear" w:color="auto" w:fill="FFFFFF"/>
        <w:rPr>
          <w:rFonts w:ascii="Arial" w:hAnsi="Arial" w:cs="Arial"/>
          <w:color w:val="111111"/>
          <w:spacing w:val="1"/>
          <w:sz w:val="27"/>
          <w:szCs w:val="27"/>
        </w:rPr>
      </w:pPr>
      <w:r>
        <w:rPr>
          <w:rStyle w:val="mntl-sc-block-subheadingtext"/>
          <w:rFonts w:ascii="Arial" w:hAnsi="Arial" w:cs="Arial"/>
          <w:b/>
          <w:bCs/>
          <w:color w:val="111111"/>
          <w:spacing w:val="1"/>
        </w:rPr>
        <w:t>Income Statement</w:t>
      </w:r>
    </w:p>
    <w:p w:rsidR="001F4DB3" w:rsidRDefault="001F4DB3" w:rsidP="001F4DB3">
      <w:pPr>
        <w:pStyle w:val="Heading2"/>
        <w:shd w:val="clear" w:color="auto" w:fill="FFFFFF"/>
        <w:rPr>
          <w:rFonts w:ascii="Arial" w:hAnsi="Arial" w:cs="Arial"/>
          <w:color w:val="111111"/>
          <w:spacing w:val="1"/>
        </w:rPr>
      </w:pPr>
      <w:r>
        <w:rPr>
          <w:rFonts w:ascii="Arial" w:hAnsi="Arial" w:cs="Arial"/>
          <w:color w:val="111111"/>
          <w:spacing w:val="1"/>
          <w:sz w:val="43"/>
          <w:szCs w:val="43"/>
        </w:rPr>
        <w:t>The </w:t>
      </w:r>
      <w:hyperlink r:id="rId20" w:history="1">
        <w:r>
          <w:rPr>
            <w:rStyle w:val="Hyperlink"/>
            <w:rFonts w:ascii="Arial" w:hAnsi="Arial" w:cs="Arial"/>
            <w:color w:val="2C40D0"/>
            <w:spacing w:val="1"/>
            <w:sz w:val="43"/>
            <w:szCs w:val="43"/>
          </w:rPr>
          <w:t>income statement</w:t>
        </w:r>
      </w:hyperlink>
      <w:r>
        <w:rPr>
          <w:rFonts w:ascii="Arial" w:hAnsi="Arial" w:cs="Arial"/>
          <w:color w:val="111111"/>
          <w:spacing w:val="1"/>
          <w:sz w:val="43"/>
          <w:szCs w:val="43"/>
        </w:rPr>
        <w:t xml:space="preserve"> provides a summary of operations for the entire year. The income statement starts with sales or revenues and ends with net income. Also referred to as the profit and loss statement, the income statement provides the gross profit margin, the cost of goods sold, operating profit margin, and net profit margin. It also provides an overview of the number of shares </w:t>
      </w:r>
      <w:proofErr w:type="spellStart"/>
      <w:r>
        <w:rPr>
          <w:rFonts w:ascii="Arial" w:hAnsi="Arial" w:cs="Arial"/>
          <w:color w:val="111111"/>
          <w:spacing w:val="1"/>
          <w:sz w:val="43"/>
          <w:szCs w:val="43"/>
        </w:rPr>
        <w:t>outstandin</w:t>
      </w:r>
      <w:proofErr w:type="spellEnd"/>
      <w:r w:rsidRPr="001F4DB3">
        <w:rPr>
          <w:rStyle w:val="mntl-sc-block-headingtext"/>
          <w:rFonts w:ascii="Arial" w:hAnsi="Arial" w:cs="Arial"/>
          <w:color w:val="111111"/>
          <w:spacing w:val="1"/>
        </w:rPr>
        <w:t xml:space="preserve"> </w:t>
      </w:r>
      <w:r>
        <w:rPr>
          <w:rStyle w:val="mntl-sc-block-headingtext"/>
          <w:rFonts w:ascii="Arial" w:hAnsi="Arial" w:cs="Arial"/>
          <w:color w:val="111111"/>
          <w:spacing w:val="1"/>
        </w:rPr>
        <w:t>Statements</w:t>
      </w:r>
    </w:p>
    <w:p w:rsidR="001F4DB3" w:rsidRDefault="001F4DB3" w:rsidP="001F4DB3">
      <w:pPr>
        <w:pStyle w:val="comp"/>
        <w:shd w:val="clear" w:color="auto" w:fill="FFFFFF"/>
        <w:spacing w:before="0" w:beforeAutospacing="0"/>
        <w:rPr>
          <w:rFonts w:ascii="Arial" w:hAnsi="Arial" w:cs="Arial"/>
          <w:color w:val="111111"/>
          <w:spacing w:val="1"/>
          <w:sz w:val="43"/>
          <w:szCs w:val="43"/>
        </w:rPr>
      </w:pPr>
      <w:r>
        <w:rPr>
          <w:rFonts w:ascii="Arial" w:hAnsi="Arial" w:cs="Arial"/>
          <w:color w:val="111111"/>
          <w:spacing w:val="1"/>
          <w:sz w:val="43"/>
          <w:szCs w:val="43"/>
        </w:rPr>
        <w:t>Included in the 10K are three financial statements: the balance sheet, the income statement, and the cash flow statement.</w:t>
      </w:r>
    </w:p>
    <w:p w:rsidR="001F4DB3" w:rsidRDefault="001F4DB3" w:rsidP="001F4DB3">
      <w:pPr>
        <w:pStyle w:val="Heading3"/>
        <w:shd w:val="clear" w:color="auto" w:fill="FFFFFF"/>
        <w:rPr>
          <w:rFonts w:ascii="Arial" w:hAnsi="Arial" w:cs="Arial"/>
          <w:color w:val="111111"/>
          <w:spacing w:val="1"/>
          <w:sz w:val="27"/>
          <w:szCs w:val="27"/>
        </w:rPr>
      </w:pPr>
      <w:r>
        <w:rPr>
          <w:rStyle w:val="mntl-sc-block-subheadingtext"/>
          <w:rFonts w:ascii="Arial" w:hAnsi="Arial" w:cs="Arial"/>
          <w:b/>
          <w:bCs/>
          <w:color w:val="111111"/>
          <w:spacing w:val="1"/>
        </w:rPr>
        <w:t>Balance Sheet</w:t>
      </w:r>
    </w:p>
    <w:p w:rsidR="001F4DB3" w:rsidRDefault="001F4DB3" w:rsidP="001F4DB3">
      <w:pPr>
        <w:pStyle w:val="comp"/>
        <w:shd w:val="clear" w:color="auto" w:fill="FFFFFF"/>
        <w:spacing w:before="0" w:beforeAutospacing="0"/>
        <w:rPr>
          <w:rFonts w:ascii="Arial" w:hAnsi="Arial" w:cs="Arial"/>
          <w:color w:val="111111"/>
          <w:spacing w:val="1"/>
          <w:sz w:val="43"/>
          <w:szCs w:val="43"/>
        </w:rPr>
      </w:pPr>
      <w:proofErr w:type="gramStart"/>
      <w:r>
        <w:rPr>
          <w:rFonts w:ascii="Arial" w:hAnsi="Arial" w:cs="Arial"/>
          <w:color w:val="111111"/>
          <w:spacing w:val="1"/>
          <w:sz w:val="43"/>
          <w:szCs w:val="43"/>
        </w:rPr>
        <w:t>The </w:t>
      </w:r>
      <w:hyperlink r:id="rId21" w:history="1">
        <w:r>
          <w:rPr>
            <w:rStyle w:val="Hyperlink"/>
            <w:rFonts w:ascii="Arial" w:eastAsiaTheme="majorEastAsia" w:hAnsi="Arial" w:cs="Arial"/>
            <w:color w:val="2C40D0"/>
            <w:spacing w:val="1"/>
            <w:sz w:val="43"/>
            <w:szCs w:val="43"/>
          </w:rPr>
          <w:t xml:space="preserve">balance </w:t>
        </w:r>
        <w:proofErr w:type="spellStart"/>
        <w:r>
          <w:rPr>
            <w:rStyle w:val="Hyperlink"/>
            <w:rFonts w:ascii="Arial" w:eastAsiaTheme="majorEastAsia" w:hAnsi="Arial" w:cs="Arial"/>
            <w:color w:val="2C40D0"/>
            <w:spacing w:val="1"/>
            <w:sz w:val="43"/>
            <w:szCs w:val="43"/>
          </w:rPr>
          <w:t>sheet</w:t>
        </w:r>
      </w:hyperlink>
      <w:r>
        <w:rPr>
          <w:rFonts w:ascii="Arial" w:hAnsi="Arial" w:cs="Arial"/>
          <w:color w:val="111111"/>
          <w:spacing w:val="1"/>
          <w:sz w:val="43"/>
          <w:szCs w:val="43"/>
        </w:rPr>
        <w:t>g</w:t>
      </w:r>
      <w:proofErr w:type="spellEnd"/>
      <w:r>
        <w:rPr>
          <w:rFonts w:ascii="Arial" w:hAnsi="Arial" w:cs="Arial"/>
          <w:color w:val="111111"/>
          <w:spacing w:val="1"/>
          <w:sz w:val="43"/>
          <w:szCs w:val="43"/>
        </w:rPr>
        <w:t>, as well as a comparison against the performance of the prior year.</w:t>
      </w:r>
      <w:proofErr w:type="gramEnd"/>
    </w:p>
    <w:p w:rsidR="001F4DB3" w:rsidRDefault="001F4DB3" w:rsidP="001F4DB3">
      <w:pPr>
        <w:pStyle w:val="Heading3"/>
        <w:shd w:val="clear" w:color="auto" w:fill="FFFFFF"/>
        <w:rPr>
          <w:rFonts w:ascii="Arial" w:hAnsi="Arial" w:cs="Arial"/>
          <w:color w:val="111111"/>
          <w:spacing w:val="1"/>
          <w:sz w:val="27"/>
          <w:szCs w:val="27"/>
        </w:rPr>
      </w:pPr>
      <w:r>
        <w:rPr>
          <w:rStyle w:val="mntl-sc-block-subheadingtext"/>
          <w:rFonts w:ascii="Arial" w:hAnsi="Arial" w:cs="Arial"/>
          <w:b/>
          <w:bCs/>
          <w:color w:val="111111"/>
          <w:spacing w:val="1"/>
        </w:rPr>
        <w:t>Cash Flow Statement</w:t>
      </w:r>
    </w:p>
    <w:p w:rsidR="001F4DB3" w:rsidRDefault="001F4DB3" w:rsidP="001F4DB3">
      <w:pPr>
        <w:pStyle w:val="comp"/>
        <w:shd w:val="clear" w:color="auto" w:fill="FFFFFF"/>
        <w:spacing w:before="0" w:beforeAutospacing="0"/>
        <w:rPr>
          <w:rFonts w:ascii="Arial" w:hAnsi="Arial" w:cs="Arial"/>
          <w:color w:val="111111"/>
          <w:spacing w:val="1"/>
          <w:sz w:val="43"/>
          <w:szCs w:val="43"/>
        </w:rPr>
      </w:pPr>
      <w:r>
        <w:rPr>
          <w:rFonts w:ascii="Arial" w:hAnsi="Arial" w:cs="Arial"/>
          <w:color w:val="111111"/>
          <w:spacing w:val="1"/>
          <w:sz w:val="43"/>
          <w:szCs w:val="43"/>
        </w:rPr>
        <w:t>The </w:t>
      </w:r>
      <w:hyperlink r:id="rId22" w:history="1">
        <w:r>
          <w:rPr>
            <w:rStyle w:val="Hyperlink"/>
            <w:rFonts w:ascii="Arial" w:eastAsiaTheme="majorEastAsia" w:hAnsi="Arial" w:cs="Arial"/>
            <w:color w:val="2C40D0"/>
            <w:spacing w:val="1"/>
            <w:sz w:val="43"/>
            <w:szCs w:val="43"/>
          </w:rPr>
          <w:t>cash flow statement</w:t>
        </w:r>
      </w:hyperlink>
      <w:r>
        <w:rPr>
          <w:rFonts w:ascii="Arial" w:hAnsi="Arial" w:cs="Arial"/>
          <w:color w:val="111111"/>
          <w:spacing w:val="1"/>
          <w:sz w:val="43"/>
          <w:szCs w:val="43"/>
        </w:rPr>
        <w:t xml:space="preserve"> is a combination of both the income statement and the balance sheet. For some analysts, the cash flow statement is the most important financial statement because it provides </w:t>
      </w:r>
      <w:proofErr w:type="gramStart"/>
      <w:r>
        <w:rPr>
          <w:rFonts w:ascii="Arial" w:hAnsi="Arial" w:cs="Arial"/>
          <w:color w:val="111111"/>
          <w:spacing w:val="1"/>
          <w:sz w:val="43"/>
          <w:szCs w:val="43"/>
        </w:rPr>
        <w:t>a reconciliation</w:t>
      </w:r>
      <w:proofErr w:type="gramEnd"/>
      <w:r>
        <w:rPr>
          <w:rFonts w:ascii="Arial" w:hAnsi="Arial" w:cs="Arial"/>
          <w:color w:val="111111"/>
          <w:spacing w:val="1"/>
          <w:sz w:val="43"/>
          <w:szCs w:val="43"/>
        </w:rPr>
        <w:t xml:space="preserve"> between net income and cash flow. This is where analysts see how much the company spent on stock repurchases, dividends, and </w:t>
      </w:r>
      <w:hyperlink r:id="rId23" w:history="1">
        <w:r>
          <w:rPr>
            <w:rStyle w:val="Hyperlink"/>
            <w:rFonts w:ascii="Arial" w:eastAsiaTheme="majorEastAsia" w:hAnsi="Arial" w:cs="Arial"/>
            <w:color w:val="2C40D0"/>
            <w:spacing w:val="1"/>
            <w:sz w:val="43"/>
            <w:szCs w:val="43"/>
          </w:rPr>
          <w:t>capital expenditures</w:t>
        </w:r>
      </w:hyperlink>
      <w:r>
        <w:rPr>
          <w:rFonts w:ascii="Arial" w:hAnsi="Arial" w:cs="Arial"/>
          <w:color w:val="111111"/>
          <w:spacing w:val="1"/>
          <w:sz w:val="43"/>
          <w:szCs w:val="43"/>
        </w:rPr>
        <w:t>. It also provides the source and uses of cash flow from operations, investing, and financing.</w:t>
      </w:r>
    </w:p>
    <w:p w:rsidR="003E2B7E" w:rsidRDefault="003E2B7E" w:rsidP="001F4DB3">
      <w:pPr>
        <w:rPr>
          <w:rFonts w:ascii="Book Antiqua" w:hAnsi="Book Antiqua" w:cs="Arial"/>
          <w:color w:val="1F1F1F"/>
          <w:sz w:val="40"/>
          <w:szCs w:val="40"/>
          <w:shd w:val="clear" w:color="auto" w:fill="FFFFFF"/>
        </w:rPr>
      </w:pPr>
    </w:p>
    <w:p w:rsidR="00394D29" w:rsidRPr="00813FD1" w:rsidRDefault="00394D29" w:rsidP="00394D29">
      <w:pPr>
        <w:spacing w:line="256" w:lineRule="auto"/>
        <w:ind w:left="360"/>
        <w:jc w:val="center"/>
        <w:rPr>
          <w:rFonts w:ascii="Book Antiqua" w:hAnsi="Book Antiqua"/>
          <w:b/>
          <w:bCs/>
          <w:color w:val="4A856D" w:themeColor="accent6" w:themeShade="BF"/>
          <w:sz w:val="48"/>
          <w:szCs w:val="48"/>
          <w:u w:val="single"/>
        </w:rPr>
      </w:pPr>
      <w:r w:rsidRPr="00813FD1">
        <w:rPr>
          <w:rFonts w:ascii="Book Antiqua" w:hAnsi="Book Antiqua"/>
          <w:b/>
          <w:bCs/>
          <w:color w:val="4A856D" w:themeColor="accent6" w:themeShade="BF"/>
          <w:sz w:val="48"/>
          <w:szCs w:val="48"/>
          <w:u w:val="single"/>
        </w:rPr>
        <w:t>Comparative Analysis</w:t>
      </w:r>
    </w:p>
    <w:p w:rsidR="001F4DB3" w:rsidRDefault="001F4DB3" w:rsidP="001F4DB3">
      <w:pPr>
        <w:pStyle w:val="NormalWeb"/>
        <w:shd w:val="clear" w:color="auto" w:fill="FFFFFF"/>
        <w:spacing w:before="0" w:beforeAutospacing="0" w:after="384" w:afterAutospacing="0"/>
        <w:textAlignment w:val="baseline"/>
        <w:rPr>
          <w:rFonts w:ascii="Georgia" w:hAnsi="Georgia"/>
          <w:color w:val="070D1B"/>
          <w:sz w:val="48"/>
          <w:szCs w:val="48"/>
        </w:rPr>
      </w:pPr>
      <w:r>
        <w:rPr>
          <w:rFonts w:ascii="Georgia" w:hAnsi="Georgia"/>
          <w:color w:val="070D1B"/>
          <w:sz w:val="48"/>
          <w:szCs w:val="48"/>
        </w:rPr>
        <w:t>Accenture is a leading global professional services company specializing in consultancy, </w:t>
      </w:r>
      <w:hyperlink r:id="rId24" w:history="1">
        <w:r>
          <w:rPr>
            <w:rStyle w:val="Hyperlink"/>
            <w:rFonts w:ascii="Georgia" w:eastAsiaTheme="majorEastAsia" w:hAnsi="Georgia"/>
            <w:color w:val="055570"/>
            <w:sz w:val="48"/>
            <w:szCs w:val="48"/>
          </w:rPr>
          <w:t>business strategy frameworks</w:t>
        </w:r>
      </w:hyperlink>
      <w:r>
        <w:rPr>
          <w:rFonts w:ascii="Georgia" w:hAnsi="Georgia"/>
          <w:color w:val="070D1B"/>
          <w:sz w:val="48"/>
          <w:szCs w:val="48"/>
        </w:rPr>
        <w:t>, technology, digital, and operations. To put it simply: all the things a business needs to be successful.</w:t>
      </w:r>
    </w:p>
    <w:p w:rsidR="001F4DB3" w:rsidRDefault="001F4DB3" w:rsidP="001F4DB3">
      <w:pPr>
        <w:pStyle w:val="NormalWeb"/>
        <w:shd w:val="clear" w:color="auto" w:fill="FFFFFF"/>
        <w:spacing w:before="0" w:beforeAutospacing="0" w:after="384" w:afterAutospacing="0"/>
        <w:textAlignment w:val="baseline"/>
        <w:rPr>
          <w:rFonts w:ascii="Georgia" w:hAnsi="Georgia"/>
          <w:color w:val="070D1B"/>
          <w:sz w:val="48"/>
          <w:szCs w:val="48"/>
        </w:rPr>
      </w:pPr>
      <w:r>
        <w:rPr>
          <w:rFonts w:ascii="Georgia" w:hAnsi="Georgia"/>
          <w:color w:val="070D1B"/>
          <w:sz w:val="48"/>
          <w:szCs w:val="48"/>
        </w:rPr>
        <w:t>I worked as a consultant for a few years back in the early two-thousands, and the industry has grown exponentially since then. The global professional services industry is valued at </w:t>
      </w:r>
      <w:hyperlink r:id="rId25" w:tgtFrame="_blank" w:history="1">
        <w:r>
          <w:rPr>
            <w:rStyle w:val="Hyperlink"/>
            <w:rFonts w:ascii="Georgia" w:eastAsiaTheme="majorEastAsia" w:hAnsi="Georgia"/>
            <w:color w:val="055570"/>
            <w:sz w:val="48"/>
            <w:szCs w:val="48"/>
          </w:rPr>
          <w:t>$6040.19 billion as of 2021</w:t>
        </w:r>
      </w:hyperlink>
      <w:r>
        <w:rPr>
          <w:rFonts w:ascii="Georgia" w:hAnsi="Georgia"/>
          <w:color w:val="070D1B"/>
          <w:sz w:val="48"/>
          <w:szCs w:val="48"/>
        </w:rPr>
        <w:t>; more specifically, the consulting sector has a total value of around </w:t>
      </w:r>
      <w:hyperlink r:id="rId26" w:tgtFrame="_blank" w:history="1">
        <w:r>
          <w:rPr>
            <w:rStyle w:val="Hyperlink"/>
            <w:rFonts w:ascii="Georgia" w:eastAsiaTheme="majorEastAsia" w:hAnsi="Georgia"/>
            <w:color w:val="055570"/>
            <w:sz w:val="48"/>
            <w:szCs w:val="48"/>
          </w:rPr>
          <w:t>$250 billion</w:t>
        </w:r>
      </w:hyperlink>
      <w:r>
        <w:rPr>
          <w:rFonts w:ascii="Georgia" w:hAnsi="Georgia"/>
          <w:color w:val="070D1B"/>
          <w:sz w:val="48"/>
          <w:szCs w:val="48"/>
        </w:rPr>
        <w:t>.</w:t>
      </w:r>
    </w:p>
    <w:p w:rsidR="001F4DB3" w:rsidRDefault="001F4DB3" w:rsidP="001F4DB3">
      <w:pPr>
        <w:pStyle w:val="NormalWeb"/>
        <w:shd w:val="clear" w:color="auto" w:fill="FFFFFF"/>
        <w:spacing w:before="0" w:beforeAutospacing="0" w:after="384" w:afterAutospacing="0"/>
        <w:textAlignment w:val="baseline"/>
        <w:rPr>
          <w:rFonts w:ascii="Georgia" w:hAnsi="Georgia"/>
          <w:color w:val="070D1B"/>
          <w:sz w:val="48"/>
          <w:szCs w:val="48"/>
        </w:rPr>
      </w:pPr>
      <w:r>
        <w:rPr>
          <w:rFonts w:ascii="Georgia" w:hAnsi="Georgia"/>
          <w:color w:val="070D1B"/>
          <w:sz w:val="48"/>
          <w:szCs w:val="48"/>
        </w:rPr>
        <w:t>Needless to say, there is a lot of money to be made in consulting, and competition within the sector is fierce due to the existence of the “Big Four”: PwC, </w:t>
      </w:r>
      <w:hyperlink r:id="rId27" w:history="1">
        <w:r>
          <w:rPr>
            <w:rStyle w:val="Hyperlink"/>
            <w:rFonts w:ascii="Georgia" w:eastAsiaTheme="majorEastAsia" w:hAnsi="Georgia"/>
            <w:color w:val="055570"/>
            <w:sz w:val="48"/>
            <w:szCs w:val="48"/>
          </w:rPr>
          <w:t>Deloitte</w:t>
        </w:r>
      </w:hyperlink>
      <w:r>
        <w:rPr>
          <w:rFonts w:ascii="Georgia" w:hAnsi="Georgia"/>
          <w:color w:val="070D1B"/>
          <w:sz w:val="48"/>
          <w:szCs w:val="48"/>
        </w:rPr>
        <w:t>, EY, and KPMG. These firms account for nearly </w:t>
      </w:r>
      <w:hyperlink r:id="rId28" w:tgtFrame="_blank" w:history="1">
        <w:r>
          <w:rPr>
            <w:rStyle w:val="Hyperlink"/>
            <w:rFonts w:ascii="Georgia" w:eastAsiaTheme="majorEastAsia" w:hAnsi="Georgia"/>
            <w:color w:val="055570"/>
            <w:sz w:val="48"/>
            <w:szCs w:val="48"/>
          </w:rPr>
          <w:t>40% of the industry’s global market</w:t>
        </w:r>
      </w:hyperlink>
      <w:r>
        <w:rPr>
          <w:rFonts w:ascii="Georgia" w:hAnsi="Georgia"/>
          <w:color w:val="070D1B"/>
          <w:sz w:val="48"/>
          <w:szCs w:val="48"/>
        </w:rPr>
        <w:t>.</w:t>
      </w:r>
    </w:p>
    <w:p w:rsidR="002A7DF6" w:rsidRDefault="002A7DF6" w:rsidP="001F4DB3">
      <w:pPr>
        <w:pStyle w:val="ListParagraph"/>
        <w:rPr>
          <w:rFonts w:ascii="Book Antiqua" w:hAnsi="Book Antiqua" w:cs="Arial"/>
          <w:sz w:val="28"/>
          <w:szCs w:val="28"/>
          <w:shd w:val="clear" w:color="auto" w:fill="FFFFFF"/>
        </w:rPr>
      </w:pPr>
    </w:p>
    <w:p w:rsidR="00375371" w:rsidRDefault="00D61A30" w:rsidP="005A4250">
      <w:pPr>
        <w:ind w:left="360"/>
        <w:jc w:val="center"/>
        <w:rPr>
          <w:rFonts w:ascii="Book Antiqua" w:hAnsi="Book Antiqua" w:cs="Arial"/>
          <w:sz w:val="48"/>
          <w:szCs w:val="48"/>
          <w:shd w:val="clear" w:color="auto" w:fill="FFFFFF"/>
        </w:rPr>
      </w:pPr>
      <w:r>
        <w:rPr>
          <w:rFonts w:ascii="Book Antiqua" w:hAnsi="Book Antiqua" w:cs="Arial"/>
          <w:b/>
          <w:bCs/>
          <w:color w:val="4A856D" w:themeColor="accent6" w:themeShade="BF"/>
          <w:sz w:val="48"/>
          <w:szCs w:val="48"/>
          <w:u w:val="single"/>
          <w:shd w:val="clear" w:color="auto" w:fill="FFFFFF"/>
        </w:rPr>
        <w:t xml:space="preserve">Assess </w:t>
      </w:r>
      <w:r w:rsidR="00375371">
        <w:rPr>
          <w:rFonts w:ascii="Book Antiqua" w:hAnsi="Book Antiqua" w:cs="Arial"/>
          <w:b/>
          <w:bCs/>
          <w:color w:val="4A856D" w:themeColor="accent6" w:themeShade="BF"/>
          <w:sz w:val="48"/>
          <w:szCs w:val="48"/>
          <w:u w:val="single"/>
          <w:shd w:val="clear" w:color="auto" w:fill="FFFFFF"/>
        </w:rPr>
        <w:t>Sustainability</w:t>
      </w:r>
    </w:p>
    <w:p w:rsidR="00D854E9" w:rsidRDefault="00914C34" w:rsidP="004A0986">
      <w:pPr>
        <w:ind w:left="360"/>
        <w:rPr>
          <w:rFonts w:ascii="Book Antiqua" w:hAnsi="Book Antiqua" w:cs="Arial"/>
          <w:b/>
          <w:bCs/>
          <w:i/>
          <w:iCs/>
          <w:color w:val="0070C0"/>
          <w:sz w:val="44"/>
          <w:szCs w:val="44"/>
          <w:shd w:val="clear" w:color="auto" w:fill="FFFFFF"/>
        </w:rPr>
      </w:pPr>
      <w:r>
        <w:rPr>
          <w:rFonts w:ascii="Arial" w:hAnsi="Arial" w:cs="Arial"/>
          <w:color w:val="0B0C0C"/>
          <w:sz w:val="46"/>
          <w:szCs w:val="46"/>
          <w:shd w:val="clear" w:color="auto" w:fill="FFFFFF"/>
        </w:rPr>
        <w:t>As citizens, employees and regulatory bodies increasingly demand businesses to become more sustainable, measuring and reporting ESG performance has become an imperative. Accenture provides the tools, technology, and methodologies to help organisations embed sustainability data, decision-making and performance into everything to effectively measure business value and sustainable impact for all.</w:t>
      </w:r>
    </w:p>
    <w:p w:rsidR="00914C34" w:rsidRDefault="00914C34" w:rsidP="00914C34">
      <w:pPr>
        <w:pStyle w:val="Heading2"/>
        <w:shd w:val="clear" w:color="auto" w:fill="FFFFFF"/>
        <w:spacing w:before="0" w:after="480"/>
        <w:rPr>
          <w:rFonts w:ascii="Arial" w:hAnsi="Arial" w:cs="Arial"/>
          <w:color w:val="0B0C0C"/>
        </w:rPr>
      </w:pPr>
      <w:r>
        <w:rPr>
          <w:rFonts w:ascii="Arial" w:hAnsi="Arial" w:cs="Arial"/>
          <w:color w:val="0B0C0C"/>
        </w:rPr>
        <w:t>Features</w:t>
      </w:r>
    </w:p>
    <w:p w:rsidR="00914C34" w:rsidRDefault="00914C34" w:rsidP="00914C34">
      <w:pPr>
        <w:numPr>
          <w:ilvl w:val="0"/>
          <w:numId w:val="17"/>
        </w:numPr>
        <w:shd w:val="clear" w:color="auto" w:fill="FFFFFF"/>
        <w:spacing w:before="100" w:beforeAutospacing="1" w:after="120" w:line="240" w:lineRule="auto"/>
        <w:rPr>
          <w:rFonts w:ascii="Arial" w:hAnsi="Arial" w:cs="Arial"/>
          <w:color w:val="0B0C0C"/>
        </w:rPr>
      </w:pPr>
      <w:r>
        <w:rPr>
          <w:rFonts w:ascii="Arial" w:hAnsi="Arial" w:cs="Arial"/>
          <w:color w:val="0B0C0C"/>
        </w:rPr>
        <w:t>ESG diagnostics and impact assessment</w:t>
      </w:r>
    </w:p>
    <w:p w:rsidR="00914C34" w:rsidRDefault="00914C34" w:rsidP="00914C34">
      <w:pPr>
        <w:numPr>
          <w:ilvl w:val="0"/>
          <w:numId w:val="17"/>
        </w:numPr>
        <w:shd w:val="clear" w:color="auto" w:fill="FFFFFF"/>
        <w:spacing w:before="100" w:beforeAutospacing="1" w:after="120" w:line="240" w:lineRule="auto"/>
        <w:rPr>
          <w:rFonts w:ascii="Arial" w:hAnsi="Arial" w:cs="Arial"/>
          <w:color w:val="0B0C0C"/>
        </w:rPr>
      </w:pPr>
      <w:r>
        <w:rPr>
          <w:rFonts w:ascii="Arial" w:hAnsi="Arial" w:cs="Arial"/>
          <w:color w:val="0B0C0C"/>
        </w:rPr>
        <w:t>ESG data, analytics, and reporting</w:t>
      </w:r>
    </w:p>
    <w:p w:rsidR="00914C34" w:rsidRDefault="00914C34" w:rsidP="00914C34">
      <w:pPr>
        <w:numPr>
          <w:ilvl w:val="0"/>
          <w:numId w:val="17"/>
        </w:numPr>
        <w:shd w:val="clear" w:color="auto" w:fill="FFFFFF"/>
        <w:spacing w:before="100" w:beforeAutospacing="1" w:after="120" w:line="240" w:lineRule="auto"/>
        <w:rPr>
          <w:rFonts w:ascii="Arial" w:hAnsi="Arial" w:cs="Arial"/>
          <w:color w:val="0B0C0C"/>
        </w:rPr>
      </w:pPr>
      <w:r>
        <w:rPr>
          <w:rFonts w:ascii="Arial" w:hAnsi="Arial" w:cs="Arial"/>
          <w:color w:val="0B0C0C"/>
        </w:rPr>
        <w:t xml:space="preserve">ESG performance and </w:t>
      </w:r>
      <w:proofErr w:type="spellStart"/>
      <w:r>
        <w:rPr>
          <w:rFonts w:ascii="Arial" w:hAnsi="Arial" w:cs="Arial"/>
          <w:color w:val="0B0C0C"/>
        </w:rPr>
        <w:t>decisioning</w:t>
      </w:r>
      <w:proofErr w:type="spellEnd"/>
    </w:p>
    <w:p w:rsidR="00914C34" w:rsidRDefault="00914C34" w:rsidP="00914C34">
      <w:pPr>
        <w:numPr>
          <w:ilvl w:val="0"/>
          <w:numId w:val="17"/>
        </w:numPr>
        <w:shd w:val="clear" w:color="auto" w:fill="FFFFFF"/>
        <w:spacing w:before="100" w:beforeAutospacing="1" w:after="120" w:line="240" w:lineRule="auto"/>
        <w:rPr>
          <w:rFonts w:ascii="Arial" w:hAnsi="Arial" w:cs="Arial"/>
          <w:color w:val="0B0C0C"/>
        </w:rPr>
      </w:pPr>
      <w:r>
        <w:rPr>
          <w:rFonts w:ascii="Arial" w:hAnsi="Arial" w:cs="Arial"/>
          <w:color w:val="0B0C0C"/>
        </w:rPr>
        <w:t>SDG value impact assessments</w:t>
      </w:r>
    </w:p>
    <w:p w:rsidR="00914C34" w:rsidRDefault="00914C34" w:rsidP="00914C34">
      <w:pPr>
        <w:numPr>
          <w:ilvl w:val="0"/>
          <w:numId w:val="17"/>
        </w:numPr>
        <w:shd w:val="clear" w:color="auto" w:fill="FFFFFF"/>
        <w:spacing w:before="100" w:beforeAutospacing="1" w:after="120" w:line="240" w:lineRule="auto"/>
        <w:rPr>
          <w:rFonts w:ascii="Arial" w:hAnsi="Arial" w:cs="Arial"/>
          <w:color w:val="0B0C0C"/>
        </w:rPr>
      </w:pPr>
      <w:r>
        <w:rPr>
          <w:rFonts w:ascii="Arial" w:hAnsi="Arial" w:cs="Arial"/>
          <w:color w:val="0B0C0C"/>
        </w:rPr>
        <w:t>Carbon tracking and accounting</w:t>
      </w:r>
    </w:p>
    <w:p w:rsidR="00914C34" w:rsidRDefault="00914C34" w:rsidP="00914C34">
      <w:pPr>
        <w:numPr>
          <w:ilvl w:val="0"/>
          <w:numId w:val="17"/>
        </w:numPr>
        <w:shd w:val="clear" w:color="auto" w:fill="FFFFFF"/>
        <w:spacing w:before="100" w:beforeAutospacing="1" w:after="120" w:line="240" w:lineRule="auto"/>
        <w:rPr>
          <w:rFonts w:ascii="Arial" w:hAnsi="Arial" w:cs="Arial"/>
          <w:color w:val="0B0C0C"/>
        </w:rPr>
      </w:pPr>
      <w:r>
        <w:rPr>
          <w:rFonts w:ascii="Arial" w:hAnsi="Arial" w:cs="Arial"/>
          <w:color w:val="0B0C0C"/>
        </w:rPr>
        <w:t>Sustainable performance management</w:t>
      </w:r>
    </w:p>
    <w:p w:rsidR="00914C34" w:rsidRDefault="00914C34" w:rsidP="00914C34">
      <w:pPr>
        <w:numPr>
          <w:ilvl w:val="0"/>
          <w:numId w:val="17"/>
        </w:numPr>
        <w:shd w:val="clear" w:color="auto" w:fill="FFFFFF"/>
        <w:spacing w:before="100" w:beforeAutospacing="1" w:after="120" w:line="240" w:lineRule="auto"/>
        <w:rPr>
          <w:rFonts w:ascii="Arial" w:hAnsi="Arial" w:cs="Arial"/>
          <w:color w:val="0B0C0C"/>
        </w:rPr>
      </w:pPr>
      <w:r>
        <w:rPr>
          <w:rFonts w:ascii="Arial" w:hAnsi="Arial" w:cs="Arial"/>
          <w:color w:val="0B0C0C"/>
        </w:rPr>
        <w:t>ESG compliance, traceability, and data solutions</w:t>
      </w:r>
    </w:p>
    <w:p w:rsidR="00914C34" w:rsidRDefault="00914C34" w:rsidP="00914C34">
      <w:pPr>
        <w:numPr>
          <w:ilvl w:val="0"/>
          <w:numId w:val="17"/>
        </w:numPr>
        <w:shd w:val="clear" w:color="auto" w:fill="FFFFFF"/>
        <w:spacing w:before="100" w:beforeAutospacing="1" w:after="120" w:line="240" w:lineRule="auto"/>
        <w:rPr>
          <w:rFonts w:ascii="Arial" w:hAnsi="Arial" w:cs="Arial"/>
          <w:color w:val="0B0C0C"/>
        </w:rPr>
      </w:pPr>
      <w:r>
        <w:rPr>
          <w:rFonts w:ascii="Arial" w:hAnsi="Arial" w:cs="Arial"/>
          <w:color w:val="0B0C0C"/>
        </w:rPr>
        <w:t>Scenario modelling (e.g., climate risk, physical and transition risks)</w:t>
      </w:r>
    </w:p>
    <w:p w:rsidR="00914C34" w:rsidRDefault="00914C34" w:rsidP="00914C34">
      <w:pPr>
        <w:numPr>
          <w:ilvl w:val="0"/>
          <w:numId w:val="17"/>
        </w:numPr>
        <w:shd w:val="clear" w:color="auto" w:fill="FFFFFF"/>
        <w:spacing w:before="100" w:beforeAutospacing="1" w:after="120" w:line="240" w:lineRule="auto"/>
        <w:rPr>
          <w:rFonts w:ascii="Arial" w:hAnsi="Arial" w:cs="Arial"/>
          <w:color w:val="0B0C0C"/>
        </w:rPr>
      </w:pPr>
      <w:r>
        <w:rPr>
          <w:rFonts w:ascii="Arial" w:hAnsi="Arial" w:cs="Arial"/>
          <w:color w:val="0B0C0C"/>
        </w:rPr>
        <w:t>ESG value realisation office</w:t>
      </w:r>
    </w:p>
    <w:p w:rsidR="00914C34" w:rsidRDefault="00914C34" w:rsidP="00914C34">
      <w:pPr>
        <w:numPr>
          <w:ilvl w:val="0"/>
          <w:numId w:val="17"/>
        </w:numPr>
        <w:shd w:val="clear" w:color="auto" w:fill="FFFFFF"/>
        <w:spacing w:before="100" w:beforeAutospacing="1" w:after="120" w:line="240" w:lineRule="auto"/>
        <w:rPr>
          <w:rFonts w:ascii="Arial" w:hAnsi="Arial" w:cs="Arial"/>
          <w:color w:val="0B0C0C"/>
        </w:rPr>
      </w:pPr>
      <w:r>
        <w:rPr>
          <w:rFonts w:ascii="Arial" w:hAnsi="Arial" w:cs="Arial"/>
          <w:color w:val="0B0C0C"/>
        </w:rPr>
        <w:t xml:space="preserve">Biodiversity exposure diagnostic </w:t>
      </w:r>
    </w:p>
    <w:p w:rsidR="00914C34" w:rsidRDefault="00914C34" w:rsidP="00914C34">
      <w:pPr>
        <w:pStyle w:val="Heading2"/>
        <w:shd w:val="clear" w:color="auto" w:fill="FFFFFF"/>
        <w:spacing w:before="0" w:after="480"/>
        <w:rPr>
          <w:rFonts w:ascii="Arial" w:hAnsi="Arial" w:cs="Arial"/>
          <w:color w:val="0B0C0C"/>
        </w:rPr>
      </w:pPr>
      <w:r>
        <w:rPr>
          <w:rFonts w:ascii="Arial" w:hAnsi="Arial" w:cs="Arial"/>
          <w:color w:val="0B0C0C"/>
        </w:rPr>
        <w:t>Benefits</w:t>
      </w:r>
    </w:p>
    <w:p w:rsidR="00914C34" w:rsidRDefault="00914C34" w:rsidP="00914C34">
      <w:pPr>
        <w:numPr>
          <w:ilvl w:val="0"/>
          <w:numId w:val="18"/>
        </w:numPr>
        <w:shd w:val="clear" w:color="auto" w:fill="FFFFFF"/>
        <w:spacing w:before="100" w:beforeAutospacing="1" w:after="120" w:line="240" w:lineRule="auto"/>
        <w:rPr>
          <w:rFonts w:ascii="Arial" w:hAnsi="Arial" w:cs="Arial"/>
          <w:color w:val="0B0C0C"/>
        </w:rPr>
      </w:pPr>
      <w:r>
        <w:rPr>
          <w:rFonts w:ascii="Arial" w:hAnsi="Arial" w:cs="Arial"/>
          <w:color w:val="0B0C0C"/>
        </w:rPr>
        <w:t>Baseline reporting and enhanced reporting against ESG metrics</w:t>
      </w:r>
    </w:p>
    <w:p w:rsidR="00914C34" w:rsidRDefault="00914C34" w:rsidP="00914C34">
      <w:pPr>
        <w:numPr>
          <w:ilvl w:val="0"/>
          <w:numId w:val="18"/>
        </w:numPr>
        <w:shd w:val="clear" w:color="auto" w:fill="FFFFFF"/>
        <w:spacing w:before="100" w:beforeAutospacing="1" w:after="120" w:line="240" w:lineRule="auto"/>
        <w:rPr>
          <w:rFonts w:ascii="Arial" w:hAnsi="Arial" w:cs="Arial"/>
          <w:color w:val="0B0C0C"/>
        </w:rPr>
      </w:pPr>
      <w:r>
        <w:rPr>
          <w:rFonts w:ascii="Arial" w:hAnsi="Arial" w:cs="Arial"/>
          <w:color w:val="0B0C0C"/>
        </w:rPr>
        <w:t>KPIs and success metrics to measure/report on performance</w:t>
      </w:r>
    </w:p>
    <w:p w:rsidR="00914C34" w:rsidRDefault="00914C34" w:rsidP="00914C34">
      <w:pPr>
        <w:numPr>
          <w:ilvl w:val="0"/>
          <w:numId w:val="18"/>
        </w:numPr>
        <w:shd w:val="clear" w:color="auto" w:fill="FFFFFF"/>
        <w:spacing w:before="100" w:beforeAutospacing="1" w:after="120" w:line="240" w:lineRule="auto"/>
        <w:rPr>
          <w:rFonts w:ascii="Arial" w:hAnsi="Arial" w:cs="Arial"/>
          <w:color w:val="0B0C0C"/>
        </w:rPr>
      </w:pPr>
      <w:r>
        <w:rPr>
          <w:rFonts w:ascii="Arial" w:hAnsi="Arial" w:cs="Arial"/>
          <w:color w:val="0B0C0C"/>
        </w:rPr>
        <w:t>Transform ESG data, power reporting and analytics</w:t>
      </w:r>
    </w:p>
    <w:p w:rsidR="00914C34" w:rsidRDefault="00914C34" w:rsidP="00914C34">
      <w:pPr>
        <w:numPr>
          <w:ilvl w:val="0"/>
          <w:numId w:val="18"/>
        </w:numPr>
        <w:shd w:val="clear" w:color="auto" w:fill="FFFFFF"/>
        <w:spacing w:before="100" w:beforeAutospacing="1" w:after="120" w:line="240" w:lineRule="auto"/>
        <w:rPr>
          <w:rFonts w:ascii="Arial" w:hAnsi="Arial" w:cs="Arial"/>
          <w:color w:val="0B0C0C"/>
        </w:rPr>
      </w:pPr>
      <w:r>
        <w:rPr>
          <w:rFonts w:ascii="Arial" w:hAnsi="Arial" w:cs="Arial"/>
          <w:color w:val="0B0C0C"/>
        </w:rPr>
        <w:t>Cost efficiencies from energy and waste efficiencies</w:t>
      </w:r>
    </w:p>
    <w:p w:rsidR="00914C34" w:rsidRDefault="00914C34" w:rsidP="00914C34">
      <w:pPr>
        <w:numPr>
          <w:ilvl w:val="0"/>
          <w:numId w:val="18"/>
        </w:numPr>
        <w:shd w:val="clear" w:color="auto" w:fill="FFFFFF"/>
        <w:spacing w:before="100" w:beforeAutospacing="1" w:after="120" w:line="240" w:lineRule="auto"/>
        <w:rPr>
          <w:rFonts w:ascii="Arial" w:hAnsi="Arial" w:cs="Arial"/>
          <w:color w:val="0B0C0C"/>
        </w:rPr>
      </w:pPr>
      <w:r>
        <w:rPr>
          <w:rFonts w:ascii="Arial" w:hAnsi="Arial" w:cs="Arial"/>
          <w:color w:val="0B0C0C"/>
        </w:rPr>
        <w:t>Accelerated decarbonisation and net zero transition</w:t>
      </w:r>
    </w:p>
    <w:p w:rsidR="00914C34" w:rsidRDefault="00914C34" w:rsidP="00914C34">
      <w:pPr>
        <w:numPr>
          <w:ilvl w:val="0"/>
          <w:numId w:val="18"/>
        </w:numPr>
        <w:shd w:val="clear" w:color="auto" w:fill="FFFFFF"/>
        <w:spacing w:before="100" w:beforeAutospacing="1" w:after="120" w:line="240" w:lineRule="auto"/>
        <w:rPr>
          <w:rFonts w:ascii="Arial" w:hAnsi="Arial" w:cs="Arial"/>
          <w:color w:val="0B0C0C"/>
        </w:rPr>
      </w:pPr>
      <w:r>
        <w:rPr>
          <w:rFonts w:ascii="Arial" w:hAnsi="Arial" w:cs="Arial"/>
          <w:color w:val="0B0C0C"/>
        </w:rPr>
        <w:t>Enhance understanding of supply chain logistics – enabling greater optimisation</w:t>
      </w:r>
    </w:p>
    <w:p w:rsidR="00914C34" w:rsidRDefault="00914C34" w:rsidP="00914C34">
      <w:pPr>
        <w:numPr>
          <w:ilvl w:val="0"/>
          <w:numId w:val="18"/>
        </w:numPr>
        <w:shd w:val="clear" w:color="auto" w:fill="FFFFFF"/>
        <w:spacing w:before="100" w:beforeAutospacing="1" w:after="120" w:line="240" w:lineRule="auto"/>
        <w:rPr>
          <w:rFonts w:ascii="Arial" w:hAnsi="Arial" w:cs="Arial"/>
          <w:color w:val="0B0C0C"/>
        </w:rPr>
      </w:pPr>
      <w:r>
        <w:rPr>
          <w:rFonts w:ascii="Arial" w:hAnsi="Arial" w:cs="Arial"/>
          <w:color w:val="0B0C0C"/>
        </w:rPr>
        <w:t>Greater transparency and traceability</w:t>
      </w:r>
    </w:p>
    <w:p w:rsidR="00914C34" w:rsidRDefault="00914C34" w:rsidP="00914C34">
      <w:pPr>
        <w:numPr>
          <w:ilvl w:val="0"/>
          <w:numId w:val="18"/>
        </w:numPr>
        <w:shd w:val="clear" w:color="auto" w:fill="FFFFFF"/>
        <w:spacing w:before="100" w:beforeAutospacing="1" w:after="120" w:line="240" w:lineRule="auto"/>
        <w:rPr>
          <w:rFonts w:ascii="Arial" w:hAnsi="Arial" w:cs="Arial"/>
          <w:color w:val="0B0C0C"/>
        </w:rPr>
      </w:pPr>
      <w:r>
        <w:rPr>
          <w:rFonts w:ascii="Arial" w:hAnsi="Arial" w:cs="Arial"/>
          <w:color w:val="0B0C0C"/>
        </w:rPr>
        <w:t>Enhance relationships with stakeholders, citizens and partners</w:t>
      </w:r>
    </w:p>
    <w:p w:rsidR="00914C34" w:rsidRDefault="00914C34" w:rsidP="00914C34">
      <w:pPr>
        <w:numPr>
          <w:ilvl w:val="0"/>
          <w:numId w:val="18"/>
        </w:numPr>
        <w:shd w:val="clear" w:color="auto" w:fill="FFFFFF"/>
        <w:spacing w:before="100" w:beforeAutospacing="1" w:after="120" w:line="240" w:lineRule="auto"/>
        <w:rPr>
          <w:rFonts w:ascii="Arial" w:hAnsi="Arial" w:cs="Arial"/>
          <w:color w:val="0B0C0C"/>
        </w:rPr>
      </w:pPr>
      <w:r>
        <w:rPr>
          <w:rFonts w:ascii="Arial" w:hAnsi="Arial" w:cs="Arial"/>
          <w:color w:val="0B0C0C"/>
        </w:rPr>
        <w:t>Enhance decision making ability from improved data sets</w:t>
      </w:r>
    </w:p>
    <w:p w:rsidR="00914C34" w:rsidRDefault="00914C34" w:rsidP="00914C34">
      <w:pPr>
        <w:numPr>
          <w:ilvl w:val="0"/>
          <w:numId w:val="18"/>
        </w:numPr>
        <w:shd w:val="clear" w:color="auto" w:fill="FFFFFF"/>
        <w:spacing w:before="100" w:beforeAutospacing="1" w:after="120" w:line="240" w:lineRule="auto"/>
        <w:rPr>
          <w:rFonts w:ascii="Arial" w:hAnsi="Arial" w:cs="Arial"/>
          <w:color w:val="0B0C0C"/>
        </w:rPr>
      </w:pPr>
      <w:r>
        <w:rPr>
          <w:rFonts w:ascii="Arial" w:hAnsi="Arial" w:cs="Arial"/>
          <w:color w:val="0B0C0C"/>
        </w:rPr>
        <w:t>Greater alignment to sustainability strategy, targets and roadmaps</w:t>
      </w:r>
    </w:p>
    <w:p w:rsidR="00A34935" w:rsidRDefault="00A34935" w:rsidP="004D139E">
      <w:pPr>
        <w:pStyle w:val="ListParagraph"/>
        <w:ind w:left="0"/>
        <w:rPr>
          <w:rFonts w:ascii="Book Antiqua" w:hAnsi="Book Antiqua" w:cs="Segoe UI"/>
          <w:color w:val="0D0D0D"/>
          <w:sz w:val="40"/>
          <w:szCs w:val="40"/>
          <w:shd w:val="clear" w:color="auto" w:fill="FFFFFF"/>
        </w:rPr>
      </w:pPr>
    </w:p>
    <w:p w:rsidR="00A34935" w:rsidRDefault="00A34935" w:rsidP="004D139E">
      <w:pPr>
        <w:pStyle w:val="ListParagraph"/>
        <w:ind w:left="0"/>
        <w:rPr>
          <w:rFonts w:ascii="Book Antiqua" w:hAnsi="Book Antiqua" w:cs="Segoe UI"/>
          <w:color w:val="0D0D0D"/>
          <w:sz w:val="40"/>
          <w:szCs w:val="40"/>
          <w:shd w:val="clear" w:color="auto" w:fill="FFFFFF"/>
        </w:rPr>
      </w:pPr>
    </w:p>
    <w:p w:rsidR="00DA094A" w:rsidRDefault="00DA094A" w:rsidP="004D139E">
      <w:pPr>
        <w:pStyle w:val="ListParagraph"/>
        <w:ind w:left="0"/>
        <w:rPr>
          <w:rFonts w:ascii="Book Antiqua" w:hAnsi="Book Antiqua" w:cs="Segoe UI"/>
          <w:color w:val="0D0D0D"/>
          <w:sz w:val="40"/>
          <w:szCs w:val="40"/>
          <w:shd w:val="clear" w:color="auto" w:fill="FFFFFF"/>
        </w:rPr>
      </w:pPr>
    </w:p>
    <w:p w:rsidR="004B6C5C" w:rsidRPr="008A44D8" w:rsidRDefault="00AE37F7" w:rsidP="007D3131">
      <w:pPr>
        <w:pStyle w:val="ListParagraph"/>
        <w:ind w:left="0"/>
        <w:jc w:val="center"/>
        <w:rPr>
          <w:rFonts w:ascii="Book Antiqua" w:hAnsi="Book Antiqua" w:cs="Arial"/>
          <w:b/>
          <w:bCs/>
          <w:color w:val="4A856D" w:themeColor="accent6" w:themeShade="BF"/>
          <w:sz w:val="48"/>
          <w:szCs w:val="48"/>
          <w:u w:val="single"/>
          <w:shd w:val="clear" w:color="auto" w:fill="FFFFFF"/>
        </w:rPr>
      </w:pPr>
      <w:r w:rsidRPr="00916477">
        <w:rPr>
          <w:rFonts w:ascii="Book Antiqua" w:hAnsi="Book Antiqua" w:cs="Arial"/>
          <w:b/>
          <w:bCs/>
          <w:color w:val="4A856D" w:themeColor="accent6" w:themeShade="BF"/>
          <w:sz w:val="52"/>
          <w:szCs w:val="52"/>
          <w:u w:val="single"/>
          <w:shd w:val="clear" w:color="auto" w:fill="FFFFFF"/>
        </w:rPr>
        <w:t>Conclusion</w:t>
      </w:r>
    </w:p>
    <w:p w:rsidR="00914C34" w:rsidRDefault="00914C34" w:rsidP="00914C34">
      <w:pPr>
        <w:pStyle w:val="NormalWeb"/>
        <w:shd w:val="clear" w:color="auto" w:fill="FFFFFF"/>
        <w:spacing w:before="0" w:beforeAutospacing="0"/>
        <w:rPr>
          <w:rFonts w:ascii="Segoe UI" w:hAnsi="Segoe UI" w:cs="Segoe UI"/>
          <w:color w:val="212529"/>
          <w:sz w:val="38"/>
          <w:szCs w:val="38"/>
        </w:rPr>
      </w:pPr>
      <w:r>
        <w:rPr>
          <w:rFonts w:ascii="Segoe UI" w:hAnsi="Segoe UI" w:cs="Segoe UI"/>
          <w:color w:val="212529"/>
          <w:sz w:val="38"/>
          <w:szCs w:val="38"/>
        </w:rPr>
        <w:t>From the above evaluations we conclude that Accenture is a global organization, which serves its clients all over the world with high performance and delivers the quality of work.</w:t>
      </w:r>
    </w:p>
    <w:p w:rsidR="00914C34" w:rsidRDefault="00914C34" w:rsidP="00914C34">
      <w:pPr>
        <w:pStyle w:val="NormalWeb"/>
        <w:shd w:val="clear" w:color="auto" w:fill="FFFFFF"/>
        <w:spacing w:before="0" w:beforeAutospacing="0"/>
        <w:rPr>
          <w:rFonts w:ascii="Segoe UI" w:hAnsi="Segoe UI" w:cs="Segoe UI"/>
          <w:color w:val="212529"/>
          <w:sz w:val="38"/>
          <w:szCs w:val="38"/>
        </w:rPr>
      </w:pPr>
      <w:r>
        <w:rPr>
          <w:rFonts w:ascii="Segoe UI" w:hAnsi="Segoe UI" w:cs="Segoe UI"/>
          <w:color w:val="212529"/>
          <w:sz w:val="38"/>
          <w:szCs w:val="38"/>
        </w:rPr>
        <w:t>The training and development process can be still improved by enhancing new methods, which are more practical in nature, which helps the employees of Accenture to grow in a broader way and can achieve their organizational goals in short period of time.</w:t>
      </w:r>
    </w:p>
    <w:p w:rsidR="00914C34" w:rsidRDefault="00914C34" w:rsidP="00914C34">
      <w:pPr>
        <w:pStyle w:val="NormalWeb"/>
        <w:shd w:val="clear" w:color="auto" w:fill="FFFFFF"/>
        <w:spacing w:before="0" w:beforeAutospacing="0"/>
        <w:rPr>
          <w:rFonts w:ascii="Segoe UI" w:hAnsi="Segoe UI" w:cs="Segoe UI"/>
          <w:color w:val="212529"/>
          <w:sz w:val="38"/>
          <w:szCs w:val="38"/>
        </w:rPr>
      </w:pPr>
      <w:r>
        <w:rPr>
          <w:rFonts w:ascii="Segoe UI" w:hAnsi="Segoe UI" w:cs="Segoe UI"/>
          <w:color w:val="212529"/>
          <w:sz w:val="38"/>
          <w:szCs w:val="38"/>
        </w:rPr>
        <w:t>As Accenture is collaborating with Merit Track for its selection and recruitment process which provides the young generation a platform to explore their innovative ideas which also in turn helps Accenture to grow in a broader way.</w:t>
      </w:r>
    </w:p>
    <w:p w:rsidR="00914C34" w:rsidRDefault="00914C34" w:rsidP="00914C34">
      <w:pPr>
        <w:pStyle w:val="NormalWeb"/>
        <w:shd w:val="clear" w:color="auto" w:fill="FFFFFF"/>
        <w:spacing w:before="0" w:beforeAutospacing="0"/>
        <w:rPr>
          <w:rFonts w:ascii="Segoe UI" w:hAnsi="Segoe UI" w:cs="Segoe UI"/>
          <w:color w:val="212529"/>
          <w:sz w:val="38"/>
          <w:szCs w:val="38"/>
        </w:rPr>
      </w:pPr>
      <w:r>
        <w:rPr>
          <w:rFonts w:ascii="Segoe UI" w:hAnsi="Segoe UI" w:cs="Segoe UI"/>
          <w:color w:val="212529"/>
          <w:sz w:val="38"/>
          <w:szCs w:val="38"/>
        </w:rPr>
        <w:t>Accenture motivates its employees by recognizing their potential abilities and appraising them at the right place and at the right position.</w:t>
      </w:r>
    </w:p>
    <w:p w:rsidR="002651DF" w:rsidRDefault="002651DF" w:rsidP="00351242">
      <w:pPr>
        <w:pStyle w:val="ListParagraph"/>
        <w:spacing w:before="100" w:beforeAutospacing="1" w:after="120" w:line="240" w:lineRule="auto"/>
        <w:ind w:left="0"/>
        <w:rPr>
          <w:rFonts w:ascii="Book Antiqua" w:hAnsi="Book Antiqua" w:cs="Arial"/>
          <w:sz w:val="28"/>
          <w:szCs w:val="28"/>
          <w:shd w:val="clear" w:color="auto" w:fill="FFFFFF"/>
        </w:rPr>
      </w:pPr>
    </w:p>
    <w:p w:rsidR="002651DF" w:rsidRDefault="002651DF" w:rsidP="00351242">
      <w:pPr>
        <w:pStyle w:val="ListParagraph"/>
        <w:spacing w:before="100" w:beforeAutospacing="1" w:after="120" w:line="240" w:lineRule="auto"/>
        <w:ind w:left="0"/>
        <w:rPr>
          <w:rFonts w:ascii="Book Antiqua" w:hAnsi="Book Antiqua" w:cs="Arial"/>
          <w:sz w:val="28"/>
          <w:szCs w:val="28"/>
          <w:shd w:val="clear" w:color="auto" w:fill="FFFFFF"/>
        </w:rPr>
      </w:pPr>
    </w:p>
    <w:p w:rsidR="002651DF" w:rsidRPr="00FB342F" w:rsidRDefault="00210FF9" w:rsidP="002651DF">
      <w:pPr>
        <w:pStyle w:val="ListParagraph"/>
        <w:spacing w:before="100" w:beforeAutospacing="1" w:after="120" w:line="240" w:lineRule="auto"/>
        <w:ind w:left="0"/>
        <w:jc w:val="center"/>
        <w:rPr>
          <w:rFonts w:ascii="Book Antiqua" w:hAnsi="Book Antiqua" w:cs="Arial"/>
          <w:b/>
          <w:bCs/>
          <w:i/>
          <w:iCs/>
          <w:color w:val="325949" w:themeColor="accent6" w:themeShade="80"/>
          <w:sz w:val="100"/>
          <w:szCs w:val="100"/>
          <w:shd w:val="clear" w:color="auto" w:fill="FFFFFF"/>
        </w:rPr>
      </w:pPr>
      <w:r w:rsidRPr="00FB342F">
        <w:rPr>
          <w:rFonts w:ascii="Book Antiqua" w:hAnsi="Book Antiqua" w:cs="Arial"/>
          <w:b/>
          <w:bCs/>
          <w:i/>
          <w:iCs/>
          <w:color w:val="325949" w:themeColor="accent6" w:themeShade="80"/>
          <w:sz w:val="100"/>
          <w:szCs w:val="100"/>
          <w:shd w:val="clear" w:color="auto" w:fill="FFFFFF"/>
        </w:rPr>
        <w:t>Thank you</w:t>
      </w:r>
    </w:p>
    <w:p w:rsidR="00D0185A" w:rsidRPr="000854FB" w:rsidRDefault="00D0185A" w:rsidP="00351242">
      <w:pPr>
        <w:pStyle w:val="ListParagraph"/>
        <w:spacing w:before="100" w:beforeAutospacing="1" w:after="120" w:line="240" w:lineRule="auto"/>
        <w:ind w:left="0"/>
        <w:rPr>
          <w:rFonts w:ascii="Book Antiqua" w:hAnsi="Book Antiqua" w:cs="Arial"/>
          <w:sz w:val="28"/>
          <w:szCs w:val="28"/>
          <w:shd w:val="clear" w:color="auto" w:fill="FFFFFF"/>
        </w:rPr>
      </w:pPr>
    </w:p>
    <w:p w:rsidR="00D0185A" w:rsidRDefault="00D0185A" w:rsidP="00351242">
      <w:pPr>
        <w:pStyle w:val="ListParagraph"/>
        <w:spacing w:before="100" w:beforeAutospacing="1" w:after="120" w:line="240" w:lineRule="auto"/>
        <w:ind w:left="0"/>
        <w:rPr>
          <w:rFonts w:ascii="Book Antiqua" w:hAnsi="Book Antiqua" w:cs="Arial"/>
          <w:sz w:val="28"/>
          <w:szCs w:val="28"/>
          <w:shd w:val="clear" w:color="auto" w:fill="FFFFFF"/>
        </w:rPr>
      </w:pPr>
    </w:p>
    <w:p w:rsidR="009B3D2D" w:rsidRPr="00AB56C7" w:rsidRDefault="009B3D2D" w:rsidP="007470A0">
      <w:pPr>
        <w:pStyle w:val="ListParagraph"/>
        <w:spacing w:before="100" w:beforeAutospacing="1" w:after="120" w:line="240" w:lineRule="auto"/>
        <w:ind w:left="0"/>
        <w:jc w:val="center"/>
        <w:rPr>
          <w:rFonts w:ascii="Book Antiqua" w:hAnsi="Book Antiqua" w:cs="Arial"/>
          <w:b/>
          <w:bCs/>
          <w:i/>
          <w:iCs/>
          <w:sz w:val="28"/>
          <w:szCs w:val="28"/>
          <w:shd w:val="clear" w:color="auto" w:fill="FFFFFF"/>
        </w:rPr>
      </w:pPr>
    </w:p>
    <w:sectPr w:rsidR="009B3D2D" w:rsidRPr="00AB56C7" w:rsidSect="00E37CE8">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oppins">
    <w:charset w:val="00"/>
    <w:family w:val="auto"/>
    <w:pitch w:val="variable"/>
    <w:sig w:usb0="00008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0.8pt;height:10.8pt" o:bullet="t">
        <v:imagedata r:id="rId1" o:title="msoB744"/>
      </v:shape>
    </w:pict>
  </w:numPicBullet>
  <w:abstractNum w:abstractNumId="0">
    <w:nsid w:val="023A27A6"/>
    <w:multiLevelType w:val="multilevel"/>
    <w:tmpl w:val="AFE4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BA7B4B"/>
    <w:multiLevelType w:val="hybridMultilevel"/>
    <w:tmpl w:val="068C6E1E"/>
    <w:lvl w:ilvl="0" w:tplc="F86CD8A4">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D870FB"/>
    <w:multiLevelType w:val="hybridMultilevel"/>
    <w:tmpl w:val="148CB7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BE9150A"/>
    <w:multiLevelType w:val="hybridMultilevel"/>
    <w:tmpl w:val="138C6842"/>
    <w:lvl w:ilvl="0" w:tplc="110A018A">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8687EE0"/>
    <w:multiLevelType w:val="hybridMultilevel"/>
    <w:tmpl w:val="2144B7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65C5838"/>
    <w:multiLevelType w:val="hybridMultilevel"/>
    <w:tmpl w:val="46AA4DC0"/>
    <w:lvl w:ilvl="0" w:tplc="1E18C248">
      <w:start w:val="1"/>
      <w:numFmt w:val="decimal"/>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A4839AD"/>
    <w:multiLevelType w:val="hybridMultilevel"/>
    <w:tmpl w:val="230606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A8037CC"/>
    <w:multiLevelType w:val="multilevel"/>
    <w:tmpl w:val="939C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3569DC"/>
    <w:multiLevelType w:val="hybridMultilevel"/>
    <w:tmpl w:val="FE86F462"/>
    <w:lvl w:ilvl="0" w:tplc="0B68F966">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71E07B7"/>
    <w:multiLevelType w:val="hybridMultilevel"/>
    <w:tmpl w:val="33663A44"/>
    <w:lvl w:ilvl="0" w:tplc="40090007">
      <w:start w:val="1"/>
      <w:numFmt w:val="bullet"/>
      <w:lvlText w:val=""/>
      <w:lvlPicBulletId w:val="0"/>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nsid w:val="49FB5F47"/>
    <w:multiLevelType w:val="multilevel"/>
    <w:tmpl w:val="C584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D82049C"/>
    <w:multiLevelType w:val="hybridMultilevel"/>
    <w:tmpl w:val="ED9AACD6"/>
    <w:lvl w:ilvl="0" w:tplc="37980A3C">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3742117"/>
    <w:multiLevelType w:val="hybridMultilevel"/>
    <w:tmpl w:val="4A76E2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4322C3A"/>
    <w:multiLevelType w:val="hybridMultilevel"/>
    <w:tmpl w:val="18A012BE"/>
    <w:lvl w:ilvl="0" w:tplc="D74AB5EE">
      <w:start w:val="1"/>
      <w:numFmt w:val="decimal"/>
      <w:lvlText w:val="%1)"/>
      <w:lvlJc w:val="left"/>
      <w:pPr>
        <w:ind w:left="1428" w:hanging="360"/>
      </w:pPr>
      <w:rPr>
        <w:rFonts w:hint="default"/>
      </w:r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14">
    <w:nsid w:val="66C13E5A"/>
    <w:multiLevelType w:val="hybridMultilevel"/>
    <w:tmpl w:val="97E83660"/>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5">
    <w:nsid w:val="6D67670D"/>
    <w:multiLevelType w:val="hybridMultilevel"/>
    <w:tmpl w:val="5C5E0C9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6">
    <w:nsid w:val="7CCC7C9B"/>
    <w:multiLevelType w:val="hybridMultilevel"/>
    <w:tmpl w:val="148CB7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4"/>
  </w:num>
  <w:num w:numId="5">
    <w:abstractNumId w:val="5"/>
  </w:num>
  <w:num w:numId="6">
    <w:abstractNumId w:val="13"/>
  </w:num>
  <w:num w:numId="7">
    <w:abstractNumId w:val="11"/>
  </w:num>
  <w:num w:numId="8">
    <w:abstractNumId w:val="2"/>
  </w:num>
  <w:num w:numId="9">
    <w:abstractNumId w:val="3"/>
  </w:num>
  <w:num w:numId="10">
    <w:abstractNumId w:val="4"/>
  </w:num>
  <w:num w:numId="11">
    <w:abstractNumId w:val="8"/>
  </w:num>
  <w:num w:numId="12">
    <w:abstractNumId w:val="6"/>
  </w:num>
  <w:num w:numId="13">
    <w:abstractNumId w:val="12"/>
  </w:num>
  <w:num w:numId="14">
    <w:abstractNumId w:val="1"/>
  </w:num>
  <w:num w:numId="15">
    <w:abstractNumId w:val="9"/>
  </w:num>
  <w:num w:numId="16">
    <w:abstractNumId w:val="10"/>
  </w:num>
  <w:num w:numId="17">
    <w:abstractNumId w:val="0"/>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62"/>
  <w:proofState w:spelling="clean" w:grammar="clean"/>
  <w:defaultTabStop w:val="720"/>
  <w:characterSpacingControl w:val="doNotCompress"/>
  <w:compat>
    <w:useFELayout/>
  </w:compat>
  <w:rsids>
    <w:rsidRoot w:val="00A970AF"/>
    <w:rsid w:val="000006A7"/>
    <w:rsid w:val="0000517F"/>
    <w:rsid w:val="0000714E"/>
    <w:rsid w:val="00012147"/>
    <w:rsid w:val="000177AD"/>
    <w:rsid w:val="00022655"/>
    <w:rsid w:val="000251D8"/>
    <w:rsid w:val="0002631B"/>
    <w:rsid w:val="00027E9D"/>
    <w:rsid w:val="000321AE"/>
    <w:rsid w:val="00034B95"/>
    <w:rsid w:val="000408B7"/>
    <w:rsid w:val="00044270"/>
    <w:rsid w:val="000456D3"/>
    <w:rsid w:val="00051C58"/>
    <w:rsid w:val="00051C98"/>
    <w:rsid w:val="00056B0D"/>
    <w:rsid w:val="00057211"/>
    <w:rsid w:val="0005798B"/>
    <w:rsid w:val="000616A5"/>
    <w:rsid w:val="00062709"/>
    <w:rsid w:val="00064200"/>
    <w:rsid w:val="00065745"/>
    <w:rsid w:val="00070B6C"/>
    <w:rsid w:val="00070ED4"/>
    <w:rsid w:val="00071A9F"/>
    <w:rsid w:val="00071AFB"/>
    <w:rsid w:val="00071BD8"/>
    <w:rsid w:val="0007551D"/>
    <w:rsid w:val="000801C8"/>
    <w:rsid w:val="00083AB6"/>
    <w:rsid w:val="00084525"/>
    <w:rsid w:val="000854FB"/>
    <w:rsid w:val="00086600"/>
    <w:rsid w:val="0008693E"/>
    <w:rsid w:val="00087816"/>
    <w:rsid w:val="000903A8"/>
    <w:rsid w:val="00090FBF"/>
    <w:rsid w:val="000911F4"/>
    <w:rsid w:val="00093A3F"/>
    <w:rsid w:val="000949CA"/>
    <w:rsid w:val="00094CA3"/>
    <w:rsid w:val="00096AD1"/>
    <w:rsid w:val="0009779D"/>
    <w:rsid w:val="000A21FD"/>
    <w:rsid w:val="000A2518"/>
    <w:rsid w:val="000A6601"/>
    <w:rsid w:val="000B4E77"/>
    <w:rsid w:val="000C0CD8"/>
    <w:rsid w:val="000C1FC4"/>
    <w:rsid w:val="000C3C33"/>
    <w:rsid w:val="000D38E5"/>
    <w:rsid w:val="000E1274"/>
    <w:rsid w:val="000E1A84"/>
    <w:rsid w:val="000E1B3B"/>
    <w:rsid w:val="000E44BA"/>
    <w:rsid w:val="000F09E1"/>
    <w:rsid w:val="000F75A4"/>
    <w:rsid w:val="000F7CA4"/>
    <w:rsid w:val="00101C73"/>
    <w:rsid w:val="00103B73"/>
    <w:rsid w:val="001076E3"/>
    <w:rsid w:val="00111EB7"/>
    <w:rsid w:val="0011529E"/>
    <w:rsid w:val="00120396"/>
    <w:rsid w:val="00120517"/>
    <w:rsid w:val="00120641"/>
    <w:rsid w:val="001228C7"/>
    <w:rsid w:val="0012318C"/>
    <w:rsid w:val="00127130"/>
    <w:rsid w:val="00127C7D"/>
    <w:rsid w:val="001329BC"/>
    <w:rsid w:val="0013647D"/>
    <w:rsid w:val="00140684"/>
    <w:rsid w:val="00143CA5"/>
    <w:rsid w:val="001445CC"/>
    <w:rsid w:val="00146220"/>
    <w:rsid w:val="00146A6F"/>
    <w:rsid w:val="00147448"/>
    <w:rsid w:val="00150CF8"/>
    <w:rsid w:val="001515DE"/>
    <w:rsid w:val="00156371"/>
    <w:rsid w:val="00161112"/>
    <w:rsid w:val="00161E05"/>
    <w:rsid w:val="001635B3"/>
    <w:rsid w:val="001657B5"/>
    <w:rsid w:val="00166258"/>
    <w:rsid w:val="001743C6"/>
    <w:rsid w:val="0017530B"/>
    <w:rsid w:val="00176470"/>
    <w:rsid w:val="00176DC5"/>
    <w:rsid w:val="0018069E"/>
    <w:rsid w:val="00180BC3"/>
    <w:rsid w:val="001834A6"/>
    <w:rsid w:val="00184552"/>
    <w:rsid w:val="00184F32"/>
    <w:rsid w:val="001867D9"/>
    <w:rsid w:val="00187250"/>
    <w:rsid w:val="001904D6"/>
    <w:rsid w:val="001911EB"/>
    <w:rsid w:val="00193BC8"/>
    <w:rsid w:val="001952EB"/>
    <w:rsid w:val="00196C7E"/>
    <w:rsid w:val="001A021E"/>
    <w:rsid w:val="001A06F2"/>
    <w:rsid w:val="001A1FEF"/>
    <w:rsid w:val="001A3C1B"/>
    <w:rsid w:val="001A5DEE"/>
    <w:rsid w:val="001B1838"/>
    <w:rsid w:val="001B637F"/>
    <w:rsid w:val="001B6506"/>
    <w:rsid w:val="001B78C4"/>
    <w:rsid w:val="001C103F"/>
    <w:rsid w:val="001C7002"/>
    <w:rsid w:val="001D69BA"/>
    <w:rsid w:val="001E0C9E"/>
    <w:rsid w:val="001E14AC"/>
    <w:rsid w:val="001E3915"/>
    <w:rsid w:val="001E4D96"/>
    <w:rsid w:val="001F0982"/>
    <w:rsid w:val="001F2840"/>
    <w:rsid w:val="001F4DB3"/>
    <w:rsid w:val="002009F8"/>
    <w:rsid w:val="00201B6E"/>
    <w:rsid w:val="00203FDB"/>
    <w:rsid w:val="00210FF9"/>
    <w:rsid w:val="002115B4"/>
    <w:rsid w:val="00211FF5"/>
    <w:rsid w:val="00212035"/>
    <w:rsid w:val="00213702"/>
    <w:rsid w:val="002159D2"/>
    <w:rsid w:val="00221683"/>
    <w:rsid w:val="00221996"/>
    <w:rsid w:val="00225157"/>
    <w:rsid w:val="00230570"/>
    <w:rsid w:val="002363C8"/>
    <w:rsid w:val="00236B1E"/>
    <w:rsid w:val="0024221F"/>
    <w:rsid w:val="002479B5"/>
    <w:rsid w:val="0025250F"/>
    <w:rsid w:val="00253679"/>
    <w:rsid w:val="00253F31"/>
    <w:rsid w:val="00254C3C"/>
    <w:rsid w:val="00261CE4"/>
    <w:rsid w:val="00264D11"/>
    <w:rsid w:val="002651DF"/>
    <w:rsid w:val="002666E2"/>
    <w:rsid w:val="002764C9"/>
    <w:rsid w:val="00276D8A"/>
    <w:rsid w:val="002774D8"/>
    <w:rsid w:val="00280275"/>
    <w:rsid w:val="00285433"/>
    <w:rsid w:val="0029223A"/>
    <w:rsid w:val="00294535"/>
    <w:rsid w:val="002946B0"/>
    <w:rsid w:val="00296597"/>
    <w:rsid w:val="00296D21"/>
    <w:rsid w:val="00297BEA"/>
    <w:rsid w:val="002A0E88"/>
    <w:rsid w:val="002A0F85"/>
    <w:rsid w:val="002A1784"/>
    <w:rsid w:val="002A22CC"/>
    <w:rsid w:val="002A459B"/>
    <w:rsid w:val="002A53BB"/>
    <w:rsid w:val="002A7573"/>
    <w:rsid w:val="002A7DF6"/>
    <w:rsid w:val="002B02AF"/>
    <w:rsid w:val="002B07D9"/>
    <w:rsid w:val="002B0F69"/>
    <w:rsid w:val="002B4A1C"/>
    <w:rsid w:val="002B4B91"/>
    <w:rsid w:val="002B5CEA"/>
    <w:rsid w:val="002C0206"/>
    <w:rsid w:val="002C3DC5"/>
    <w:rsid w:val="002C5285"/>
    <w:rsid w:val="002C7DE6"/>
    <w:rsid w:val="002D0A8E"/>
    <w:rsid w:val="002D2DB1"/>
    <w:rsid w:val="002D3AEF"/>
    <w:rsid w:val="002D3E97"/>
    <w:rsid w:val="002D6928"/>
    <w:rsid w:val="002E47FB"/>
    <w:rsid w:val="002F2BC3"/>
    <w:rsid w:val="002F5D26"/>
    <w:rsid w:val="00300694"/>
    <w:rsid w:val="00300B5A"/>
    <w:rsid w:val="00300F9E"/>
    <w:rsid w:val="00305709"/>
    <w:rsid w:val="00305A0B"/>
    <w:rsid w:val="0031007D"/>
    <w:rsid w:val="0031255B"/>
    <w:rsid w:val="00315BFF"/>
    <w:rsid w:val="0031624C"/>
    <w:rsid w:val="003165BE"/>
    <w:rsid w:val="00316FF5"/>
    <w:rsid w:val="003176CB"/>
    <w:rsid w:val="003225DD"/>
    <w:rsid w:val="00322988"/>
    <w:rsid w:val="0032540B"/>
    <w:rsid w:val="003277AF"/>
    <w:rsid w:val="0033473F"/>
    <w:rsid w:val="00337F47"/>
    <w:rsid w:val="00342A13"/>
    <w:rsid w:val="00343311"/>
    <w:rsid w:val="00346D2F"/>
    <w:rsid w:val="0035026F"/>
    <w:rsid w:val="00351242"/>
    <w:rsid w:val="00357C00"/>
    <w:rsid w:val="00360557"/>
    <w:rsid w:val="0036437F"/>
    <w:rsid w:val="00364784"/>
    <w:rsid w:val="00364CF2"/>
    <w:rsid w:val="003657CB"/>
    <w:rsid w:val="00365DB2"/>
    <w:rsid w:val="003667F0"/>
    <w:rsid w:val="003677C7"/>
    <w:rsid w:val="003732B9"/>
    <w:rsid w:val="00374863"/>
    <w:rsid w:val="00374D71"/>
    <w:rsid w:val="00375371"/>
    <w:rsid w:val="00380C19"/>
    <w:rsid w:val="0038311A"/>
    <w:rsid w:val="00384065"/>
    <w:rsid w:val="00384C8C"/>
    <w:rsid w:val="003866F8"/>
    <w:rsid w:val="0038775D"/>
    <w:rsid w:val="00390BBC"/>
    <w:rsid w:val="00392505"/>
    <w:rsid w:val="00393286"/>
    <w:rsid w:val="00393F10"/>
    <w:rsid w:val="0039400F"/>
    <w:rsid w:val="00394D29"/>
    <w:rsid w:val="00395B5D"/>
    <w:rsid w:val="003A3700"/>
    <w:rsid w:val="003A38F3"/>
    <w:rsid w:val="003A7767"/>
    <w:rsid w:val="003B1447"/>
    <w:rsid w:val="003B360F"/>
    <w:rsid w:val="003B489F"/>
    <w:rsid w:val="003B713E"/>
    <w:rsid w:val="003C0D39"/>
    <w:rsid w:val="003C1C59"/>
    <w:rsid w:val="003C6ACF"/>
    <w:rsid w:val="003C7845"/>
    <w:rsid w:val="003D08F0"/>
    <w:rsid w:val="003D106A"/>
    <w:rsid w:val="003D2F10"/>
    <w:rsid w:val="003D310B"/>
    <w:rsid w:val="003D4EAE"/>
    <w:rsid w:val="003D591B"/>
    <w:rsid w:val="003D6D49"/>
    <w:rsid w:val="003E2519"/>
    <w:rsid w:val="003E2B7E"/>
    <w:rsid w:val="003E7B80"/>
    <w:rsid w:val="003F01A5"/>
    <w:rsid w:val="003F262B"/>
    <w:rsid w:val="003F3F4E"/>
    <w:rsid w:val="003F61BC"/>
    <w:rsid w:val="003F69C2"/>
    <w:rsid w:val="0040112B"/>
    <w:rsid w:val="00404BDE"/>
    <w:rsid w:val="00406617"/>
    <w:rsid w:val="0040790C"/>
    <w:rsid w:val="004107A1"/>
    <w:rsid w:val="00417A9C"/>
    <w:rsid w:val="00421CF7"/>
    <w:rsid w:val="0042693C"/>
    <w:rsid w:val="004300D7"/>
    <w:rsid w:val="00431DFD"/>
    <w:rsid w:val="00433C8B"/>
    <w:rsid w:val="004341E0"/>
    <w:rsid w:val="00435F99"/>
    <w:rsid w:val="00442F78"/>
    <w:rsid w:val="00447896"/>
    <w:rsid w:val="00451BAB"/>
    <w:rsid w:val="00456517"/>
    <w:rsid w:val="00461F36"/>
    <w:rsid w:val="00465F8B"/>
    <w:rsid w:val="00470B5D"/>
    <w:rsid w:val="00470C04"/>
    <w:rsid w:val="00471D4E"/>
    <w:rsid w:val="00474DAE"/>
    <w:rsid w:val="00483DB0"/>
    <w:rsid w:val="0048712A"/>
    <w:rsid w:val="004917AB"/>
    <w:rsid w:val="00493A71"/>
    <w:rsid w:val="00494BB2"/>
    <w:rsid w:val="00496816"/>
    <w:rsid w:val="004A0986"/>
    <w:rsid w:val="004A4D15"/>
    <w:rsid w:val="004A5885"/>
    <w:rsid w:val="004A7876"/>
    <w:rsid w:val="004B3045"/>
    <w:rsid w:val="004B691B"/>
    <w:rsid w:val="004B6C5C"/>
    <w:rsid w:val="004B72DB"/>
    <w:rsid w:val="004C41D7"/>
    <w:rsid w:val="004C48CE"/>
    <w:rsid w:val="004D139E"/>
    <w:rsid w:val="004D3538"/>
    <w:rsid w:val="004D3C43"/>
    <w:rsid w:val="004D4B81"/>
    <w:rsid w:val="004D535F"/>
    <w:rsid w:val="004D56C6"/>
    <w:rsid w:val="004E0C2D"/>
    <w:rsid w:val="004E3A9B"/>
    <w:rsid w:val="004E5073"/>
    <w:rsid w:val="004E6BB4"/>
    <w:rsid w:val="004F21CC"/>
    <w:rsid w:val="004F279C"/>
    <w:rsid w:val="004F32B3"/>
    <w:rsid w:val="004F37A9"/>
    <w:rsid w:val="004F42D9"/>
    <w:rsid w:val="004F4A8F"/>
    <w:rsid w:val="00501BFB"/>
    <w:rsid w:val="005042F4"/>
    <w:rsid w:val="00507C53"/>
    <w:rsid w:val="005116C8"/>
    <w:rsid w:val="00514FDA"/>
    <w:rsid w:val="0051626B"/>
    <w:rsid w:val="005233E9"/>
    <w:rsid w:val="005250DA"/>
    <w:rsid w:val="00536529"/>
    <w:rsid w:val="00536A61"/>
    <w:rsid w:val="00537421"/>
    <w:rsid w:val="005379AF"/>
    <w:rsid w:val="005420DE"/>
    <w:rsid w:val="00543F64"/>
    <w:rsid w:val="00546DCC"/>
    <w:rsid w:val="00551150"/>
    <w:rsid w:val="005528CD"/>
    <w:rsid w:val="00554DAA"/>
    <w:rsid w:val="00554E01"/>
    <w:rsid w:val="00555A04"/>
    <w:rsid w:val="00556267"/>
    <w:rsid w:val="0056335F"/>
    <w:rsid w:val="00567B48"/>
    <w:rsid w:val="00571052"/>
    <w:rsid w:val="005718B7"/>
    <w:rsid w:val="00571DF8"/>
    <w:rsid w:val="00573300"/>
    <w:rsid w:val="00577DC7"/>
    <w:rsid w:val="00582612"/>
    <w:rsid w:val="005835BF"/>
    <w:rsid w:val="00584A4F"/>
    <w:rsid w:val="00584DC5"/>
    <w:rsid w:val="00585031"/>
    <w:rsid w:val="005906C7"/>
    <w:rsid w:val="00592B95"/>
    <w:rsid w:val="00596A95"/>
    <w:rsid w:val="005A4225"/>
    <w:rsid w:val="005A4250"/>
    <w:rsid w:val="005B3748"/>
    <w:rsid w:val="005B42ED"/>
    <w:rsid w:val="005B6E34"/>
    <w:rsid w:val="005C2660"/>
    <w:rsid w:val="005C5810"/>
    <w:rsid w:val="005D1D17"/>
    <w:rsid w:val="005D5822"/>
    <w:rsid w:val="005D60A0"/>
    <w:rsid w:val="005E1677"/>
    <w:rsid w:val="005E5851"/>
    <w:rsid w:val="005E6720"/>
    <w:rsid w:val="005F01C5"/>
    <w:rsid w:val="005F308C"/>
    <w:rsid w:val="005F34AA"/>
    <w:rsid w:val="005F5BD3"/>
    <w:rsid w:val="005F5DFD"/>
    <w:rsid w:val="00602B66"/>
    <w:rsid w:val="006035F0"/>
    <w:rsid w:val="00605D14"/>
    <w:rsid w:val="00607744"/>
    <w:rsid w:val="00611148"/>
    <w:rsid w:val="00616147"/>
    <w:rsid w:val="00621560"/>
    <w:rsid w:val="006233F6"/>
    <w:rsid w:val="00626D4D"/>
    <w:rsid w:val="00627697"/>
    <w:rsid w:val="00630C73"/>
    <w:rsid w:val="00634081"/>
    <w:rsid w:val="006477F9"/>
    <w:rsid w:val="006518D0"/>
    <w:rsid w:val="0065232B"/>
    <w:rsid w:val="006551CF"/>
    <w:rsid w:val="006608AA"/>
    <w:rsid w:val="00662CD1"/>
    <w:rsid w:val="00663C1A"/>
    <w:rsid w:val="006676F1"/>
    <w:rsid w:val="00672ECF"/>
    <w:rsid w:val="00674A6D"/>
    <w:rsid w:val="00677B01"/>
    <w:rsid w:val="006812CD"/>
    <w:rsid w:val="00682BD7"/>
    <w:rsid w:val="0068472F"/>
    <w:rsid w:val="00686114"/>
    <w:rsid w:val="0069446E"/>
    <w:rsid w:val="00695CD3"/>
    <w:rsid w:val="00697DB3"/>
    <w:rsid w:val="006A004F"/>
    <w:rsid w:val="006A1384"/>
    <w:rsid w:val="006A1AF0"/>
    <w:rsid w:val="006A366E"/>
    <w:rsid w:val="006A3F2D"/>
    <w:rsid w:val="006A3F9D"/>
    <w:rsid w:val="006B21B8"/>
    <w:rsid w:val="006B5D83"/>
    <w:rsid w:val="006B64E2"/>
    <w:rsid w:val="006C1D86"/>
    <w:rsid w:val="006C1EFA"/>
    <w:rsid w:val="006C3EAE"/>
    <w:rsid w:val="006C6E43"/>
    <w:rsid w:val="006D1AF5"/>
    <w:rsid w:val="006D2740"/>
    <w:rsid w:val="006E1407"/>
    <w:rsid w:val="006E1480"/>
    <w:rsid w:val="006E6EF4"/>
    <w:rsid w:val="006F378E"/>
    <w:rsid w:val="006F3905"/>
    <w:rsid w:val="006F3954"/>
    <w:rsid w:val="006F6517"/>
    <w:rsid w:val="006F6531"/>
    <w:rsid w:val="007022CF"/>
    <w:rsid w:val="00702D2F"/>
    <w:rsid w:val="00703973"/>
    <w:rsid w:val="007053F2"/>
    <w:rsid w:val="007072AD"/>
    <w:rsid w:val="00715480"/>
    <w:rsid w:val="00715B73"/>
    <w:rsid w:val="00715C9A"/>
    <w:rsid w:val="00716AC3"/>
    <w:rsid w:val="00717BA7"/>
    <w:rsid w:val="0072015A"/>
    <w:rsid w:val="00721115"/>
    <w:rsid w:val="007249BF"/>
    <w:rsid w:val="00731688"/>
    <w:rsid w:val="0073275B"/>
    <w:rsid w:val="0073303D"/>
    <w:rsid w:val="0073459C"/>
    <w:rsid w:val="007356EA"/>
    <w:rsid w:val="0073749B"/>
    <w:rsid w:val="00737FF9"/>
    <w:rsid w:val="00741D2C"/>
    <w:rsid w:val="00743B0F"/>
    <w:rsid w:val="0074470B"/>
    <w:rsid w:val="00744F53"/>
    <w:rsid w:val="007470A0"/>
    <w:rsid w:val="00751976"/>
    <w:rsid w:val="0075214D"/>
    <w:rsid w:val="007560F5"/>
    <w:rsid w:val="00761318"/>
    <w:rsid w:val="00761849"/>
    <w:rsid w:val="00761C51"/>
    <w:rsid w:val="00763980"/>
    <w:rsid w:val="00765E4F"/>
    <w:rsid w:val="00765FF7"/>
    <w:rsid w:val="0076656E"/>
    <w:rsid w:val="00772BE4"/>
    <w:rsid w:val="007736CD"/>
    <w:rsid w:val="00775ED8"/>
    <w:rsid w:val="0077709C"/>
    <w:rsid w:val="00777797"/>
    <w:rsid w:val="00781C6A"/>
    <w:rsid w:val="007868AC"/>
    <w:rsid w:val="007874A7"/>
    <w:rsid w:val="00791736"/>
    <w:rsid w:val="00794762"/>
    <w:rsid w:val="00795BC7"/>
    <w:rsid w:val="0079676F"/>
    <w:rsid w:val="00796B6B"/>
    <w:rsid w:val="007A16BE"/>
    <w:rsid w:val="007A55F9"/>
    <w:rsid w:val="007A78CE"/>
    <w:rsid w:val="007A795F"/>
    <w:rsid w:val="007B332A"/>
    <w:rsid w:val="007B5804"/>
    <w:rsid w:val="007B5C20"/>
    <w:rsid w:val="007B5D47"/>
    <w:rsid w:val="007B5E9F"/>
    <w:rsid w:val="007B6065"/>
    <w:rsid w:val="007B77DF"/>
    <w:rsid w:val="007C0B10"/>
    <w:rsid w:val="007C18C3"/>
    <w:rsid w:val="007C27E9"/>
    <w:rsid w:val="007C37BC"/>
    <w:rsid w:val="007C7947"/>
    <w:rsid w:val="007D3131"/>
    <w:rsid w:val="007D513B"/>
    <w:rsid w:val="007D714D"/>
    <w:rsid w:val="007E152A"/>
    <w:rsid w:val="007E2DE0"/>
    <w:rsid w:val="007E5B93"/>
    <w:rsid w:val="007E6560"/>
    <w:rsid w:val="007E65D4"/>
    <w:rsid w:val="007E6EB1"/>
    <w:rsid w:val="007F43EF"/>
    <w:rsid w:val="007F645B"/>
    <w:rsid w:val="007F727C"/>
    <w:rsid w:val="008008CA"/>
    <w:rsid w:val="00801442"/>
    <w:rsid w:val="0080149A"/>
    <w:rsid w:val="0080599B"/>
    <w:rsid w:val="00805B5E"/>
    <w:rsid w:val="00807936"/>
    <w:rsid w:val="008125FC"/>
    <w:rsid w:val="00812A1E"/>
    <w:rsid w:val="0081356A"/>
    <w:rsid w:val="00813FD1"/>
    <w:rsid w:val="00814114"/>
    <w:rsid w:val="00816B1E"/>
    <w:rsid w:val="00817999"/>
    <w:rsid w:val="008209E0"/>
    <w:rsid w:val="008224B7"/>
    <w:rsid w:val="0082714A"/>
    <w:rsid w:val="00830011"/>
    <w:rsid w:val="0083244F"/>
    <w:rsid w:val="00835CD5"/>
    <w:rsid w:val="008427D9"/>
    <w:rsid w:val="0084312F"/>
    <w:rsid w:val="00843677"/>
    <w:rsid w:val="00845EE5"/>
    <w:rsid w:val="008462C3"/>
    <w:rsid w:val="008546E9"/>
    <w:rsid w:val="00856E6E"/>
    <w:rsid w:val="00860EA9"/>
    <w:rsid w:val="00863266"/>
    <w:rsid w:val="008636C0"/>
    <w:rsid w:val="00872890"/>
    <w:rsid w:val="00877C44"/>
    <w:rsid w:val="008864F7"/>
    <w:rsid w:val="00890C6B"/>
    <w:rsid w:val="00896468"/>
    <w:rsid w:val="00897770"/>
    <w:rsid w:val="008A44D8"/>
    <w:rsid w:val="008A67D6"/>
    <w:rsid w:val="008A6A90"/>
    <w:rsid w:val="008A6F75"/>
    <w:rsid w:val="008B08D7"/>
    <w:rsid w:val="008B1402"/>
    <w:rsid w:val="008B24FF"/>
    <w:rsid w:val="008B2AD8"/>
    <w:rsid w:val="008B35D3"/>
    <w:rsid w:val="008B70DA"/>
    <w:rsid w:val="008C19E4"/>
    <w:rsid w:val="008C61D3"/>
    <w:rsid w:val="008C7946"/>
    <w:rsid w:val="008D1C05"/>
    <w:rsid w:val="008D2453"/>
    <w:rsid w:val="008D2A7C"/>
    <w:rsid w:val="008D56B5"/>
    <w:rsid w:val="008D6A04"/>
    <w:rsid w:val="008E40FB"/>
    <w:rsid w:val="008E49DA"/>
    <w:rsid w:val="008F1515"/>
    <w:rsid w:val="008F1D47"/>
    <w:rsid w:val="008F495C"/>
    <w:rsid w:val="008F4BB7"/>
    <w:rsid w:val="008F642E"/>
    <w:rsid w:val="008F74DC"/>
    <w:rsid w:val="009006B0"/>
    <w:rsid w:val="00902A4F"/>
    <w:rsid w:val="00905132"/>
    <w:rsid w:val="00905C2D"/>
    <w:rsid w:val="00912123"/>
    <w:rsid w:val="0091299B"/>
    <w:rsid w:val="00914C34"/>
    <w:rsid w:val="00916477"/>
    <w:rsid w:val="00917B40"/>
    <w:rsid w:val="00924228"/>
    <w:rsid w:val="009274DD"/>
    <w:rsid w:val="00931006"/>
    <w:rsid w:val="009310F8"/>
    <w:rsid w:val="00932847"/>
    <w:rsid w:val="0093314E"/>
    <w:rsid w:val="00937A65"/>
    <w:rsid w:val="00941BA1"/>
    <w:rsid w:val="00943474"/>
    <w:rsid w:val="00943852"/>
    <w:rsid w:val="00943AEA"/>
    <w:rsid w:val="009444E2"/>
    <w:rsid w:val="00946595"/>
    <w:rsid w:val="00947815"/>
    <w:rsid w:val="00947AE7"/>
    <w:rsid w:val="00950720"/>
    <w:rsid w:val="00955D43"/>
    <w:rsid w:val="00956B55"/>
    <w:rsid w:val="00963EE1"/>
    <w:rsid w:val="00964793"/>
    <w:rsid w:val="0096507F"/>
    <w:rsid w:val="00965424"/>
    <w:rsid w:val="00965818"/>
    <w:rsid w:val="00970241"/>
    <w:rsid w:val="0097143D"/>
    <w:rsid w:val="00973D4F"/>
    <w:rsid w:val="00974881"/>
    <w:rsid w:val="00976418"/>
    <w:rsid w:val="00977B64"/>
    <w:rsid w:val="00977F09"/>
    <w:rsid w:val="0098137E"/>
    <w:rsid w:val="00981C8E"/>
    <w:rsid w:val="00992381"/>
    <w:rsid w:val="00992964"/>
    <w:rsid w:val="0099379D"/>
    <w:rsid w:val="0099506F"/>
    <w:rsid w:val="00995094"/>
    <w:rsid w:val="00995EF9"/>
    <w:rsid w:val="009962E0"/>
    <w:rsid w:val="00997232"/>
    <w:rsid w:val="009974EB"/>
    <w:rsid w:val="009976EC"/>
    <w:rsid w:val="009A3C4E"/>
    <w:rsid w:val="009A6624"/>
    <w:rsid w:val="009A73CA"/>
    <w:rsid w:val="009A7B6C"/>
    <w:rsid w:val="009A7C46"/>
    <w:rsid w:val="009B0EC5"/>
    <w:rsid w:val="009B2726"/>
    <w:rsid w:val="009B2AF2"/>
    <w:rsid w:val="009B2E44"/>
    <w:rsid w:val="009B36F3"/>
    <w:rsid w:val="009B3D2D"/>
    <w:rsid w:val="009B4640"/>
    <w:rsid w:val="009B481E"/>
    <w:rsid w:val="009B75B7"/>
    <w:rsid w:val="009B773D"/>
    <w:rsid w:val="009C0724"/>
    <w:rsid w:val="009C262D"/>
    <w:rsid w:val="009C4457"/>
    <w:rsid w:val="009C4829"/>
    <w:rsid w:val="009C7AFF"/>
    <w:rsid w:val="009D0852"/>
    <w:rsid w:val="009D1758"/>
    <w:rsid w:val="009D26CB"/>
    <w:rsid w:val="009D3474"/>
    <w:rsid w:val="009D4867"/>
    <w:rsid w:val="009D7183"/>
    <w:rsid w:val="009D7CF8"/>
    <w:rsid w:val="009E0BB6"/>
    <w:rsid w:val="009E4036"/>
    <w:rsid w:val="009E6472"/>
    <w:rsid w:val="009E783B"/>
    <w:rsid w:val="009F0602"/>
    <w:rsid w:val="009F3F1F"/>
    <w:rsid w:val="009F5591"/>
    <w:rsid w:val="009F65F6"/>
    <w:rsid w:val="009F7F1F"/>
    <w:rsid w:val="00A03793"/>
    <w:rsid w:val="00A05952"/>
    <w:rsid w:val="00A11058"/>
    <w:rsid w:val="00A110EA"/>
    <w:rsid w:val="00A11607"/>
    <w:rsid w:val="00A11AD0"/>
    <w:rsid w:val="00A14EA3"/>
    <w:rsid w:val="00A22E4A"/>
    <w:rsid w:val="00A239DD"/>
    <w:rsid w:val="00A23CB6"/>
    <w:rsid w:val="00A25296"/>
    <w:rsid w:val="00A25A2E"/>
    <w:rsid w:val="00A25DF4"/>
    <w:rsid w:val="00A263A7"/>
    <w:rsid w:val="00A30BD7"/>
    <w:rsid w:val="00A31945"/>
    <w:rsid w:val="00A346F0"/>
    <w:rsid w:val="00A34935"/>
    <w:rsid w:val="00A34CD1"/>
    <w:rsid w:val="00A3615B"/>
    <w:rsid w:val="00A3652B"/>
    <w:rsid w:val="00A41D36"/>
    <w:rsid w:val="00A426E2"/>
    <w:rsid w:val="00A43A3D"/>
    <w:rsid w:val="00A43BAB"/>
    <w:rsid w:val="00A453AB"/>
    <w:rsid w:val="00A505E4"/>
    <w:rsid w:val="00A50D53"/>
    <w:rsid w:val="00A51A63"/>
    <w:rsid w:val="00A51E87"/>
    <w:rsid w:val="00A5380F"/>
    <w:rsid w:val="00A60477"/>
    <w:rsid w:val="00A60881"/>
    <w:rsid w:val="00A64FA5"/>
    <w:rsid w:val="00A6678E"/>
    <w:rsid w:val="00A667D2"/>
    <w:rsid w:val="00A6684E"/>
    <w:rsid w:val="00A67499"/>
    <w:rsid w:val="00A71D43"/>
    <w:rsid w:val="00A76126"/>
    <w:rsid w:val="00A77B51"/>
    <w:rsid w:val="00A80748"/>
    <w:rsid w:val="00A81954"/>
    <w:rsid w:val="00A86929"/>
    <w:rsid w:val="00A86FF6"/>
    <w:rsid w:val="00A942BD"/>
    <w:rsid w:val="00A970AF"/>
    <w:rsid w:val="00AA07AD"/>
    <w:rsid w:val="00AB1E08"/>
    <w:rsid w:val="00AB32A5"/>
    <w:rsid w:val="00AB56C7"/>
    <w:rsid w:val="00AB5DA4"/>
    <w:rsid w:val="00AC4313"/>
    <w:rsid w:val="00AC4961"/>
    <w:rsid w:val="00AC79CC"/>
    <w:rsid w:val="00AD0823"/>
    <w:rsid w:val="00AD1C6A"/>
    <w:rsid w:val="00AD379B"/>
    <w:rsid w:val="00AD4FAB"/>
    <w:rsid w:val="00AD6C81"/>
    <w:rsid w:val="00AE37F7"/>
    <w:rsid w:val="00AE5C1E"/>
    <w:rsid w:val="00AF1687"/>
    <w:rsid w:val="00AF23C0"/>
    <w:rsid w:val="00AF55E8"/>
    <w:rsid w:val="00B0056D"/>
    <w:rsid w:val="00B02E2E"/>
    <w:rsid w:val="00B05514"/>
    <w:rsid w:val="00B0763D"/>
    <w:rsid w:val="00B10595"/>
    <w:rsid w:val="00B110A3"/>
    <w:rsid w:val="00B11B64"/>
    <w:rsid w:val="00B128B0"/>
    <w:rsid w:val="00B13351"/>
    <w:rsid w:val="00B15F1F"/>
    <w:rsid w:val="00B176A4"/>
    <w:rsid w:val="00B22559"/>
    <w:rsid w:val="00B2279C"/>
    <w:rsid w:val="00B254E0"/>
    <w:rsid w:val="00B26B0A"/>
    <w:rsid w:val="00B34D62"/>
    <w:rsid w:val="00B408F9"/>
    <w:rsid w:val="00B40ADC"/>
    <w:rsid w:val="00B41609"/>
    <w:rsid w:val="00B42354"/>
    <w:rsid w:val="00B43F94"/>
    <w:rsid w:val="00B472F4"/>
    <w:rsid w:val="00B53FFE"/>
    <w:rsid w:val="00B56D19"/>
    <w:rsid w:val="00B63D59"/>
    <w:rsid w:val="00B67885"/>
    <w:rsid w:val="00B75164"/>
    <w:rsid w:val="00B75500"/>
    <w:rsid w:val="00B761C1"/>
    <w:rsid w:val="00B779A4"/>
    <w:rsid w:val="00B806C3"/>
    <w:rsid w:val="00B81481"/>
    <w:rsid w:val="00B84E90"/>
    <w:rsid w:val="00B85F17"/>
    <w:rsid w:val="00B86E18"/>
    <w:rsid w:val="00B90BC8"/>
    <w:rsid w:val="00B94C6E"/>
    <w:rsid w:val="00B9683E"/>
    <w:rsid w:val="00BA6DFF"/>
    <w:rsid w:val="00BA7F25"/>
    <w:rsid w:val="00BB0180"/>
    <w:rsid w:val="00BB1763"/>
    <w:rsid w:val="00BB1A3E"/>
    <w:rsid w:val="00BB54C3"/>
    <w:rsid w:val="00BC1573"/>
    <w:rsid w:val="00BC1B6D"/>
    <w:rsid w:val="00BC1CCF"/>
    <w:rsid w:val="00BC5771"/>
    <w:rsid w:val="00BC62FE"/>
    <w:rsid w:val="00BD023E"/>
    <w:rsid w:val="00BD11C3"/>
    <w:rsid w:val="00BD2B96"/>
    <w:rsid w:val="00BD7F0A"/>
    <w:rsid w:val="00BE0C0E"/>
    <w:rsid w:val="00BE3E96"/>
    <w:rsid w:val="00BE463C"/>
    <w:rsid w:val="00BE4C10"/>
    <w:rsid w:val="00BF2DEF"/>
    <w:rsid w:val="00BF38F0"/>
    <w:rsid w:val="00BF794D"/>
    <w:rsid w:val="00C043BD"/>
    <w:rsid w:val="00C0596B"/>
    <w:rsid w:val="00C1040D"/>
    <w:rsid w:val="00C120EE"/>
    <w:rsid w:val="00C126BC"/>
    <w:rsid w:val="00C15A91"/>
    <w:rsid w:val="00C17FC5"/>
    <w:rsid w:val="00C20ACC"/>
    <w:rsid w:val="00C2212C"/>
    <w:rsid w:val="00C223F1"/>
    <w:rsid w:val="00C23D20"/>
    <w:rsid w:val="00C25F15"/>
    <w:rsid w:val="00C30147"/>
    <w:rsid w:val="00C3071B"/>
    <w:rsid w:val="00C31B38"/>
    <w:rsid w:val="00C31C9D"/>
    <w:rsid w:val="00C328CC"/>
    <w:rsid w:val="00C44B90"/>
    <w:rsid w:val="00C44CED"/>
    <w:rsid w:val="00C45CC1"/>
    <w:rsid w:val="00C50036"/>
    <w:rsid w:val="00C523F7"/>
    <w:rsid w:val="00C55282"/>
    <w:rsid w:val="00C5785F"/>
    <w:rsid w:val="00C62D45"/>
    <w:rsid w:val="00C64813"/>
    <w:rsid w:val="00C64A7D"/>
    <w:rsid w:val="00C653DC"/>
    <w:rsid w:val="00C679F7"/>
    <w:rsid w:val="00C73D9C"/>
    <w:rsid w:val="00C76EDB"/>
    <w:rsid w:val="00C901F5"/>
    <w:rsid w:val="00C94E03"/>
    <w:rsid w:val="00C94EAB"/>
    <w:rsid w:val="00C95C6C"/>
    <w:rsid w:val="00C97179"/>
    <w:rsid w:val="00CA08C6"/>
    <w:rsid w:val="00CA0B09"/>
    <w:rsid w:val="00CA0FE1"/>
    <w:rsid w:val="00CA40EC"/>
    <w:rsid w:val="00CA751B"/>
    <w:rsid w:val="00CB0FA2"/>
    <w:rsid w:val="00CB1260"/>
    <w:rsid w:val="00CB7816"/>
    <w:rsid w:val="00CC1853"/>
    <w:rsid w:val="00CC1E8A"/>
    <w:rsid w:val="00CC2867"/>
    <w:rsid w:val="00CC2960"/>
    <w:rsid w:val="00CC50FD"/>
    <w:rsid w:val="00CD0BC1"/>
    <w:rsid w:val="00CD335D"/>
    <w:rsid w:val="00CD4BCB"/>
    <w:rsid w:val="00CD4D04"/>
    <w:rsid w:val="00CD64FF"/>
    <w:rsid w:val="00CE07F6"/>
    <w:rsid w:val="00CE176B"/>
    <w:rsid w:val="00CE27F2"/>
    <w:rsid w:val="00CE3076"/>
    <w:rsid w:val="00CE5973"/>
    <w:rsid w:val="00CE666A"/>
    <w:rsid w:val="00CF279C"/>
    <w:rsid w:val="00CF27CA"/>
    <w:rsid w:val="00CF5430"/>
    <w:rsid w:val="00CF6C72"/>
    <w:rsid w:val="00D0185A"/>
    <w:rsid w:val="00D06809"/>
    <w:rsid w:val="00D0686C"/>
    <w:rsid w:val="00D10395"/>
    <w:rsid w:val="00D13E39"/>
    <w:rsid w:val="00D14462"/>
    <w:rsid w:val="00D14E83"/>
    <w:rsid w:val="00D15D89"/>
    <w:rsid w:val="00D16EBE"/>
    <w:rsid w:val="00D1738F"/>
    <w:rsid w:val="00D21776"/>
    <w:rsid w:val="00D2410F"/>
    <w:rsid w:val="00D31DC5"/>
    <w:rsid w:val="00D33DEC"/>
    <w:rsid w:val="00D34B56"/>
    <w:rsid w:val="00D37094"/>
    <w:rsid w:val="00D37590"/>
    <w:rsid w:val="00D4122E"/>
    <w:rsid w:val="00D43BEE"/>
    <w:rsid w:val="00D44DA7"/>
    <w:rsid w:val="00D501E2"/>
    <w:rsid w:val="00D5132B"/>
    <w:rsid w:val="00D51500"/>
    <w:rsid w:val="00D57132"/>
    <w:rsid w:val="00D61A30"/>
    <w:rsid w:val="00D62AF5"/>
    <w:rsid w:val="00D631E1"/>
    <w:rsid w:val="00D6652E"/>
    <w:rsid w:val="00D81F9E"/>
    <w:rsid w:val="00D854E9"/>
    <w:rsid w:val="00D857BC"/>
    <w:rsid w:val="00D87854"/>
    <w:rsid w:val="00D9333C"/>
    <w:rsid w:val="00D9495E"/>
    <w:rsid w:val="00D950A3"/>
    <w:rsid w:val="00D972F4"/>
    <w:rsid w:val="00D974B7"/>
    <w:rsid w:val="00DA094A"/>
    <w:rsid w:val="00DA16A4"/>
    <w:rsid w:val="00DA36E6"/>
    <w:rsid w:val="00DA5555"/>
    <w:rsid w:val="00DA59C8"/>
    <w:rsid w:val="00DA5E6F"/>
    <w:rsid w:val="00DB2F5F"/>
    <w:rsid w:val="00DB5586"/>
    <w:rsid w:val="00DB7B29"/>
    <w:rsid w:val="00DC0531"/>
    <w:rsid w:val="00DC1414"/>
    <w:rsid w:val="00DD0E93"/>
    <w:rsid w:val="00DD4178"/>
    <w:rsid w:val="00DD42CB"/>
    <w:rsid w:val="00DD46C2"/>
    <w:rsid w:val="00DD4944"/>
    <w:rsid w:val="00DD4E55"/>
    <w:rsid w:val="00DD53D9"/>
    <w:rsid w:val="00DE2C91"/>
    <w:rsid w:val="00DE309A"/>
    <w:rsid w:val="00DE59CA"/>
    <w:rsid w:val="00DF135D"/>
    <w:rsid w:val="00DF13BA"/>
    <w:rsid w:val="00DF40CA"/>
    <w:rsid w:val="00DF4F35"/>
    <w:rsid w:val="00E04D4F"/>
    <w:rsid w:val="00E05373"/>
    <w:rsid w:val="00E074E8"/>
    <w:rsid w:val="00E12F92"/>
    <w:rsid w:val="00E139C9"/>
    <w:rsid w:val="00E139F3"/>
    <w:rsid w:val="00E17F5A"/>
    <w:rsid w:val="00E21054"/>
    <w:rsid w:val="00E223FE"/>
    <w:rsid w:val="00E22D41"/>
    <w:rsid w:val="00E24078"/>
    <w:rsid w:val="00E25AB9"/>
    <w:rsid w:val="00E26741"/>
    <w:rsid w:val="00E302D8"/>
    <w:rsid w:val="00E31064"/>
    <w:rsid w:val="00E35360"/>
    <w:rsid w:val="00E37CE8"/>
    <w:rsid w:val="00E41B12"/>
    <w:rsid w:val="00E42569"/>
    <w:rsid w:val="00E50140"/>
    <w:rsid w:val="00E53BAA"/>
    <w:rsid w:val="00E54FF2"/>
    <w:rsid w:val="00E61CAE"/>
    <w:rsid w:val="00E62A1F"/>
    <w:rsid w:val="00E63438"/>
    <w:rsid w:val="00E645C6"/>
    <w:rsid w:val="00E67BDA"/>
    <w:rsid w:val="00E73EB5"/>
    <w:rsid w:val="00E80F93"/>
    <w:rsid w:val="00E83969"/>
    <w:rsid w:val="00E9125E"/>
    <w:rsid w:val="00E959FD"/>
    <w:rsid w:val="00E96FBA"/>
    <w:rsid w:val="00EA105B"/>
    <w:rsid w:val="00EA2459"/>
    <w:rsid w:val="00EA246A"/>
    <w:rsid w:val="00EA2AA3"/>
    <w:rsid w:val="00EA4456"/>
    <w:rsid w:val="00EA5480"/>
    <w:rsid w:val="00EA61D7"/>
    <w:rsid w:val="00EA6541"/>
    <w:rsid w:val="00EB0BEA"/>
    <w:rsid w:val="00EB5EC2"/>
    <w:rsid w:val="00EB6911"/>
    <w:rsid w:val="00EB7C50"/>
    <w:rsid w:val="00EC053A"/>
    <w:rsid w:val="00EC0AA5"/>
    <w:rsid w:val="00EC455E"/>
    <w:rsid w:val="00EC5BF3"/>
    <w:rsid w:val="00EC74ED"/>
    <w:rsid w:val="00EC7EAC"/>
    <w:rsid w:val="00ED15F4"/>
    <w:rsid w:val="00ED270E"/>
    <w:rsid w:val="00ED37BD"/>
    <w:rsid w:val="00ED3BFB"/>
    <w:rsid w:val="00ED7488"/>
    <w:rsid w:val="00EE342A"/>
    <w:rsid w:val="00EE369B"/>
    <w:rsid w:val="00EE5535"/>
    <w:rsid w:val="00EE5537"/>
    <w:rsid w:val="00EE69F5"/>
    <w:rsid w:val="00EE700D"/>
    <w:rsid w:val="00EF1A86"/>
    <w:rsid w:val="00F01184"/>
    <w:rsid w:val="00F0211B"/>
    <w:rsid w:val="00F02165"/>
    <w:rsid w:val="00F0570A"/>
    <w:rsid w:val="00F102FD"/>
    <w:rsid w:val="00F114F7"/>
    <w:rsid w:val="00F12393"/>
    <w:rsid w:val="00F21071"/>
    <w:rsid w:val="00F23FA0"/>
    <w:rsid w:val="00F24D77"/>
    <w:rsid w:val="00F27334"/>
    <w:rsid w:val="00F2783B"/>
    <w:rsid w:val="00F31DFC"/>
    <w:rsid w:val="00F358D3"/>
    <w:rsid w:val="00F40108"/>
    <w:rsid w:val="00F46B8A"/>
    <w:rsid w:val="00F47EE0"/>
    <w:rsid w:val="00F506D2"/>
    <w:rsid w:val="00F51367"/>
    <w:rsid w:val="00F5154A"/>
    <w:rsid w:val="00F545CD"/>
    <w:rsid w:val="00F55F1B"/>
    <w:rsid w:val="00F66484"/>
    <w:rsid w:val="00F73FED"/>
    <w:rsid w:val="00F8248C"/>
    <w:rsid w:val="00F82C5D"/>
    <w:rsid w:val="00F837E2"/>
    <w:rsid w:val="00F85363"/>
    <w:rsid w:val="00F86ED5"/>
    <w:rsid w:val="00F9053B"/>
    <w:rsid w:val="00F91351"/>
    <w:rsid w:val="00F9330E"/>
    <w:rsid w:val="00FA0F1C"/>
    <w:rsid w:val="00FA1191"/>
    <w:rsid w:val="00FA128B"/>
    <w:rsid w:val="00FA433F"/>
    <w:rsid w:val="00FA7281"/>
    <w:rsid w:val="00FB342F"/>
    <w:rsid w:val="00FB3983"/>
    <w:rsid w:val="00FB4DAB"/>
    <w:rsid w:val="00FB71A3"/>
    <w:rsid w:val="00FC1E2C"/>
    <w:rsid w:val="00FC429A"/>
    <w:rsid w:val="00FC5477"/>
    <w:rsid w:val="00FC77F4"/>
    <w:rsid w:val="00FC7805"/>
    <w:rsid w:val="00FC7819"/>
    <w:rsid w:val="00FD3120"/>
    <w:rsid w:val="00FD594A"/>
    <w:rsid w:val="00FD5AAA"/>
    <w:rsid w:val="00FD7C8F"/>
    <w:rsid w:val="00FE0708"/>
    <w:rsid w:val="00FE0A25"/>
    <w:rsid w:val="00FE4472"/>
    <w:rsid w:val="00FE755C"/>
    <w:rsid w:val="00FE7769"/>
    <w:rsid w:val="00FF2EE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IN" w:eastAsia="en-US"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094"/>
  </w:style>
  <w:style w:type="paragraph" w:styleId="Heading1">
    <w:name w:val="heading 1"/>
    <w:basedOn w:val="Normal"/>
    <w:next w:val="Normal"/>
    <w:link w:val="Heading1Char"/>
    <w:uiPriority w:val="9"/>
    <w:qFormat/>
    <w:rsid w:val="00995094"/>
    <w:pPr>
      <w:keepNext/>
      <w:keepLines/>
      <w:pBdr>
        <w:left w:val="single" w:sz="12" w:space="12" w:color="DE7E18"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95094"/>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995094"/>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995094"/>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95094"/>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95094"/>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95094"/>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95094"/>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95094"/>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94"/>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95094"/>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995094"/>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995094"/>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95094"/>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95094"/>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95094"/>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95094"/>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95094"/>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95094"/>
    <w:pPr>
      <w:spacing w:line="240" w:lineRule="auto"/>
    </w:pPr>
    <w:rPr>
      <w:b/>
      <w:bCs/>
      <w:color w:val="DE7E18" w:themeColor="accent2"/>
      <w:spacing w:val="10"/>
      <w:sz w:val="16"/>
      <w:szCs w:val="16"/>
    </w:rPr>
  </w:style>
  <w:style w:type="paragraph" w:styleId="Title">
    <w:name w:val="Title"/>
    <w:basedOn w:val="Normal"/>
    <w:next w:val="Normal"/>
    <w:link w:val="TitleChar"/>
    <w:uiPriority w:val="10"/>
    <w:qFormat/>
    <w:rsid w:val="00995094"/>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95094"/>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95094"/>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95094"/>
    <w:rPr>
      <w:color w:val="000000" w:themeColor="text1"/>
      <w:sz w:val="24"/>
      <w:szCs w:val="24"/>
    </w:rPr>
  </w:style>
  <w:style w:type="character" w:styleId="Strong">
    <w:name w:val="Strong"/>
    <w:basedOn w:val="DefaultParagraphFont"/>
    <w:uiPriority w:val="22"/>
    <w:qFormat/>
    <w:rsid w:val="00995094"/>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95094"/>
    <w:rPr>
      <w:rFonts w:asciiTheme="minorHAnsi" w:eastAsiaTheme="minorEastAsia" w:hAnsiTheme="minorHAnsi" w:cstheme="minorBidi"/>
      <w:i/>
      <w:iCs/>
      <w:color w:val="A65E12" w:themeColor="accent2" w:themeShade="BF"/>
      <w:sz w:val="20"/>
      <w:szCs w:val="20"/>
    </w:rPr>
  </w:style>
  <w:style w:type="paragraph" w:styleId="NoSpacing">
    <w:name w:val="No Spacing"/>
    <w:uiPriority w:val="1"/>
    <w:qFormat/>
    <w:rsid w:val="00995094"/>
    <w:pPr>
      <w:spacing w:after="0" w:line="240" w:lineRule="auto"/>
    </w:pPr>
  </w:style>
  <w:style w:type="paragraph" w:styleId="Quote">
    <w:name w:val="Quote"/>
    <w:basedOn w:val="Normal"/>
    <w:next w:val="Normal"/>
    <w:link w:val="QuoteChar"/>
    <w:uiPriority w:val="29"/>
    <w:qFormat/>
    <w:rsid w:val="00995094"/>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95094"/>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95094"/>
    <w:pPr>
      <w:spacing w:before="100" w:beforeAutospacing="1" w:after="240"/>
      <w:ind w:left="936" w:right="936"/>
      <w:jc w:val="center"/>
    </w:pPr>
    <w:rPr>
      <w:rFonts w:asciiTheme="majorHAnsi" w:eastAsiaTheme="majorEastAsia" w:hAnsiTheme="majorHAnsi" w:cstheme="majorBidi"/>
      <w:caps/>
      <w:color w:val="A65E12" w:themeColor="accent2" w:themeShade="BF"/>
      <w:spacing w:val="10"/>
      <w:sz w:val="28"/>
      <w:szCs w:val="28"/>
    </w:rPr>
  </w:style>
  <w:style w:type="character" w:customStyle="1" w:styleId="IntenseQuoteChar">
    <w:name w:val="Intense Quote Char"/>
    <w:basedOn w:val="DefaultParagraphFont"/>
    <w:link w:val="IntenseQuote"/>
    <w:uiPriority w:val="30"/>
    <w:rsid w:val="00995094"/>
    <w:rPr>
      <w:rFonts w:asciiTheme="majorHAnsi" w:eastAsiaTheme="majorEastAsia" w:hAnsiTheme="majorHAnsi" w:cstheme="majorBidi"/>
      <w:caps/>
      <w:color w:val="A65E12" w:themeColor="accent2" w:themeShade="BF"/>
      <w:spacing w:val="10"/>
      <w:sz w:val="28"/>
      <w:szCs w:val="28"/>
    </w:rPr>
  </w:style>
  <w:style w:type="character" w:styleId="SubtleEmphasis">
    <w:name w:val="Subtle Emphasis"/>
    <w:basedOn w:val="DefaultParagraphFont"/>
    <w:uiPriority w:val="19"/>
    <w:qFormat/>
    <w:rsid w:val="00995094"/>
    <w:rPr>
      <w:i/>
      <w:iCs/>
      <w:color w:val="auto"/>
    </w:rPr>
  </w:style>
  <w:style w:type="character" w:styleId="IntenseEmphasis">
    <w:name w:val="Intense Emphasis"/>
    <w:basedOn w:val="DefaultParagraphFont"/>
    <w:uiPriority w:val="21"/>
    <w:qFormat/>
    <w:rsid w:val="00995094"/>
    <w:rPr>
      <w:rFonts w:asciiTheme="minorHAnsi" w:eastAsiaTheme="minorEastAsia" w:hAnsiTheme="minorHAnsi" w:cstheme="minorBidi"/>
      <w:b/>
      <w:bCs/>
      <w:i/>
      <w:iCs/>
      <w:color w:val="A65E12" w:themeColor="accent2" w:themeShade="BF"/>
      <w:spacing w:val="0"/>
      <w:w w:val="100"/>
      <w:position w:val="0"/>
      <w:sz w:val="20"/>
      <w:szCs w:val="20"/>
    </w:rPr>
  </w:style>
  <w:style w:type="character" w:styleId="SubtleReference">
    <w:name w:val="Subtle Reference"/>
    <w:basedOn w:val="DefaultParagraphFont"/>
    <w:uiPriority w:val="31"/>
    <w:qFormat/>
    <w:rsid w:val="00995094"/>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95094"/>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95094"/>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95094"/>
    <w:pPr>
      <w:outlineLvl w:val="9"/>
    </w:pPr>
  </w:style>
  <w:style w:type="paragraph" w:styleId="ListParagraph">
    <w:name w:val="List Paragraph"/>
    <w:basedOn w:val="Normal"/>
    <w:uiPriority w:val="34"/>
    <w:qFormat/>
    <w:rsid w:val="00781C6A"/>
    <w:pPr>
      <w:ind w:left="720"/>
      <w:contextualSpacing/>
    </w:pPr>
  </w:style>
  <w:style w:type="character" w:styleId="Hyperlink">
    <w:name w:val="Hyperlink"/>
    <w:basedOn w:val="DefaultParagraphFont"/>
    <w:uiPriority w:val="99"/>
    <w:semiHidden/>
    <w:unhideWhenUsed/>
    <w:rsid w:val="00B75500"/>
    <w:rPr>
      <w:color w:val="0000FF"/>
      <w:u w:val="single"/>
    </w:rPr>
  </w:style>
  <w:style w:type="paragraph" w:styleId="BalloonText">
    <w:name w:val="Balloon Text"/>
    <w:basedOn w:val="Normal"/>
    <w:link w:val="BalloonTextChar"/>
    <w:uiPriority w:val="99"/>
    <w:semiHidden/>
    <w:unhideWhenUsed/>
    <w:rsid w:val="00627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697"/>
    <w:rPr>
      <w:rFonts w:ascii="Tahoma" w:hAnsi="Tahoma" w:cs="Tahoma"/>
      <w:sz w:val="16"/>
      <w:szCs w:val="16"/>
    </w:rPr>
  </w:style>
  <w:style w:type="paragraph" w:styleId="NormalWeb">
    <w:name w:val="Normal (Web)"/>
    <w:basedOn w:val="Normal"/>
    <w:uiPriority w:val="99"/>
    <w:semiHidden/>
    <w:unhideWhenUsed/>
    <w:rsid w:val="00180B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sc-block-headingtext">
    <w:name w:val="mntl-sc-block-heading__text"/>
    <w:basedOn w:val="DefaultParagraphFont"/>
    <w:rsid w:val="001F4DB3"/>
  </w:style>
  <w:style w:type="paragraph" w:customStyle="1" w:styleId="comp">
    <w:name w:val="comp"/>
    <w:basedOn w:val="Normal"/>
    <w:rsid w:val="001F4D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sc-block-subheadingtext">
    <w:name w:val="mntl-sc-block-subheading__text"/>
    <w:basedOn w:val="DefaultParagraphFont"/>
    <w:rsid w:val="001F4DB3"/>
  </w:style>
</w:styles>
</file>

<file path=word/webSettings.xml><?xml version="1.0" encoding="utf-8"?>
<w:webSettings xmlns:r="http://schemas.openxmlformats.org/officeDocument/2006/relationships" xmlns:w="http://schemas.openxmlformats.org/wordprocessingml/2006/main">
  <w:divs>
    <w:div w:id="86582984">
      <w:bodyDiv w:val="1"/>
      <w:marLeft w:val="0"/>
      <w:marRight w:val="0"/>
      <w:marTop w:val="0"/>
      <w:marBottom w:val="0"/>
      <w:divBdr>
        <w:top w:val="none" w:sz="0" w:space="0" w:color="auto"/>
        <w:left w:val="none" w:sz="0" w:space="0" w:color="auto"/>
        <w:bottom w:val="none" w:sz="0" w:space="0" w:color="auto"/>
        <w:right w:val="none" w:sz="0" w:space="0" w:color="auto"/>
      </w:divBdr>
      <w:divsChild>
        <w:div w:id="1737389282">
          <w:marLeft w:val="0"/>
          <w:marRight w:val="0"/>
          <w:marTop w:val="0"/>
          <w:marBottom w:val="0"/>
          <w:divBdr>
            <w:top w:val="single" w:sz="2" w:space="0" w:color="E3E3E3"/>
            <w:left w:val="single" w:sz="2" w:space="0" w:color="E3E3E3"/>
            <w:bottom w:val="single" w:sz="2" w:space="0" w:color="E3E3E3"/>
            <w:right w:val="single" w:sz="2" w:space="0" w:color="E3E3E3"/>
          </w:divBdr>
          <w:divsChild>
            <w:div w:id="396321311">
              <w:marLeft w:val="0"/>
              <w:marRight w:val="0"/>
              <w:marTop w:val="0"/>
              <w:marBottom w:val="0"/>
              <w:divBdr>
                <w:top w:val="single" w:sz="2" w:space="0" w:color="E3E3E3"/>
                <w:left w:val="single" w:sz="2" w:space="0" w:color="E3E3E3"/>
                <w:bottom w:val="single" w:sz="2" w:space="0" w:color="E3E3E3"/>
                <w:right w:val="single" w:sz="2" w:space="0" w:color="E3E3E3"/>
              </w:divBdr>
              <w:divsChild>
                <w:div w:id="1294217210">
                  <w:marLeft w:val="0"/>
                  <w:marRight w:val="0"/>
                  <w:marTop w:val="0"/>
                  <w:marBottom w:val="0"/>
                  <w:divBdr>
                    <w:top w:val="single" w:sz="2" w:space="0" w:color="E3E3E3"/>
                    <w:left w:val="single" w:sz="2" w:space="0" w:color="E3E3E3"/>
                    <w:bottom w:val="single" w:sz="2" w:space="0" w:color="E3E3E3"/>
                    <w:right w:val="single" w:sz="2" w:space="0" w:color="E3E3E3"/>
                  </w:divBdr>
                  <w:divsChild>
                    <w:div w:id="1299604055">
                      <w:marLeft w:val="0"/>
                      <w:marRight w:val="0"/>
                      <w:marTop w:val="0"/>
                      <w:marBottom w:val="0"/>
                      <w:divBdr>
                        <w:top w:val="single" w:sz="2" w:space="0" w:color="E3E3E3"/>
                        <w:left w:val="single" w:sz="2" w:space="0" w:color="E3E3E3"/>
                        <w:bottom w:val="single" w:sz="2" w:space="0" w:color="E3E3E3"/>
                        <w:right w:val="single" w:sz="2" w:space="0" w:color="E3E3E3"/>
                      </w:divBdr>
                      <w:divsChild>
                        <w:div w:id="958534042">
                          <w:marLeft w:val="0"/>
                          <w:marRight w:val="0"/>
                          <w:marTop w:val="0"/>
                          <w:marBottom w:val="0"/>
                          <w:divBdr>
                            <w:top w:val="single" w:sz="2" w:space="0" w:color="E3E3E3"/>
                            <w:left w:val="single" w:sz="2" w:space="0" w:color="E3E3E3"/>
                            <w:bottom w:val="single" w:sz="2" w:space="0" w:color="E3E3E3"/>
                            <w:right w:val="single" w:sz="2" w:space="0" w:color="E3E3E3"/>
                          </w:divBdr>
                          <w:divsChild>
                            <w:div w:id="2059279190">
                              <w:marLeft w:val="0"/>
                              <w:marRight w:val="0"/>
                              <w:marTop w:val="100"/>
                              <w:marBottom w:val="100"/>
                              <w:divBdr>
                                <w:top w:val="single" w:sz="2" w:space="0" w:color="E3E3E3"/>
                                <w:left w:val="single" w:sz="2" w:space="0" w:color="E3E3E3"/>
                                <w:bottom w:val="single" w:sz="2" w:space="0" w:color="E3E3E3"/>
                                <w:right w:val="single" w:sz="2" w:space="0" w:color="E3E3E3"/>
                              </w:divBdr>
                              <w:divsChild>
                                <w:div w:id="953825334">
                                  <w:marLeft w:val="0"/>
                                  <w:marRight w:val="0"/>
                                  <w:marTop w:val="0"/>
                                  <w:marBottom w:val="0"/>
                                  <w:divBdr>
                                    <w:top w:val="single" w:sz="2" w:space="0" w:color="E3E3E3"/>
                                    <w:left w:val="single" w:sz="2" w:space="0" w:color="E3E3E3"/>
                                    <w:bottom w:val="single" w:sz="2" w:space="0" w:color="E3E3E3"/>
                                    <w:right w:val="single" w:sz="2" w:space="0" w:color="E3E3E3"/>
                                  </w:divBdr>
                                  <w:divsChild>
                                    <w:div w:id="46298532">
                                      <w:marLeft w:val="0"/>
                                      <w:marRight w:val="0"/>
                                      <w:marTop w:val="0"/>
                                      <w:marBottom w:val="0"/>
                                      <w:divBdr>
                                        <w:top w:val="single" w:sz="2" w:space="0" w:color="E3E3E3"/>
                                        <w:left w:val="single" w:sz="2" w:space="0" w:color="E3E3E3"/>
                                        <w:bottom w:val="single" w:sz="2" w:space="0" w:color="E3E3E3"/>
                                        <w:right w:val="single" w:sz="2" w:space="0" w:color="E3E3E3"/>
                                      </w:divBdr>
                                      <w:divsChild>
                                        <w:div w:id="925269441">
                                          <w:marLeft w:val="0"/>
                                          <w:marRight w:val="0"/>
                                          <w:marTop w:val="0"/>
                                          <w:marBottom w:val="0"/>
                                          <w:divBdr>
                                            <w:top w:val="single" w:sz="2" w:space="0" w:color="E3E3E3"/>
                                            <w:left w:val="single" w:sz="2" w:space="0" w:color="E3E3E3"/>
                                            <w:bottom w:val="single" w:sz="2" w:space="0" w:color="E3E3E3"/>
                                            <w:right w:val="single" w:sz="2" w:space="0" w:color="E3E3E3"/>
                                          </w:divBdr>
                                          <w:divsChild>
                                            <w:div w:id="1411267453">
                                              <w:marLeft w:val="0"/>
                                              <w:marRight w:val="0"/>
                                              <w:marTop w:val="0"/>
                                              <w:marBottom w:val="0"/>
                                              <w:divBdr>
                                                <w:top w:val="single" w:sz="2" w:space="0" w:color="E3E3E3"/>
                                                <w:left w:val="single" w:sz="2" w:space="0" w:color="E3E3E3"/>
                                                <w:bottom w:val="single" w:sz="2" w:space="0" w:color="E3E3E3"/>
                                                <w:right w:val="single" w:sz="2" w:space="0" w:color="E3E3E3"/>
                                              </w:divBdr>
                                              <w:divsChild>
                                                <w:div w:id="1866214005">
                                                  <w:marLeft w:val="0"/>
                                                  <w:marRight w:val="0"/>
                                                  <w:marTop w:val="0"/>
                                                  <w:marBottom w:val="0"/>
                                                  <w:divBdr>
                                                    <w:top w:val="single" w:sz="2" w:space="0" w:color="E3E3E3"/>
                                                    <w:left w:val="single" w:sz="2" w:space="0" w:color="E3E3E3"/>
                                                    <w:bottom w:val="single" w:sz="2" w:space="0" w:color="E3E3E3"/>
                                                    <w:right w:val="single" w:sz="2" w:space="0" w:color="E3E3E3"/>
                                                  </w:divBdr>
                                                  <w:divsChild>
                                                    <w:div w:id="504058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8569846">
          <w:marLeft w:val="0"/>
          <w:marRight w:val="0"/>
          <w:marTop w:val="0"/>
          <w:marBottom w:val="0"/>
          <w:divBdr>
            <w:top w:val="none" w:sz="0" w:space="0" w:color="auto"/>
            <w:left w:val="none" w:sz="0" w:space="0" w:color="auto"/>
            <w:bottom w:val="none" w:sz="0" w:space="0" w:color="auto"/>
            <w:right w:val="none" w:sz="0" w:space="0" w:color="auto"/>
          </w:divBdr>
        </w:div>
      </w:divsChild>
    </w:div>
    <w:div w:id="193466585">
      <w:bodyDiv w:val="1"/>
      <w:marLeft w:val="0"/>
      <w:marRight w:val="0"/>
      <w:marTop w:val="0"/>
      <w:marBottom w:val="0"/>
      <w:divBdr>
        <w:top w:val="none" w:sz="0" w:space="0" w:color="auto"/>
        <w:left w:val="none" w:sz="0" w:space="0" w:color="auto"/>
        <w:bottom w:val="none" w:sz="0" w:space="0" w:color="auto"/>
        <w:right w:val="none" w:sz="0" w:space="0" w:color="auto"/>
      </w:divBdr>
      <w:divsChild>
        <w:div w:id="1928148876">
          <w:marLeft w:val="-360"/>
          <w:marRight w:val="-360"/>
          <w:marTop w:val="0"/>
          <w:marBottom w:val="0"/>
          <w:divBdr>
            <w:top w:val="none" w:sz="0" w:space="0" w:color="auto"/>
            <w:left w:val="none" w:sz="0" w:space="0" w:color="auto"/>
            <w:bottom w:val="none" w:sz="0" w:space="0" w:color="auto"/>
            <w:right w:val="none" w:sz="0" w:space="0" w:color="auto"/>
          </w:divBdr>
          <w:divsChild>
            <w:div w:id="1169370331">
              <w:marLeft w:val="0"/>
              <w:marRight w:val="0"/>
              <w:marTop w:val="0"/>
              <w:marBottom w:val="0"/>
              <w:divBdr>
                <w:top w:val="none" w:sz="0" w:space="0" w:color="auto"/>
                <w:left w:val="none" w:sz="0" w:space="0" w:color="auto"/>
                <w:bottom w:val="none" w:sz="0" w:space="0" w:color="auto"/>
                <w:right w:val="none" w:sz="0" w:space="0" w:color="auto"/>
              </w:divBdr>
            </w:div>
          </w:divsChild>
        </w:div>
        <w:div w:id="1053040509">
          <w:marLeft w:val="-360"/>
          <w:marRight w:val="-360"/>
          <w:marTop w:val="0"/>
          <w:marBottom w:val="0"/>
          <w:divBdr>
            <w:top w:val="none" w:sz="0" w:space="0" w:color="auto"/>
            <w:left w:val="none" w:sz="0" w:space="0" w:color="auto"/>
            <w:bottom w:val="none" w:sz="0" w:space="0" w:color="auto"/>
            <w:right w:val="none" w:sz="0" w:space="0" w:color="auto"/>
          </w:divBdr>
          <w:divsChild>
            <w:div w:id="1122770726">
              <w:marLeft w:val="0"/>
              <w:marRight w:val="0"/>
              <w:marTop w:val="0"/>
              <w:marBottom w:val="0"/>
              <w:divBdr>
                <w:top w:val="none" w:sz="0" w:space="0" w:color="auto"/>
                <w:left w:val="none" w:sz="0" w:space="0" w:color="auto"/>
                <w:bottom w:val="none" w:sz="0" w:space="0" w:color="auto"/>
                <w:right w:val="none" w:sz="0" w:space="0" w:color="auto"/>
              </w:divBdr>
            </w:div>
            <w:div w:id="848106496">
              <w:marLeft w:val="0"/>
              <w:marRight w:val="0"/>
              <w:marTop w:val="0"/>
              <w:marBottom w:val="0"/>
              <w:divBdr>
                <w:top w:val="none" w:sz="0" w:space="0" w:color="auto"/>
                <w:left w:val="none" w:sz="0" w:space="0" w:color="auto"/>
                <w:bottom w:val="none" w:sz="0" w:space="0" w:color="auto"/>
                <w:right w:val="none" w:sz="0" w:space="0" w:color="auto"/>
              </w:divBdr>
              <w:divsChild>
                <w:div w:id="981471902">
                  <w:marLeft w:val="0"/>
                  <w:marRight w:val="0"/>
                  <w:marTop w:val="0"/>
                  <w:marBottom w:val="0"/>
                  <w:divBdr>
                    <w:top w:val="none" w:sz="0" w:space="0" w:color="auto"/>
                    <w:left w:val="none" w:sz="0" w:space="0" w:color="auto"/>
                    <w:bottom w:val="none" w:sz="0" w:space="0" w:color="auto"/>
                    <w:right w:val="none" w:sz="0" w:space="0" w:color="auto"/>
                  </w:divBdr>
                  <w:divsChild>
                    <w:div w:id="1874999873">
                      <w:marLeft w:val="0"/>
                      <w:marRight w:val="0"/>
                      <w:marTop w:val="0"/>
                      <w:marBottom w:val="0"/>
                      <w:divBdr>
                        <w:top w:val="none" w:sz="0" w:space="0" w:color="auto"/>
                        <w:left w:val="none" w:sz="0" w:space="0" w:color="auto"/>
                        <w:bottom w:val="none" w:sz="0" w:space="0" w:color="auto"/>
                        <w:right w:val="none" w:sz="0" w:space="0" w:color="auto"/>
                      </w:divBdr>
                    </w:div>
                    <w:div w:id="1876969255">
                      <w:marLeft w:val="0"/>
                      <w:marRight w:val="0"/>
                      <w:marTop w:val="0"/>
                      <w:marBottom w:val="0"/>
                      <w:divBdr>
                        <w:top w:val="none" w:sz="0" w:space="0" w:color="auto"/>
                        <w:left w:val="none" w:sz="0" w:space="0" w:color="auto"/>
                        <w:bottom w:val="none" w:sz="0" w:space="0" w:color="auto"/>
                        <w:right w:val="none" w:sz="0" w:space="0" w:color="auto"/>
                      </w:divBdr>
                    </w:div>
                    <w:div w:id="823815725">
                      <w:marLeft w:val="0"/>
                      <w:marRight w:val="0"/>
                      <w:marTop w:val="0"/>
                      <w:marBottom w:val="0"/>
                      <w:divBdr>
                        <w:top w:val="none" w:sz="0" w:space="0" w:color="auto"/>
                        <w:left w:val="none" w:sz="0" w:space="0" w:color="auto"/>
                        <w:bottom w:val="none" w:sz="0" w:space="0" w:color="auto"/>
                        <w:right w:val="none" w:sz="0" w:space="0" w:color="auto"/>
                      </w:divBdr>
                    </w:div>
                    <w:div w:id="167622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975718">
          <w:marLeft w:val="-360"/>
          <w:marRight w:val="-360"/>
          <w:marTop w:val="0"/>
          <w:marBottom w:val="0"/>
          <w:divBdr>
            <w:top w:val="none" w:sz="0" w:space="0" w:color="auto"/>
            <w:left w:val="none" w:sz="0" w:space="0" w:color="auto"/>
            <w:bottom w:val="none" w:sz="0" w:space="0" w:color="auto"/>
            <w:right w:val="none" w:sz="0" w:space="0" w:color="auto"/>
          </w:divBdr>
          <w:divsChild>
            <w:div w:id="948699762">
              <w:marLeft w:val="0"/>
              <w:marRight w:val="0"/>
              <w:marTop w:val="0"/>
              <w:marBottom w:val="0"/>
              <w:divBdr>
                <w:top w:val="none" w:sz="0" w:space="0" w:color="auto"/>
                <w:left w:val="none" w:sz="0" w:space="0" w:color="auto"/>
                <w:bottom w:val="none" w:sz="0" w:space="0" w:color="auto"/>
                <w:right w:val="none" w:sz="0" w:space="0" w:color="auto"/>
              </w:divBdr>
              <w:divsChild>
                <w:div w:id="1150948852">
                  <w:marLeft w:val="0"/>
                  <w:marRight w:val="0"/>
                  <w:marTop w:val="0"/>
                  <w:marBottom w:val="0"/>
                  <w:divBdr>
                    <w:top w:val="none" w:sz="0" w:space="0" w:color="auto"/>
                    <w:left w:val="none" w:sz="0" w:space="0" w:color="auto"/>
                    <w:bottom w:val="none" w:sz="0" w:space="0" w:color="auto"/>
                    <w:right w:val="none" w:sz="0" w:space="0" w:color="auto"/>
                  </w:divBdr>
                  <w:divsChild>
                    <w:div w:id="62875089">
                      <w:marLeft w:val="0"/>
                      <w:marRight w:val="0"/>
                      <w:marTop w:val="0"/>
                      <w:marBottom w:val="0"/>
                      <w:divBdr>
                        <w:top w:val="none" w:sz="0" w:space="0" w:color="auto"/>
                        <w:left w:val="none" w:sz="0" w:space="0" w:color="auto"/>
                        <w:bottom w:val="single" w:sz="12" w:space="0" w:color="B1B4B6"/>
                        <w:right w:val="none" w:sz="0" w:space="0" w:color="auto"/>
                      </w:divBdr>
                    </w:div>
                    <w:div w:id="585919148">
                      <w:marLeft w:val="0"/>
                      <w:marRight w:val="0"/>
                      <w:marTop w:val="0"/>
                      <w:marBottom w:val="0"/>
                      <w:divBdr>
                        <w:top w:val="none" w:sz="0" w:space="0" w:color="auto"/>
                        <w:left w:val="none" w:sz="0" w:space="0" w:color="auto"/>
                        <w:bottom w:val="single" w:sz="12" w:space="0" w:color="B1B4B6"/>
                        <w:right w:val="none" w:sz="0" w:space="0" w:color="auto"/>
                      </w:divBdr>
                    </w:div>
                    <w:div w:id="39282904">
                      <w:marLeft w:val="0"/>
                      <w:marRight w:val="0"/>
                      <w:marTop w:val="0"/>
                      <w:marBottom w:val="0"/>
                      <w:divBdr>
                        <w:top w:val="none" w:sz="0" w:space="0" w:color="auto"/>
                        <w:left w:val="none" w:sz="0" w:space="0" w:color="auto"/>
                        <w:bottom w:val="single" w:sz="12" w:space="0" w:color="B1B4B6"/>
                        <w:right w:val="none" w:sz="0" w:space="0" w:color="auto"/>
                      </w:divBdr>
                    </w:div>
                  </w:divsChild>
                </w:div>
              </w:divsChild>
            </w:div>
          </w:divsChild>
        </w:div>
      </w:divsChild>
    </w:div>
    <w:div w:id="536699717">
      <w:bodyDiv w:val="1"/>
      <w:marLeft w:val="0"/>
      <w:marRight w:val="0"/>
      <w:marTop w:val="0"/>
      <w:marBottom w:val="0"/>
      <w:divBdr>
        <w:top w:val="none" w:sz="0" w:space="0" w:color="auto"/>
        <w:left w:val="none" w:sz="0" w:space="0" w:color="auto"/>
        <w:bottom w:val="none" w:sz="0" w:space="0" w:color="auto"/>
        <w:right w:val="none" w:sz="0" w:space="0" w:color="auto"/>
      </w:divBdr>
    </w:div>
    <w:div w:id="590428674">
      <w:bodyDiv w:val="1"/>
      <w:marLeft w:val="0"/>
      <w:marRight w:val="0"/>
      <w:marTop w:val="0"/>
      <w:marBottom w:val="0"/>
      <w:divBdr>
        <w:top w:val="none" w:sz="0" w:space="0" w:color="auto"/>
        <w:left w:val="none" w:sz="0" w:space="0" w:color="auto"/>
        <w:bottom w:val="none" w:sz="0" w:space="0" w:color="auto"/>
        <w:right w:val="none" w:sz="0" w:space="0" w:color="auto"/>
      </w:divBdr>
    </w:div>
    <w:div w:id="711005736">
      <w:bodyDiv w:val="1"/>
      <w:marLeft w:val="0"/>
      <w:marRight w:val="0"/>
      <w:marTop w:val="0"/>
      <w:marBottom w:val="0"/>
      <w:divBdr>
        <w:top w:val="none" w:sz="0" w:space="0" w:color="auto"/>
        <w:left w:val="none" w:sz="0" w:space="0" w:color="auto"/>
        <w:bottom w:val="none" w:sz="0" w:space="0" w:color="auto"/>
        <w:right w:val="none" w:sz="0" w:space="0" w:color="auto"/>
      </w:divBdr>
      <w:divsChild>
        <w:div w:id="232399659">
          <w:marLeft w:val="0"/>
          <w:marRight w:val="0"/>
          <w:marTop w:val="0"/>
          <w:marBottom w:val="0"/>
          <w:divBdr>
            <w:top w:val="none" w:sz="0" w:space="0" w:color="auto"/>
            <w:left w:val="none" w:sz="0" w:space="0" w:color="auto"/>
            <w:bottom w:val="none" w:sz="0" w:space="0" w:color="auto"/>
            <w:right w:val="none" w:sz="0" w:space="0" w:color="auto"/>
          </w:divBdr>
          <w:divsChild>
            <w:div w:id="235821189">
              <w:marLeft w:val="0"/>
              <w:marRight w:val="0"/>
              <w:marTop w:val="0"/>
              <w:marBottom w:val="0"/>
              <w:divBdr>
                <w:top w:val="none" w:sz="0" w:space="0" w:color="auto"/>
                <w:left w:val="none" w:sz="0" w:space="0" w:color="auto"/>
                <w:bottom w:val="none" w:sz="0" w:space="0" w:color="auto"/>
                <w:right w:val="none" w:sz="0" w:space="0" w:color="auto"/>
              </w:divBdr>
              <w:divsChild>
                <w:div w:id="5956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221347">
      <w:bodyDiv w:val="1"/>
      <w:marLeft w:val="0"/>
      <w:marRight w:val="0"/>
      <w:marTop w:val="0"/>
      <w:marBottom w:val="0"/>
      <w:divBdr>
        <w:top w:val="none" w:sz="0" w:space="0" w:color="auto"/>
        <w:left w:val="none" w:sz="0" w:space="0" w:color="auto"/>
        <w:bottom w:val="none" w:sz="0" w:space="0" w:color="auto"/>
        <w:right w:val="none" w:sz="0" w:space="0" w:color="auto"/>
      </w:divBdr>
    </w:div>
    <w:div w:id="897593172">
      <w:bodyDiv w:val="1"/>
      <w:marLeft w:val="0"/>
      <w:marRight w:val="0"/>
      <w:marTop w:val="0"/>
      <w:marBottom w:val="0"/>
      <w:divBdr>
        <w:top w:val="none" w:sz="0" w:space="0" w:color="auto"/>
        <w:left w:val="none" w:sz="0" w:space="0" w:color="auto"/>
        <w:bottom w:val="none" w:sz="0" w:space="0" w:color="auto"/>
        <w:right w:val="none" w:sz="0" w:space="0" w:color="auto"/>
      </w:divBdr>
    </w:div>
    <w:div w:id="1094934715">
      <w:bodyDiv w:val="1"/>
      <w:marLeft w:val="0"/>
      <w:marRight w:val="0"/>
      <w:marTop w:val="0"/>
      <w:marBottom w:val="0"/>
      <w:divBdr>
        <w:top w:val="none" w:sz="0" w:space="0" w:color="auto"/>
        <w:left w:val="none" w:sz="0" w:space="0" w:color="auto"/>
        <w:bottom w:val="none" w:sz="0" w:space="0" w:color="auto"/>
        <w:right w:val="none" w:sz="0" w:space="0" w:color="auto"/>
      </w:divBdr>
    </w:div>
    <w:div w:id="1226256953">
      <w:bodyDiv w:val="1"/>
      <w:marLeft w:val="0"/>
      <w:marRight w:val="0"/>
      <w:marTop w:val="0"/>
      <w:marBottom w:val="0"/>
      <w:divBdr>
        <w:top w:val="none" w:sz="0" w:space="0" w:color="auto"/>
        <w:left w:val="none" w:sz="0" w:space="0" w:color="auto"/>
        <w:bottom w:val="none" w:sz="0" w:space="0" w:color="auto"/>
        <w:right w:val="none" w:sz="0" w:space="0" w:color="auto"/>
      </w:divBdr>
    </w:div>
    <w:div w:id="1479490909">
      <w:bodyDiv w:val="1"/>
      <w:marLeft w:val="0"/>
      <w:marRight w:val="0"/>
      <w:marTop w:val="0"/>
      <w:marBottom w:val="0"/>
      <w:divBdr>
        <w:top w:val="none" w:sz="0" w:space="0" w:color="auto"/>
        <w:left w:val="none" w:sz="0" w:space="0" w:color="auto"/>
        <w:bottom w:val="none" w:sz="0" w:space="0" w:color="auto"/>
        <w:right w:val="none" w:sz="0" w:space="0" w:color="auto"/>
      </w:divBdr>
    </w:div>
    <w:div w:id="1519418713">
      <w:bodyDiv w:val="1"/>
      <w:marLeft w:val="0"/>
      <w:marRight w:val="0"/>
      <w:marTop w:val="0"/>
      <w:marBottom w:val="0"/>
      <w:divBdr>
        <w:top w:val="none" w:sz="0" w:space="0" w:color="auto"/>
        <w:left w:val="none" w:sz="0" w:space="0" w:color="auto"/>
        <w:bottom w:val="none" w:sz="0" w:space="0" w:color="auto"/>
        <w:right w:val="none" w:sz="0" w:space="0" w:color="auto"/>
      </w:divBdr>
    </w:div>
    <w:div w:id="1524711265">
      <w:bodyDiv w:val="1"/>
      <w:marLeft w:val="0"/>
      <w:marRight w:val="0"/>
      <w:marTop w:val="0"/>
      <w:marBottom w:val="0"/>
      <w:divBdr>
        <w:top w:val="none" w:sz="0" w:space="0" w:color="auto"/>
        <w:left w:val="none" w:sz="0" w:space="0" w:color="auto"/>
        <w:bottom w:val="none" w:sz="0" w:space="0" w:color="auto"/>
        <w:right w:val="none" w:sz="0" w:space="0" w:color="auto"/>
      </w:divBdr>
      <w:divsChild>
        <w:div w:id="1098254545">
          <w:marLeft w:val="0"/>
          <w:marRight w:val="0"/>
          <w:marTop w:val="0"/>
          <w:marBottom w:val="0"/>
          <w:divBdr>
            <w:top w:val="single" w:sz="2" w:space="0" w:color="E3E3E3"/>
            <w:left w:val="single" w:sz="2" w:space="0" w:color="E3E3E3"/>
            <w:bottom w:val="single" w:sz="2" w:space="0" w:color="E3E3E3"/>
            <w:right w:val="single" w:sz="2" w:space="0" w:color="E3E3E3"/>
          </w:divBdr>
          <w:divsChild>
            <w:div w:id="1736852650">
              <w:marLeft w:val="0"/>
              <w:marRight w:val="0"/>
              <w:marTop w:val="0"/>
              <w:marBottom w:val="0"/>
              <w:divBdr>
                <w:top w:val="single" w:sz="2" w:space="0" w:color="E3E3E3"/>
                <w:left w:val="single" w:sz="2" w:space="0" w:color="E3E3E3"/>
                <w:bottom w:val="single" w:sz="2" w:space="0" w:color="E3E3E3"/>
                <w:right w:val="single" w:sz="2" w:space="0" w:color="E3E3E3"/>
              </w:divBdr>
              <w:divsChild>
                <w:div w:id="1807122137">
                  <w:marLeft w:val="0"/>
                  <w:marRight w:val="0"/>
                  <w:marTop w:val="0"/>
                  <w:marBottom w:val="0"/>
                  <w:divBdr>
                    <w:top w:val="single" w:sz="2" w:space="0" w:color="E3E3E3"/>
                    <w:left w:val="single" w:sz="2" w:space="0" w:color="E3E3E3"/>
                    <w:bottom w:val="single" w:sz="2" w:space="0" w:color="E3E3E3"/>
                    <w:right w:val="single" w:sz="2" w:space="0" w:color="E3E3E3"/>
                  </w:divBdr>
                  <w:divsChild>
                    <w:div w:id="1006178605">
                      <w:marLeft w:val="0"/>
                      <w:marRight w:val="0"/>
                      <w:marTop w:val="0"/>
                      <w:marBottom w:val="0"/>
                      <w:divBdr>
                        <w:top w:val="single" w:sz="2" w:space="0" w:color="E3E3E3"/>
                        <w:left w:val="single" w:sz="2" w:space="0" w:color="E3E3E3"/>
                        <w:bottom w:val="single" w:sz="2" w:space="0" w:color="E3E3E3"/>
                        <w:right w:val="single" w:sz="2" w:space="0" w:color="E3E3E3"/>
                      </w:divBdr>
                      <w:divsChild>
                        <w:div w:id="1999844521">
                          <w:marLeft w:val="0"/>
                          <w:marRight w:val="0"/>
                          <w:marTop w:val="0"/>
                          <w:marBottom w:val="0"/>
                          <w:divBdr>
                            <w:top w:val="single" w:sz="2" w:space="0" w:color="E3E3E3"/>
                            <w:left w:val="single" w:sz="2" w:space="0" w:color="E3E3E3"/>
                            <w:bottom w:val="single" w:sz="2" w:space="0" w:color="E3E3E3"/>
                            <w:right w:val="single" w:sz="2" w:space="0" w:color="E3E3E3"/>
                          </w:divBdr>
                          <w:divsChild>
                            <w:div w:id="1835603102">
                              <w:marLeft w:val="0"/>
                              <w:marRight w:val="0"/>
                              <w:marTop w:val="100"/>
                              <w:marBottom w:val="100"/>
                              <w:divBdr>
                                <w:top w:val="single" w:sz="2" w:space="0" w:color="E3E3E3"/>
                                <w:left w:val="single" w:sz="2" w:space="0" w:color="E3E3E3"/>
                                <w:bottom w:val="single" w:sz="2" w:space="0" w:color="E3E3E3"/>
                                <w:right w:val="single" w:sz="2" w:space="0" w:color="E3E3E3"/>
                              </w:divBdr>
                              <w:divsChild>
                                <w:div w:id="1650792819">
                                  <w:marLeft w:val="0"/>
                                  <w:marRight w:val="0"/>
                                  <w:marTop w:val="0"/>
                                  <w:marBottom w:val="0"/>
                                  <w:divBdr>
                                    <w:top w:val="single" w:sz="2" w:space="0" w:color="E3E3E3"/>
                                    <w:left w:val="single" w:sz="2" w:space="0" w:color="E3E3E3"/>
                                    <w:bottom w:val="single" w:sz="2" w:space="0" w:color="E3E3E3"/>
                                    <w:right w:val="single" w:sz="2" w:space="0" w:color="E3E3E3"/>
                                  </w:divBdr>
                                  <w:divsChild>
                                    <w:div w:id="1162699635">
                                      <w:marLeft w:val="0"/>
                                      <w:marRight w:val="0"/>
                                      <w:marTop w:val="0"/>
                                      <w:marBottom w:val="0"/>
                                      <w:divBdr>
                                        <w:top w:val="single" w:sz="2" w:space="0" w:color="E3E3E3"/>
                                        <w:left w:val="single" w:sz="2" w:space="0" w:color="E3E3E3"/>
                                        <w:bottom w:val="single" w:sz="2" w:space="0" w:color="E3E3E3"/>
                                        <w:right w:val="single" w:sz="2" w:space="0" w:color="E3E3E3"/>
                                      </w:divBdr>
                                      <w:divsChild>
                                        <w:div w:id="1419985349">
                                          <w:marLeft w:val="0"/>
                                          <w:marRight w:val="0"/>
                                          <w:marTop w:val="0"/>
                                          <w:marBottom w:val="0"/>
                                          <w:divBdr>
                                            <w:top w:val="single" w:sz="2" w:space="0" w:color="E3E3E3"/>
                                            <w:left w:val="single" w:sz="2" w:space="0" w:color="E3E3E3"/>
                                            <w:bottom w:val="single" w:sz="2" w:space="0" w:color="E3E3E3"/>
                                            <w:right w:val="single" w:sz="2" w:space="0" w:color="E3E3E3"/>
                                          </w:divBdr>
                                          <w:divsChild>
                                            <w:div w:id="1442719532">
                                              <w:marLeft w:val="0"/>
                                              <w:marRight w:val="0"/>
                                              <w:marTop w:val="0"/>
                                              <w:marBottom w:val="0"/>
                                              <w:divBdr>
                                                <w:top w:val="single" w:sz="2" w:space="0" w:color="E3E3E3"/>
                                                <w:left w:val="single" w:sz="2" w:space="0" w:color="E3E3E3"/>
                                                <w:bottom w:val="single" w:sz="2" w:space="0" w:color="E3E3E3"/>
                                                <w:right w:val="single" w:sz="2" w:space="0" w:color="E3E3E3"/>
                                              </w:divBdr>
                                              <w:divsChild>
                                                <w:div w:id="1524324714">
                                                  <w:marLeft w:val="0"/>
                                                  <w:marRight w:val="0"/>
                                                  <w:marTop w:val="0"/>
                                                  <w:marBottom w:val="0"/>
                                                  <w:divBdr>
                                                    <w:top w:val="single" w:sz="2" w:space="0" w:color="E3E3E3"/>
                                                    <w:left w:val="single" w:sz="2" w:space="0" w:color="E3E3E3"/>
                                                    <w:bottom w:val="single" w:sz="2" w:space="0" w:color="E3E3E3"/>
                                                    <w:right w:val="single" w:sz="2" w:space="0" w:color="E3E3E3"/>
                                                  </w:divBdr>
                                                  <w:divsChild>
                                                    <w:div w:id="1163351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64384483">
          <w:marLeft w:val="0"/>
          <w:marRight w:val="0"/>
          <w:marTop w:val="0"/>
          <w:marBottom w:val="0"/>
          <w:divBdr>
            <w:top w:val="none" w:sz="0" w:space="0" w:color="auto"/>
            <w:left w:val="none" w:sz="0" w:space="0" w:color="auto"/>
            <w:bottom w:val="none" w:sz="0" w:space="0" w:color="auto"/>
            <w:right w:val="none" w:sz="0" w:space="0" w:color="auto"/>
          </w:divBdr>
        </w:div>
      </w:divsChild>
    </w:div>
    <w:div w:id="1749419470">
      <w:bodyDiv w:val="1"/>
      <w:marLeft w:val="0"/>
      <w:marRight w:val="0"/>
      <w:marTop w:val="0"/>
      <w:marBottom w:val="0"/>
      <w:divBdr>
        <w:top w:val="none" w:sz="0" w:space="0" w:color="auto"/>
        <w:left w:val="none" w:sz="0" w:space="0" w:color="auto"/>
        <w:bottom w:val="none" w:sz="0" w:space="0" w:color="auto"/>
        <w:right w:val="none" w:sz="0" w:space="0" w:color="auto"/>
      </w:divBdr>
    </w:div>
    <w:div w:id="2001694835">
      <w:bodyDiv w:val="1"/>
      <w:marLeft w:val="0"/>
      <w:marRight w:val="0"/>
      <w:marTop w:val="0"/>
      <w:marBottom w:val="0"/>
      <w:divBdr>
        <w:top w:val="none" w:sz="0" w:space="0" w:color="auto"/>
        <w:left w:val="none" w:sz="0" w:space="0" w:color="auto"/>
        <w:bottom w:val="none" w:sz="0" w:space="0" w:color="auto"/>
        <w:right w:val="none" w:sz="0" w:space="0" w:color="auto"/>
      </w:divBdr>
      <w:divsChild>
        <w:div w:id="170603124">
          <w:marLeft w:val="0"/>
          <w:marRight w:val="0"/>
          <w:marTop w:val="0"/>
          <w:marBottom w:val="0"/>
          <w:divBdr>
            <w:top w:val="single" w:sz="2" w:space="0" w:color="E3E3E3"/>
            <w:left w:val="single" w:sz="2" w:space="0" w:color="E3E3E3"/>
            <w:bottom w:val="single" w:sz="2" w:space="0" w:color="E3E3E3"/>
            <w:right w:val="single" w:sz="2" w:space="0" w:color="E3E3E3"/>
          </w:divBdr>
          <w:divsChild>
            <w:div w:id="1636333687">
              <w:marLeft w:val="0"/>
              <w:marRight w:val="0"/>
              <w:marTop w:val="0"/>
              <w:marBottom w:val="0"/>
              <w:divBdr>
                <w:top w:val="single" w:sz="2" w:space="0" w:color="E3E3E3"/>
                <w:left w:val="single" w:sz="2" w:space="0" w:color="E3E3E3"/>
                <w:bottom w:val="single" w:sz="2" w:space="0" w:color="E3E3E3"/>
                <w:right w:val="single" w:sz="2" w:space="0" w:color="E3E3E3"/>
              </w:divBdr>
              <w:divsChild>
                <w:div w:id="47847535">
                  <w:marLeft w:val="0"/>
                  <w:marRight w:val="0"/>
                  <w:marTop w:val="0"/>
                  <w:marBottom w:val="0"/>
                  <w:divBdr>
                    <w:top w:val="single" w:sz="2" w:space="0" w:color="E3E3E3"/>
                    <w:left w:val="single" w:sz="2" w:space="0" w:color="E3E3E3"/>
                    <w:bottom w:val="single" w:sz="2" w:space="0" w:color="E3E3E3"/>
                    <w:right w:val="single" w:sz="2" w:space="0" w:color="E3E3E3"/>
                  </w:divBdr>
                  <w:divsChild>
                    <w:div w:id="430929441">
                      <w:marLeft w:val="0"/>
                      <w:marRight w:val="0"/>
                      <w:marTop w:val="0"/>
                      <w:marBottom w:val="0"/>
                      <w:divBdr>
                        <w:top w:val="single" w:sz="2" w:space="0" w:color="E3E3E3"/>
                        <w:left w:val="single" w:sz="2" w:space="0" w:color="E3E3E3"/>
                        <w:bottom w:val="single" w:sz="2" w:space="0" w:color="E3E3E3"/>
                        <w:right w:val="single" w:sz="2" w:space="0" w:color="E3E3E3"/>
                      </w:divBdr>
                      <w:divsChild>
                        <w:div w:id="1534883642">
                          <w:marLeft w:val="0"/>
                          <w:marRight w:val="0"/>
                          <w:marTop w:val="0"/>
                          <w:marBottom w:val="0"/>
                          <w:divBdr>
                            <w:top w:val="single" w:sz="2" w:space="0" w:color="E3E3E3"/>
                            <w:left w:val="single" w:sz="2" w:space="0" w:color="E3E3E3"/>
                            <w:bottom w:val="single" w:sz="2" w:space="0" w:color="E3E3E3"/>
                            <w:right w:val="single" w:sz="2" w:space="0" w:color="E3E3E3"/>
                          </w:divBdr>
                          <w:divsChild>
                            <w:div w:id="1679889635">
                              <w:marLeft w:val="0"/>
                              <w:marRight w:val="0"/>
                              <w:marTop w:val="100"/>
                              <w:marBottom w:val="100"/>
                              <w:divBdr>
                                <w:top w:val="single" w:sz="2" w:space="0" w:color="E3E3E3"/>
                                <w:left w:val="single" w:sz="2" w:space="0" w:color="E3E3E3"/>
                                <w:bottom w:val="single" w:sz="2" w:space="0" w:color="E3E3E3"/>
                                <w:right w:val="single" w:sz="2" w:space="0" w:color="E3E3E3"/>
                              </w:divBdr>
                              <w:divsChild>
                                <w:div w:id="297034561">
                                  <w:marLeft w:val="0"/>
                                  <w:marRight w:val="0"/>
                                  <w:marTop w:val="0"/>
                                  <w:marBottom w:val="0"/>
                                  <w:divBdr>
                                    <w:top w:val="single" w:sz="2" w:space="0" w:color="E3E3E3"/>
                                    <w:left w:val="single" w:sz="2" w:space="0" w:color="E3E3E3"/>
                                    <w:bottom w:val="single" w:sz="2" w:space="0" w:color="E3E3E3"/>
                                    <w:right w:val="single" w:sz="2" w:space="0" w:color="E3E3E3"/>
                                  </w:divBdr>
                                  <w:divsChild>
                                    <w:div w:id="405541252">
                                      <w:marLeft w:val="0"/>
                                      <w:marRight w:val="0"/>
                                      <w:marTop w:val="0"/>
                                      <w:marBottom w:val="0"/>
                                      <w:divBdr>
                                        <w:top w:val="single" w:sz="2" w:space="0" w:color="E3E3E3"/>
                                        <w:left w:val="single" w:sz="2" w:space="0" w:color="E3E3E3"/>
                                        <w:bottom w:val="single" w:sz="2" w:space="0" w:color="E3E3E3"/>
                                        <w:right w:val="single" w:sz="2" w:space="0" w:color="E3E3E3"/>
                                      </w:divBdr>
                                      <w:divsChild>
                                        <w:div w:id="396826730">
                                          <w:marLeft w:val="0"/>
                                          <w:marRight w:val="0"/>
                                          <w:marTop w:val="0"/>
                                          <w:marBottom w:val="0"/>
                                          <w:divBdr>
                                            <w:top w:val="single" w:sz="2" w:space="0" w:color="E3E3E3"/>
                                            <w:left w:val="single" w:sz="2" w:space="0" w:color="E3E3E3"/>
                                            <w:bottom w:val="single" w:sz="2" w:space="0" w:color="E3E3E3"/>
                                            <w:right w:val="single" w:sz="2" w:space="0" w:color="E3E3E3"/>
                                          </w:divBdr>
                                          <w:divsChild>
                                            <w:div w:id="1173298522">
                                              <w:marLeft w:val="0"/>
                                              <w:marRight w:val="0"/>
                                              <w:marTop w:val="0"/>
                                              <w:marBottom w:val="0"/>
                                              <w:divBdr>
                                                <w:top w:val="single" w:sz="2" w:space="0" w:color="E3E3E3"/>
                                                <w:left w:val="single" w:sz="2" w:space="0" w:color="E3E3E3"/>
                                                <w:bottom w:val="single" w:sz="2" w:space="0" w:color="E3E3E3"/>
                                                <w:right w:val="single" w:sz="2" w:space="0" w:color="E3E3E3"/>
                                              </w:divBdr>
                                              <w:divsChild>
                                                <w:div w:id="570118395">
                                                  <w:marLeft w:val="0"/>
                                                  <w:marRight w:val="0"/>
                                                  <w:marTop w:val="0"/>
                                                  <w:marBottom w:val="0"/>
                                                  <w:divBdr>
                                                    <w:top w:val="single" w:sz="2" w:space="0" w:color="E3E3E3"/>
                                                    <w:left w:val="single" w:sz="2" w:space="0" w:color="E3E3E3"/>
                                                    <w:bottom w:val="single" w:sz="2" w:space="0" w:color="E3E3E3"/>
                                                    <w:right w:val="single" w:sz="2" w:space="0" w:color="E3E3E3"/>
                                                  </w:divBdr>
                                                  <w:divsChild>
                                                    <w:div w:id="1509638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3820586">
          <w:marLeft w:val="0"/>
          <w:marRight w:val="0"/>
          <w:marTop w:val="0"/>
          <w:marBottom w:val="0"/>
          <w:divBdr>
            <w:top w:val="none" w:sz="0" w:space="0" w:color="auto"/>
            <w:left w:val="none" w:sz="0" w:space="0" w:color="auto"/>
            <w:bottom w:val="none" w:sz="0" w:space="0" w:color="auto"/>
            <w:right w:val="none" w:sz="0" w:space="0" w:color="auto"/>
          </w:divBdr>
        </w:div>
      </w:divsChild>
    </w:div>
    <w:div w:id="210503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_technology" TargetMode="External"/><Relationship Id="rId13" Type="http://schemas.openxmlformats.org/officeDocument/2006/relationships/hyperlink" Target="https://www.accenture.com/ph-en/new-applied-now" TargetMode="External"/><Relationship Id="rId18" Type="http://schemas.openxmlformats.org/officeDocument/2006/relationships/hyperlink" Target="https://en.wikipedia.org/wiki/International_Chamber_of_Commerce" TargetMode="External"/><Relationship Id="rId26" Type="http://schemas.openxmlformats.org/officeDocument/2006/relationships/hyperlink" Target="https://www.consultancy.uk/consulting-industry/global" TargetMode="External"/><Relationship Id="rId3" Type="http://schemas.openxmlformats.org/officeDocument/2006/relationships/styles" Target="styles.xml"/><Relationship Id="rId21" Type="http://schemas.openxmlformats.org/officeDocument/2006/relationships/hyperlink" Target="https://www.investopedia.com/terms/b/balancesheet.asp" TargetMode="External"/><Relationship Id="rId7" Type="http://schemas.openxmlformats.org/officeDocument/2006/relationships/hyperlink" Target="https://en.wikipedia.org/wiki/Corporation_tax_in_the_Republic_of_Ireland" TargetMode="External"/><Relationship Id="rId12" Type="http://schemas.openxmlformats.org/officeDocument/2006/relationships/image" Target="media/image2.png"/><Relationship Id="rId17" Type="http://schemas.openxmlformats.org/officeDocument/2006/relationships/hyperlink" Target="https://en.wikipedia.org/wiki/Escrow" TargetMode="External"/><Relationship Id="rId25" Type="http://schemas.openxmlformats.org/officeDocument/2006/relationships/hyperlink" Target="https://finance.yahoo.com/news/professional-services-global-market-report-084800152.html" TargetMode="External"/><Relationship Id="rId2" Type="http://schemas.openxmlformats.org/officeDocument/2006/relationships/numbering" Target="numbering.xml"/><Relationship Id="rId16" Type="http://schemas.openxmlformats.org/officeDocument/2006/relationships/hyperlink" Target="https://en.wikipedia.org/wiki/Andersen_Worldwide_Soci%C3%A9t%C3%A9_Coop%C3%A9rative" TargetMode="External"/><Relationship Id="rId20" Type="http://schemas.openxmlformats.org/officeDocument/2006/relationships/hyperlink" Target="https://www.investopedia.com/terms/i/incomestatement.as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Professional_services" TargetMode="External"/><Relationship Id="rId11" Type="http://schemas.openxmlformats.org/officeDocument/2006/relationships/hyperlink" Target="https://en.wikipedia.org/wiki/Accenture" TargetMode="External"/><Relationship Id="rId24" Type="http://schemas.openxmlformats.org/officeDocument/2006/relationships/hyperlink" Target="https://businesschronicler.com/best-business-strategy-frameworks/" TargetMode="External"/><Relationship Id="rId5" Type="http://schemas.openxmlformats.org/officeDocument/2006/relationships/webSettings" Target="webSettings.xml"/><Relationship Id="rId15" Type="http://schemas.openxmlformats.org/officeDocument/2006/relationships/hyperlink" Target="https://en.wikipedia.org/wiki/Arthur_Andersen" TargetMode="External"/><Relationship Id="rId23" Type="http://schemas.openxmlformats.org/officeDocument/2006/relationships/hyperlink" Target="https://www.investopedia.com/terms/c/capitalexpenditure.asp" TargetMode="External"/><Relationship Id="rId28" Type="http://schemas.openxmlformats.org/officeDocument/2006/relationships/hyperlink" Target="https://www.consultancy.uk/news/14018/the-10-largest-consulting-firms-in-the-world" TargetMode="External"/><Relationship Id="rId10" Type="http://schemas.openxmlformats.org/officeDocument/2006/relationships/hyperlink" Target="https://en.wikipedia.org/wiki/Fortune_Global_500"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en.wikipedia.org/wiki/Management_consulting" TargetMode="External"/><Relationship Id="rId14" Type="http://schemas.openxmlformats.org/officeDocument/2006/relationships/image" Target="media/image3.jpeg"/><Relationship Id="rId22" Type="http://schemas.openxmlformats.org/officeDocument/2006/relationships/hyperlink" Target="https://www.investopedia.com/terms/c/cashflowstatement.asp" TargetMode="External"/><Relationship Id="rId27" Type="http://schemas.openxmlformats.org/officeDocument/2006/relationships/hyperlink" Target="https://businesschronicler.com/competitors/deloitte-competitors-analysis/"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86B3E-4C15-4A5B-B546-A8FAD58E9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Arjee</dc:creator>
  <cp:lastModifiedBy>LENOVO</cp:lastModifiedBy>
  <cp:revision>2</cp:revision>
  <dcterms:created xsi:type="dcterms:W3CDTF">2024-04-03T15:58:00Z</dcterms:created>
  <dcterms:modified xsi:type="dcterms:W3CDTF">2024-04-03T15:58:00Z</dcterms:modified>
</cp:coreProperties>
</file>