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Deep-Dive: Systemanalyse, Korrekturen &amp; Guardrails – v24.2</w:t>
      </w:r>
    </w:p>
    <w:p>
      <w:pPr>
        <w:jc w:val="left"/>
      </w:pPr>
      <w:r>
        <w:t>Stand: 2025-08-21 07:59 UTC</w:t>
        <w:br/>
        <w:t>Autor: Dein Coach</w:t>
      </w:r>
    </w:p>
    <w:p>
      <w:pPr>
        <w:pStyle w:val="Heading1"/>
      </w:pPr>
      <w:r>
        <w:t>0) Zweck &amp; Umfang</w:t>
      </w:r>
    </w:p>
    <w:p>
      <w:r>
        <w:t>Dieses Dokument vertieft den Masterplan und das Korrekturpapier. Ziel ist eine detaillierte, prüfbare Spezifikation mit klaren Regeln, Formeln, Checklisten, Testfällen und Akzeptanzkriterien, sodass wir das System mit hoher Qualität bauen und betreiben können (90–95 % Zielabdeckung).</w:t>
      </w:r>
    </w:p>
    <w:p>
      <w:pPr>
        <w:pStyle w:val="Heading1"/>
      </w:pPr>
      <w:r>
        <w:t>1) Datenqualität &amp; Validierungsregeln (Prices/FX/News)</w:t>
      </w:r>
    </w:p>
    <w:tbl>
      <w:tblPr>
        <w:tblW w:type="auto" w:w="0"/>
        <w:jc w:val="center"/>
        <w:tblLook w:firstColumn="1" w:firstRow="1" w:lastColumn="0" w:lastRow="0" w:noHBand="0" w:noVBand="1" w:val="04A0"/>
      </w:tblPr>
      <w:tblGrid>
        <w:gridCol w:w="2448"/>
        <w:gridCol w:w="2448"/>
        <w:gridCol w:w="2448"/>
        <w:gridCol w:w="2448"/>
        <w:gridCol w:w="2448"/>
      </w:tblGrid>
      <w:tr>
        <w:tc>
          <w:tcPr>
            <w:tcW w:type="dxa" w:w="2448"/>
          </w:tcPr>
          <w:p>
            <w:r>
              <w:t>Rule-ID</w:t>
            </w:r>
          </w:p>
        </w:tc>
        <w:tc>
          <w:tcPr>
            <w:tcW w:type="dxa" w:w="2448"/>
          </w:tcPr>
          <w:p>
            <w:r>
              <w:t>Beschreibung</w:t>
            </w:r>
          </w:p>
        </w:tc>
        <w:tc>
          <w:tcPr>
            <w:tcW w:type="dxa" w:w="2448"/>
          </w:tcPr>
          <w:p>
            <w:r>
              <w:t>Bereich</w:t>
            </w:r>
          </w:p>
        </w:tc>
        <w:tc>
          <w:tcPr>
            <w:tcW w:type="dxa" w:w="2448"/>
          </w:tcPr>
          <w:p>
            <w:r>
              <w:t>Schweregrad</w:t>
            </w:r>
          </w:p>
        </w:tc>
        <w:tc>
          <w:tcPr>
            <w:tcW w:type="dxa" w:w="2448"/>
          </w:tcPr>
          <w:p>
            <w:r>
              <w:t>Aktion/Recovery</w:t>
            </w:r>
          </w:p>
        </w:tc>
      </w:tr>
      <w:tr>
        <w:tc>
          <w:tcPr>
            <w:tcW w:type="dxa" w:w="2448"/>
          </w:tcPr>
          <w:p>
            <w:r>
              <w:t>PRC-001</w:t>
            </w:r>
          </w:p>
        </w:tc>
        <w:tc>
          <w:tcPr>
            <w:tcW w:type="dxa" w:w="2448"/>
          </w:tcPr>
          <w:p>
            <w:r>
              <w:t>Fehlende Handelstage ≤ 3 aufeinanderfolgende Tage (außer Wochenende/Feiertage)</w:t>
            </w:r>
          </w:p>
        </w:tc>
        <w:tc>
          <w:tcPr>
            <w:tcW w:type="dxa" w:w="2448"/>
          </w:tcPr>
          <w:p>
            <w:r>
              <w:t>Prices</w:t>
            </w:r>
          </w:p>
        </w:tc>
        <w:tc>
          <w:tcPr>
            <w:tcW w:type="dxa" w:w="2448"/>
          </w:tcPr>
          <w:p>
            <w:r>
              <w:t>Warnung</w:t>
            </w:r>
          </w:p>
        </w:tc>
        <w:tc>
          <w:tcPr>
            <w:tcW w:type="dxa" w:w="2448"/>
          </w:tcPr>
          <w:p>
            <w:r>
              <w:t>Forward-Fill max 1 Tag, sonst Lücke markieren</w:t>
            </w:r>
          </w:p>
        </w:tc>
      </w:tr>
      <w:tr>
        <w:tc>
          <w:tcPr>
            <w:tcW w:type="dxa" w:w="2448"/>
          </w:tcPr>
          <w:p>
            <w:r>
              <w:t>PRC-002</w:t>
            </w:r>
          </w:p>
        </w:tc>
        <w:tc>
          <w:tcPr>
            <w:tcW w:type="dxa" w:w="2448"/>
          </w:tcPr>
          <w:p>
            <w:r>
              <w:t>NaN in OHLCV nicht erlaubt (Close/Volume kritisch)</w:t>
            </w:r>
          </w:p>
        </w:tc>
        <w:tc>
          <w:tcPr>
            <w:tcW w:type="dxa" w:w="2448"/>
          </w:tcPr>
          <w:p>
            <w:r>
              <w:t>Prices</w:t>
            </w:r>
          </w:p>
        </w:tc>
        <w:tc>
          <w:tcPr>
            <w:tcW w:type="dxa" w:w="2448"/>
          </w:tcPr>
          <w:p>
            <w:r>
              <w:t>Fehler</w:t>
            </w:r>
          </w:p>
        </w:tc>
        <w:tc>
          <w:tcPr>
            <w:tcW w:type="dxa" w:w="2448"/>
          </w:tcPr>
          <w:p>
            <w:r>
              <w:t>Zeile droppen; Backfill anstoßen</w:t>
            </w:r>
          </w:p>
        </w:tc>
      </w:tr>
      <w:tr>
        <w:tc>
          <w:tcPr>
            <w:tcW w:type="dxa" w:w="2448"/>
          </w:tcPr>
          <w:p>
            <w:r>
              <w:t>PRC-003</w:t>
            </w:r>
          </w:p>
        </w:tc>
        <w:tc>
          <w:tcPr>
            <w:tcW w:type="dxa" w:w="2448"/>
          </w:tcPr>
          <w:p>
            <w:r>
              <w:t>Ausreißer: |Return| &gt; 30% ohne Corporate Action Hinweis</w:t>
            </w:r>
          </w:p>
        </w:tc>
        <w:tc>
          <w:tcPr>
            <w:tcW w:type="dxa" w:w="2448"/>
          </w:tcPr>
          <w:p>
            <w:r>
              <w:t>Prices</w:t>
            </w:r>
          </w:p>
        </w:tc>
        <w:tc>
          <w:tcPr>
            <w:tcW w:type="dxa" w:w="2448"/>
          </w:tcPr>
          <w:p>
            <w:r>
              <w:t>Warnung</w:t>
            </w:r>
          </w:p>
        </w:tc>
        <w:tc>
          <w:tcPr>
            <w:tcW w:type="dxa" w:w="2448"/>
          </w:tcPr>
          <w:p>
            <w:r>
              <w:t>Flag setzen, News-Event prüfen</w:t>
            </w:r>
          </w:p>
        </w:tc>
      </w:tr>
      <w:tr>
        <w:tc>
          <w:tcPr>
            <w:tcW w:type="dxa" w:w="2448"/>
          </w:tcPr>
          <w:p>
            <w:r>
              <w:t>PRC-004</w:t>
            </w:r>
          </w:p>
        </w:tc>
        <w:tc>
          <w:tcPr>
            <w:tcW w:type="dxa" w:w="2448"/>
          </w:tcPr>
          <w:p>
            <w:r>
              <w:t>Timezone-Konsistenz: Index in Europe/Berlin normalized (EOD 22:00 CET)</w:t>
            </w:r>
          </w:p>
        </w:tc>
        <w:tc>
          <w:tcPr>
            <w:tcW w:type="dxa" w:w="2448"/>
          </w:tcPr>
          <w:p>
            <w:r>
              <w:t>Prices</w:t>
            </w:r>
          </w:p>
        </w:tc>
        <w:tc>
          <w:tcPr>
            <w:tcW w:type="dxa" w:w="2448"/>
          </w:tcPr>
          <w:p>
            <w:r>
              <w:t>Fehler</w:t>
            </w:r>
          </w:p>
        </w:tc>
        <w:tc>
          <w:tcPr>
            <w:tcW w:type="dxa" w:w="2448"/>
          </w:tcPr>
          <w:p>
            <w:r>
              <w:t>Reindex &amp; Normalisieren</w:t>
            </w:r>
          </w:p>
        </w:tc>
      </w:tr>
      <w:tr>
        <w:tc>
          <w:tcPr>
            <w:tcW w:type="dxa" w:w="2448"/>
          </w:tcPr>
          <w:p>
            <w:r>
              <w:t>FX-001</w:t>
            </w:r>
          </w:p>
        </w:tc>
        <w:tc>
          <w:tcPr>
            <w:tcW w:type="dxa" w:w="2448"/>
          </w:tcPr>
          <w:p>
            <w:r>
              <w:t>Kein EZB-FX am Tag: Verwende letzten gültigen Kurs, max 5 Tage</w:t>
            </w:r>
          </w:p>
        </w:tc>
        <w:tc>
          <w:tcPr>
            <w:tcW w:type="dxa" w:w="2448"/>
          </w:tcPr>
          <w:p>
            <w:r>
              <w:t>FX</w:t>
            </w:r>
          </w:p>
        </w:tc>
        <w:tc>
          <w:tcPr>
            <w:tcW w:type="dxa" w:w="2448"/>
          </w:tcPr>
          <w:p>
            <w:r>
              <w:t>Warnung</w:t>
            </w:r>
          </w:p>
        </w:tc>
        <w:tc>
          <w:tcPr>
            <w:tcW w:type="dxa" w:w="2448"/>
          </w:tcPr>
          <w:p>
            <w:r>
              <w:t>Carry-Forward bis max-Horizont</w:t>
            </w:r>
          </w:p>
        </w:tc>
      </w:tr>
      <w:tr>
        <w:tc>
          <w:tcPr>
            <w:tcW w:type="dxa" w:w="2448"/>
          </w:tcPr>
          <w:p>
            <w:r>
              <w:t>NEWS-001</w:t>
            </w:r>
          </w:p>
        </w:tc>
        <w:tc>
          <w:tcPr>
            <w:tcW w:type="dxa" w:w="2448"/>
          </w:tcPr>
          <w:p>
            <w:r>
              <w:t>Domain nicht in Whitelist → ignorieren (wenn Strict-Mode aktiv)</w:t>
            </w:r>
          </w:p>
        </w:tc>
        <w:tc>
          <w:tcPr>
            <w:tcW w:type="dxa" w:w="2448"/>
          </w:tcPr>
          <w:p>
            <w:r>
              <w:t>News</w:t>
            </w:r>
          </w:p>
        </w:tc>
        <w:tc>
          <w:tcPr>
            <w:tcW w:type="dxa" w:w="2448"/>
          </w:tcPr>
          <w:p>
            <w:r>
              <w:t>Info</w:t>
            </w:r>
          </w:p>
        </w:tc>
        <w:tc>
          <w:tcPr>
            <w:tcW w:type="dxa" w:w="2448"/>
          </w:tcPr>
          <w:p>
            <w:r>
              <w:t>Drop</w:t>
            </w:r>
          </w:p>
        </w:tc>
      </w:tr>
      <w:tr>
        <w:tc>
          <w:tcPr>
            <w:tcW w:type="dxa" w:w="2448"/>
          </w:tcPr>
          <w:p>
            <w:r>
              <w:t>NEWS-002</w:t>
            </w:r>
          </w:p>
        </w:tc>
        <w:tc>
          <w:tcPr>
            <w:tcW w:type="dxa" w:w="2448"/>
          </w:tcPr>
          <w:p>
            <w:r>
              <w:t>Near-Duplicate (Cosine ≥ 0,9) → deduplizieren</w:t>
            </w:r>
          </w:p>
        </w:tc>
        <w:tc>
          <w:tcPr>
            <w:tcW w:type="dxa" w:w="2448"/>
          </w:tcPr>
          <w:p>
            <w:r>
              <w:t>News</w:t>
            </w:r>
          </w:p>
        </w:tc>
        <w:tc>
          <w:tcPr>
            <w:tcW w:type="dxa" w:w="2448"/>
          </w:tcPr>
          <w:p>
            <w:r>
              <w:t>Info</w:t>
            </w:r>
          </w:p>
        </w:tc>
        <w:tc>
          <w:tcPr>
            <w:tcW w:type="dxa" w:w="2448"/>
          </w:tcPr>
          <w:p>
            <w:r>
              <w:t>Keep best source</w:t>
            </w:r>
          </w:p>
        </w:tc>
      </w:tr>
      <w:tr>
        <w:tc>
          <w:tcPr>
            <w:tcW w:type="dxa" w:w="2448"/>
          </w:tcPr>
          <w:p>
            <w:r>
              <w:t>NEWS-003</w:t>
            </w:r>
          </w:p>
        </w:tc>
        <w:tc>
          <w:tcPr>
            <w:tcW w:type="dxa" w:w="2448"/>
          </w:tcPr>
          <w:p>
            <w:r>
              <w:t>Ticker-Mapping muss vorhanden sein</w:t>
            </w:r>
          </w:p>
        </w:tc>
        <w:tc>
          <w:tcPr>
            <w:tcW w:type="dxa" w:w="2448"/>
          </w:tcPr>
          <w:p>
            <w:r>
              <w:t>News</w:t>
            </w:r>
          </w:p>
        </w:tc>
        <w:tc>
          <w:tcPr>
            <w:tcW w:type="dxa" w:w="2448"/>
          </w:tcPr>
          <w:p>
            <w:r>
              <w:t>Fehler</w:t>
            </w:r>
          </w:p>
        </w:tc>
        <w:tc>
          <w:tcPr>
            <w:tcW w:type="dxa" w:w="2448"/>
          </w:tcPr>
          <w:p>
            <w:r>
              <w:t>Fallback: RegEx-Mapping; sonst Drop</w:t>
            </w:r>
          </w:p>
        </w:tc>
      </w:tr>
    </w:tbl>
    <w:p/>
    <w:p>
      <w:pPr>
        <w:pStyle w:val="Heading1"/>
      </w:pPr>
      <w:r>
        <w:t>2) Datenschemata (Parquet/DuckDB)</w:t>
      </w:r>
    </w:p>
    <w:p>
      <w:r>
        <w:t>• prices: date: date, ticker: str, open: f8, high: f8, low: f8, close: f8, adj_close: f8, volume: i8, currency: str</w:t>
      </w:r>
    </w:p>
    <w:p>
      <w:r>
        <w:t>• features: date, ticker, sma20, ema50, ema200, rsi14, macd, macdsig, macdhist, atr14, adx, bb_up, bb_mid, bb_low, stochrsi, obv, donchian_high, donchian_low, supertrend, mom20, mom60, mom120, vol_gk, squeeze, trend_age, gap, rs_benchmark, regime_flags, liquidity_proxy, spread_proxy</w:t>
      </w:r>
    </w:p>
    <w:p>
      <w:r>
        <w:t>• signals: date, ticker, name (trend/reversal/breakout), value (-1..+1), confidence (0..1)</w:t>
      </w:r>
    </w:p>
    <w:p>
      <w:r>
        <w:t>• scores: date, ticker, rule_score (0..100), ml_proba (0..1), news_score (-1..+1), composite (0..100)</w:t>
      </w:r>
    </w:p>
    <w:p>
      <w:r>
        <w:t>• orders: date, ticker, side, qty, price_eur, fee_eur, slippage_bps, rr_target, atr_sl, horizon</w:t>
      </w:r>
    </w:p>
    <w:p>
      <w:r>
        <w:t>• journal: date, time, ticker, side, qty, price_eur, fees_eur, slippage_bps, exit_date, exit_price_eur, pnl_eur, pnl_pct</w:t>
      </w:r>
    </w:p>
    <w:p>
      <w:pPr>
        <w:pStyle w:val="Heading1"/>
      </w:pPr>
      <w:r>
        <w:t>3) Gebühren- &amp; Slippage-Modell (Formeln)</w:t>
      </w:r>
    </w:p>
    <w:p>
      <w:r>
        <w:t>Fixe Ordergebühr pro Transaktion: fee_eur = 1.00</w:t>
        <w:br/>
        <w:t>Slippage (bps): slippage_cost ≈ price * (slippage_bps/10000)</w:t>
        <w:br/>
        <w:t>Round-trip-Kosten (prozentual) ≈ 2 * (fee_eur / notional) + 2 * (slippage_bps/10000)</w:t>
        <w:br/>
        <w:t>Mindestordervolumen (Fee-Gate): min_notional_eur = fee_eur / max_fee_per_side</w:t>
        <w:br/>
        <w:t>Beispiel: max_fee_per_side = 0,15 % → 0,0015 ⇒ 1/0,0015 ≈ 667 € ⇒ auf 700–800 € runden.</w:t>
      </w:r>
    </w:p>
    <w:p>
      <w:pPr>
        <w:pStyle w:val="Heading1"/>
      </w:pPr>
      <w:r>
        <w:t>4) Positionsgröße &amp; Risiko (Formeln)</w:t>
      </w:r>
    </w:p>
    <w:p>
      <w:r>
        <w:t>Risikobudget pro Trade: risk_eur = portfolio_value * risk_per_trade</w:t>
        <w:br/>
        <w:t>ATR-basierter Stopp: stop_dist = k_atr * ATR</w:t>
        <w:br/>
        <w:t>Stückzahl: qty = floor( risk_eur / stop_dist )</w:t>
        <w:br/>
        <w:t>Notional: qty * entry_price → prüfen gegen min_notional_eur (Fee-Gate)</w:t>
        <w:br/>
        <w:t>Chandelier-Trailing: trail = high_N - k_ch * ATR (für Long)</w:t>
      </w:r>
    </w:p>
    <w:p>
      <w:pPr>
        <w:pStyle w:val="Heading1"/>
      </w:pPr>
      <w:r>
        <w:t>5) Signal-Pipeline (Reihenfolge &amp; Gating)</w:t>
      </w:r>
    </w:p>
    <w:p>
      <w:r>
        <w:t>• 1) Pre-Filter: Liquidität, spread_proxy, earnings_blackout, regime</w:t>
      </w:r>
    </w:p>
    <w:p>
      <w:r>
        <w:t>• 2) Signalberechnung: Trend/Breakout/Reversal</w:t>
      </w:r>
    </w:p>
    <w:p>
      <w:r>
        <w:t>• 3) News-Faktor: if whitelist-mode → nur seriöse Quellen; Sentiment/Velocity/Novelty</w:t>
      </w:r>
    </w:p>
    <w:p>
      <w:r>
        <w:t>• 4) ML-Proba: Walk-Forward-Modell (kein Leakage)</w:t>
      </w:r>
    </w:p>
    <w:p>
      <w:r>
        <w:t>• 5) Composite: 0–100; Regime-aware Gewichte</w:t>
      </w:r>
    </w:p>
    <w:p>
      <w:r>
        <w:t>• 6) Hysterese: Eintritt bei ≥70, Ausstieg erst bei &lt;55 (Vermeidung von Flattern)</w:t>
      </w:r>
    </w:p>
    <w:p>
      <w:pPr>
        <w:pStyle w:val="Heading1"/>
      </w:pPr>
      <w:r>
        <w:t>6) Score-Kalibrierung &amp; Schwellen</w:t>
      </w:r>
    </w:p>
    <w:p>
      <w:r>
        <w:t>• Long-Kandidat: composite ≥ 70 (und Trendfilter erfüllt)</w:t>
        <w:br/>
        <w:t>• Short/Vermeidung: composite ≤ 30 (optional)</w:t>
        <w:br/>
        <w:t>• Watchlist Top-15: composite &amp; Stabilität (Drawdown- und Vol-Grenzen) kombinieren</w:t>
        <w:br/>
        <w:t>• Top-3 Tag/Woche/Monat: rollierende Aggregation, Duplikate pro Ticker vermeiden</w:t>
      </w:r>
    </w:p>
    <w:p>
      <w:pPr>
        <w:pStyle w:val="Heading1"/>
      </w:pPr>
      <w:r>
        <w:t>7) News-Pipeline: Qualität &amp; Relevanz</w:t>
      </w:r>
    </w:p>
    <w:p>
      <w:r>
        <w:t>• Whitelist/Blacklist-Dateien (Domains). Strict-Mode: nur Whitelist.</w:t>
        <w:br/>
        <w:t>• Dedupe: Hash(Title+Source+Date), Near-Duplicate via Embedding-Cosine ≥0,9.</w:t>
        <w:br/>
        <w:t>• Relevanz: Ticker-Match (exakt), Domain-Score, Zeitnähe, Velocity-Spikes.</w:t>
        <w:br/>
        <w:t>• Sentiment: Skala -1..+1; Aggregation je Ticker/Tag mit Domänengewichten.</w:t>
      </w:r>
    </w:p>
    <w:p>
      <w:pPr>
        <w:pStyle w:val="Heading1"/>
      </w:pPr>
      <w:r>
        <w:t>8) KI/ML-Pipeline: Labeling, CV, Ship-Kriterien</w:t>
      </w:r>
    </w:p>
    <w:p>
      <w:r>
        <w:t>• Labeling: y=1 wenn Return(t→t+10) ≥ θ (z. B. +2*ATR%), sonst 0; Meta-Labeling auf Base-Signalen.</w:t>
        <w:br/>
        <w:t>• CV: PurgedKFold k=5, Embargo ≥ 10 Tage oder = Labelhorizont (größerer Wert gewinnt).</w:t>
        <w:br/>
        <w:t>• Modelle: LightGBM baseline; Kandidaten: CatBoost, XGBoost.</w:t>
        <w:br/>
        <w:t>• Metriken: AUC≥0,60; Precision@Top20%≥0,58; Information Coefficient (IC)≥0,03; Out-of-time Test muss ≥ Baseline (Regel) sein.</w:t>
        <w:br/>
        <w:t>• SHAP: Top-Features dokumentieren; Drifts melden (Population/KS-Test).</w:t>
      </w:r>
    </w:p>
    <w:p>
      <w:pPr>
        <w:pStyle w:val="Heading1"/>
      </w:pPr>
      <w:r>
        <w:t>9) Backtest-Protokoll &amp; Promotion-Kriterien</w:t>
      </w:r>
    </w:p>
    <w:p>
      <w:r>
        <w:t>• Walk-Forward: 3y train / 1y test, rollend über 20 Jahre.</w:t>
        <w:br/>
        <w:t>• Monte-Carlo: 1000 Läufe (Block-Resample; Blocklänge 20–60 Tage).</w:t>
        <w:br/>
        <w:t>• Kosten immer aktiv: 1 € je Order, slippage_bps default 7.</w:t>
        <w:br/>
        <w:t>• Promotion: CAGR&gt;Benchmark, MaxDD&lt;Benchmark, Profit-Factor≥1,3, Sharpe≥0,9, stabile Quartalsverteilung; keine instabilen Parameterplateaus.</w:t>
      </w:r>
    </w:p>
    <w:p>
      <w:pPr>
        <w:pStyle w:val="Heading1"/>
      </w:pPr>
      <w:r>
        <w:t>10) Risikokontrollen &amp; Kill-Switches</w:t>
      </w:r>
    </w:p>
    <w:p>
      <w:r>
        <w:t>• Tagesverlust-Limit (z. B. -2 % Portfolio) → keine neuen Entries.</w:t>
        <w:br/>
        <w:t>• Drawdown-Grenze (z. B. -10 %) → System in De-Risk-Modus (nur Top-Signale).</w:t>
        <w:br/>
        <w:t>• Volatilitäts-Schock (VIX-Proxy) → Positionsgröße halbieren.</w:t>
        <w:br/>
        <w:t>• News-Schock (Velocity&gt;Thresh) → Re-Entry erst nach Abkühlphase.</w:t>
      </w:r>
    </w:p>
    <w:p>
      <w:pPr>
        <w:pStyle w:val="Heading1"/>
      </w:pPr>
      <w:r>
        <w:t>11) UI-Validierungen &amp; Tooltips</w:t>
      </w:r>
    </w:p>
    <w:p>
      <w:r>
        <w:t>• Warnbanner bei Order &lt; Fee-Gate; Tooltip erklärt Gebührenwirkung.</w:t>
        <w:br/>
        <w:t>• Settings: „Zurück auf Defaults“; alle Parameter mit sinnvollen Limits.</w:t>
        <w:br/>
        <w:t>• Detail: „Warum-Score“ (Regeln + SHAP), Quellenliste mit Domain-Herkunft.</w:t>
      </w:r>
    </w:p>
    <w:p>
      <w:pPr>
        <w:pStyle w:val="Heading1"/>
      </w:pPr>
      <w:r>
        <w:t>12) Orchestrierung: Jobs, SLAs, Recovery</w:t>
      </w:r>
    </w:p>
    <w:p>
      <w:r>
        <w:t>• EOD Backfill 22:00 CET; Intraday alle 10 Minuten (09:00–21:45 CET).</w:t>
        <w:br/>
        <w:t>• SLA: Preise &lt; 2 min; News &lt; 1 min Verzögerung pro Batch.</w:t>
        <w:br/>
        <w:t>• Recovery: Retry mit Exponential Backoff; Job-Locks pro Ticker.</w:t>
      </w:r>
    </w:p>
    <w:p>
      <w:pPr>
        <w:pStyle w:val="Heading1"/>
      </w:pPr>
      <w:r>
        <w:t>13) Logging &amp; Fehler-Taxonomie</w:t>
      </w:r>
    </w:p>
    <w:p>
      <w:r>
        <w:t>• Level: DEBUG (Dev), INFO (Prod), WARN, ERROR.</w:t>
        <w:br/>
        <w:t>• Kategorien: INGEST, FEATURES, SIGNALS, ML, PORTFOLIO, BACKTEST, UI, SCHEDULER.</w:t>
        <w:br/>
        <w:t>• Korrelations-ID pro Lauf; strukturierte JSON-Logs optional.</w:t>
      </w:r>
    </w:p>
    <w:p>
      <w:pPr>
        <w:pStyle w:val="Heading1"/>
      </w:pPr>
      <w:r>
        <w:t>14) Testplan – Unit/Integration/Last</w:t>
      </w:r>
    </w:p>
    <w:p>
      <w:r>
        <w:t>• UT-IND-01: SMA/EMA/RSI/MACD/ATR-Werte gegen Referenz (pandas_ta)</w:t>
      </w:r>
    </w:p>
    <w:p>
      <w:r>
        <w:t>• UT-FEE-01: Round-trip-Kosten korrekt (1 € + bps)</w:t>
      </w:r>
    </w:p>
    <w:p>
      <w:r>
        <w:t>• UT-FX-01: EUR-Umrechnung korrekt (EZB-FX Caching)</w:t>
      </w:r>
    </w:p>
    <w:p>
      <w:r>
        <w:t>• UT-SCORE-01: Composite-Berechnung mit Gewichten und Hysterese</w:t>
      </w:r>
    </w:p>
    <w:p>
      <w:r>
        <w:t>• IT-PIPE-01: ETL→Features→Signals→Scores→Backtest durchläuft mit Golden Files</w:t>
      </w:r>
    </w:p>
    <w:p>
      <w:r>
        <w:t>• IT-NEWS-01: Whitelist/Blacklist/Dedupe/Velocity greifen korrekt</w:t>
      </w:r>
    </w:p>
    <w:p>
      <w:r>
        <w:t>• LOAD-01: 100 Ticker × 20y Historie &lt; X min Build-Time; Speicherbudget eingehalten</w:t>
      </w:r>
    </w:p>
    <w:p>
      <w:r>
        <w:t>• EDGE-01: Delisting, Split, Null-Volumen-Tag, Sommerzeitwechsel fehlerfrei</w:t>
      </w:r>
    </w:p>
    <w:p>
      <w:pPr>
        <w:pStyle w:val="Heading1"/>
      </w:pPr>
      <w:r>
        <w:t>15) Rollout &amp; Checklisten</w:t>
      </w:r>
    </w:p>
    <w:p>
      <w:r>
        <w:t>DEV: Datenläufe (kleine Watchlist), Unit/IT-Tests grün → UAT: volle Watchlist, Reports prüfen → PROD: v24 Freeze, Logs/KPIs überwachen; wöchentliche QA-Reviews.</w:t>
      </w:r>
    </w:p>
    <w:p>
      <w:pPr>
        <w:pStyle w:val="Heading1"/>
      </w:pPr>
      <w:r>
        <w:t>16) Offene Punkte &amp; Entscheidungen</w:t>
      </w:r>
    </w:p>
    <w:p>
      <w:r>
        <w:t>• Intraday-Abdeckung: priorisieren wir 15m für Short-Horizonte? (abhängig von Quelle/Limit)</w:t>
        <w:br/>
        <w:t>• Erweiterte Fundamentals: falls API-Budget vorhanden</w:t>
        <w:br/>
        <w:t>• Options-/Greeks-Proxy: spätere Phase</w:t>
        <w:br/>
        <w:t>• Alerts-Kanal: E-Mail/Telegram</w:t>
      </w:r>
    </w:p>
    <w:p>
      <w:pPr>
        <w:pStyle w:val="Heading1"/>
      </w:pPr>
      <w:r>
        <w:t>Anhang A) Standard-Profile je Zeithorizont</w:t>
      </w:r>
    </w:p>
    <w:p>
      <w:r>
        <w:t>Kurz (5–20 Tage): Trendfilter an; RSI(2) Rebounds; SL=2×ATR; TP=1.5R/2R; fee_gate_min_notional=1000 €</w:t>
        <w:br/>
        <w:t>Mittel (20–60 Tage): Trend + Breakout; SL=2×ATR; TP=2R; Positionsgröße moderat</w:t>
        <w:br/>
        <w:t>Lang (60–250 Tage): EMA200-Trend; SL=3×ATR; TP offen (Trail), Rebalancing periodisch</w:t>
      </w:r>
    </w:p>
    <w:p>
      <w:pPr>
        <w:pStyle w:val="Heading1"/>
      </w:pPr>
      <w:r>
        <w:t>Anhang B) Beispiel config.yaml (Auszug)</w:t>
      </w:r>
    </w:p>
    <w:p>
      <w:r>
        <w:rPr>
          <w:rFonts w:ascii="Consolas" w:hAnsi="Consolas"/>
          <w:sz w:val="20"/>
        </w:rPr>
        <w:t>fees:</w:t>
        <w:br/>
        <w:t xml:space="preserve">  order_fee_eur: 1.0</w:t>
        <w:br/>
        <w:t xml:space="preserve">  slippage_bps: 7</w:t>
        <w:br/>
        <w:t xml:space="preserve">  fee_gate_min_notional_eur: 800</w:t>
        <w:br/>
        <w:t>risk:</w:t>
        <w:br/>
        <w:t xml:space="preserve">  risk_per_trade: 0.0075</w:t>
        <w:br/>
        <w:t xml:space="preserve">  init_sl_atr_k: 2.0</w:t>
        <w:br/>
        <w:t xml:space="preserve">  chandelier_k: 3.0</w:t>
        <w:br/>
        <w:t xml:space="preserve">  tp_ladder_r: [1.5, 2.0]</w:t>
        <w:br/>
        <w:t>screener:</w:t>
        <w:br/>
        <w:t xml:space="preserve">  score_long_threshold: 70</w:t>
        <w:br/>
        <w:t xml:space="preserve">  hysteresis_exit: 55</w:t>
        <w:br/>
        <w:t>news:</w:t>
        <w:br/>
        <w:t xml:space="preserve">  strict_whitelist: true</w:t>
        <w:br/>
        <w:t xml:space="preserve">  velocity_threshold_per_hour: 3</w:t>
        <w:br/>
        <w:t>backtest:</w:t>
        <w:br/>
        <w:t xml:space="preserve">  history_years: 20</w:t>
        <w:br/>
        <w:t xml:space="preserve">  wf_train_years: 3</w:t>
        <w:br/>
        <w:t xml:space="preserve">  wf_test_years: 1</w:t>
        <w:br/>
        <w:t xml:space="preserve">  purged_kfold: 5</w:t>
        <w:br/>
        <w:t xml:space="preserve">  embargo_days: 10</w:t>
        <w:br/>
        <w:t>ml:</w:t>
        <w:br/>
        <w:t xml:space="preserve">  model: lightgbm</w:t>
        <w:br/>
        <w:t xml:space="preserve">  auc_min: 0.60</w:t>
        <w:br/>
        <w:t xml:space="preserve">  precision_top20_min: 0.58</w:t>
        <w:br/>
      </w:r>
    </w:p>
    <w:sectPr w:rsidR="00FC693F" w:rsidRPr="0006063C" w:rsidSect="00034616">
      <w:pgSz w:w="15840" w:h="122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